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191FE" w14:textId="77777777" w:rsidR="00796B0B" w:rsidRPr="0036019C" w:rsidRDefault="00796B0B" w:rsidP="000335E3">
      <w:pPr>
        <w:ind w:firstLine="284"/>
        <w:jc w:val="center"/>
        <w:rPr>
          <w:rFonts w:ascii="Garamond" w:hAnsi="Garamond"/>
          <w:b/>
          <w:lang w:val="sq-AL"/>
        </w:rPr>
      </w:pPr>
      <w:r w:rsidRPr="0036019C">
        <w:rPr>
          <w:rFonts w:ascii="Garamond" w:hAnsi="Garamond"/>
          <w:b/>
          <w:lang w:val="sq-AL"/>
        </w:rPr>
        <w:t>VENDIM</w:t>
      </w:r>
    </w:p>
    <w:p w14:paraId="2F4A91DE" w14:textId="1915B765" w:rsidR="00796B0B" w:rsidRPr="0036019C" w:rsidRDefault="00796B0B" w:rsidP="000335E3">
      <w:pPr>
        <w:ind w:firstLine="284"/>
        <w:jc w:val="center"/>
        <w:rPr>
          <w:rFonts w:ascii="Garamond" w:hAnsi="Garamond"/>
          <w:b/>
          <w:lang w:val="sq-AL"/>
        </w:rPr>
      </w:pPr>
      <w:r w:rsidRPr="0036019C">
        <w:rPr>
          <w:rFonts w:ascii="Garamond" w:hAnsi="Garamond"/>
          <w:b/>
          <w:lang w:val="sq-AL"/>
        </w:rPr>
        <w:t>Nr.</w:t>
      </w:r>
      <w:r w:rsidR="000F72F0" w:rsidRPr="0036019C">
        <w:rPr>
          <w:rFonts w:ascii="Garamond" w:hAnsi="Garamond"/>
          <w:b/>
          <w:lang w:val="sq-AL"/>
        </w:rPr>
        <w:t xml:space="preserve"> </w:t>
      </w:r>
      <w:r w:rsidRPr="0036019C">
        <w:rPr>
          <w:rFonts w:ascii="Garamond" w:hAnsi="Garamond"/>
          <w:b/>
          <w:lang w:val="sq-AL"/>
        </w:rPr>
        <w:t>735</w:t>
      </w:r>
      <w:r w:rsidR="00D73826">
        <w:rPr>
          <w:rFonts w:ascii="Garamond" w:hAnsi="Garamond"/>
          <w:b/>
          <w:lang w:val="sq-AL"/>
        </w:rPr>
        <w:t>,</w:t>
      </w:r>
      <w:r w:rsidRPr="0036019C">
        <w:rPr>
          <w:rFonts w:ascii="Garamond" w:hAnsi="Garamond"/>
          <w:b/>
          <w:lang w:val="sq-AL"/>
        </w:rPr>
        <w:t xml:space="preserve"> datë 10.12.2025</w:t>
      </w:r>
    </w:p>
    <w:p w14:paraId="5ACACE42" w14:textId="77777777" w:rsidR="00796B0B" w:rsidRPr="0036019C" w:rsidRDefault="00796B0B" w:rsidP="000335E3">
      <w:pPr>
        <w:ind w:firstLine="284"/>
        <w:jc w:val="center"/>
        <w:rPr>
          <w:rFonts w:ascii="Garamond" w:hAnsi="Garamond"/>
          <w:b/>
          <w:lang w:val="sq-AL"/>
        </w:rPr>
      </w:pPr>
    </w:p>
    <w:p w14:paraId="3157A74C" w14:textId="6326A363" w:rsidR="00796B0B" w:rsidRPr="0036019C" w:rsidRDefault="00796B0B" w:rsidP="000335E3">
      <w:pPr>
        <w:ind w:firstLine="284"/>
        <w:jc w:val="center"/>
        <w:rPr>
          <w:rFonts w:ascii="Garamond" w:hAnsi="Garamond"/>
          <w:b/>
          <w:lang w:val="sq-AL"/>
        </w:rPr>
      </w:pPr>
      <w:r w:rsidRPr="0036019C">
        <w:rPr>
          <w:rFonts w:ascii="Garamond" w:hAnsi="Garamond"/>
          <w:b/>
          <w:lang w:val="sq-AL"/>
        </w:rPr>
        <w:t>PËR MIRATIMIN E MARRËVESHJES SË FINANCIMIT NDËRMJET REPUBLIKËS SË SHQIPËRISË, PËRFAQËSUAR NGA KËSHILLI</w:t>
      </w:r>
      <w:r w:rsidR="000F72F0" w:rsidRPr="0036019C">
        <w:rPr>
          <w:rFonts w:ascii="Garamond" w:hAnsi="Garamond"/>
          <w:b/>
          <w:lang w:val="sq-AL"/>
        </w:rPr>
        <w:t xml:space="preserve"> </w:t>
      </w:r>
      <w:r w:rsidRPr="0036019C">
        <w:rPr>
          <w:rFonts w:ascii="Garamond" w:hAnsi="Garamond"/>
          <w:b/>
          <w:lang w:val="sq-AL"/>
        </w:rPr>
        <w:t>I MINISTRAVE I REPUBLIKËS SË SHQIPËRISË, DHE KOMISIONIT EVROPIAN, PËR PLANIN SHUMËVJEÇAR TË VEPRIMIT NË FAVOR TË SHQIPËRISË</w:t>
      </w:r>
      <w:r w:rsidR="00FA4FC7">
        <w:rPr>
          <w:rFonts w:ascii="Garamond" w:hAnsi="Garamond"/>
          <w:b/>
          <w:lang w:val="sq-AL"/>
        </w:rPr>
        <w:t>,</w:t>
      </w:r>
      <w:r w:rsidRPr="0036019C">
        <w:rPr>
          <w:rFonts w:ascii="Garamond" w:hAnsi="Garamond"/>
          <w:b/>
          <w:lang w:val="sq-AL"/>
        </w:rPr>
        <w:t xml:space="preserve"> PËR VITET 2025</w:t>
      </w:r>
      <w:r w:rsidR="00D73826">
        <w:rPr>
          <w:rFonts w:ascii="Garamond" w:hAnsi="Garamond"/>
          <w:b/>
          <w:lang w:val="sq-AL"/>
        </w:rPr>
        <w:t>–</w:t>
      </w:r>
      <w:r w:rsidRPr="0036019C">
        <w:rPr>
          <w:rFonts w:ascii="Garamond" w:hAnsi="Garamond"/>
          <w:b/>
          <w:lang w:val="sq-AL"/>
        </w:rPr>
        <w:t>2027, NË KUADËR</w:t>
      </w:r>
      <w:r w:rsidR="000F72F0" w:rsidRPr="0036019C">
        <w:rPr>
          <w:rFonts w:ascii="Garamond" w:hAnsi="Garamond"/>
          <w:b/>
          <w:lang w:val="sq-AL"/>
        </w:rPr>
        <w:t xml:space="preserve"> </w:t>
      </w:r>
      <w:r w:rsidRPr="0036019C">
        <w:rPr>
          <w:rFonts w:ascii="Garamond" w:hAnsi="Garamond"/>
          <w:b/>
          <w:lang w:val="sq-AL"/>
        </w:rPr>
        <w:t>TË INSTRUMENTIT TË ASISTENCËS SË PARAANËTARËSIMIT</w:t>
      </w:r>
      <w:r w:rsidR="000F72F0" w:rsidRPr="0036019C">
        <w:rPr>
          <w:rFonts w:ascii="Garamond" w:hAnsi="Garamond"/>
          <w:b/>
          <w:lang w:val="sq-AL"/>
        </w:rPr>
        <w:t xml:space="preserve"> </w:t>
      </w:r>
      <w:r w:rsidRPr="0036019C">
        <w:rPr>
          <w:rFonts w:ascii="Garamond" w:hAnsi="Garamond"/>
          <w:b/>
          <w:lang w:val="sq-AL"/>
        </w:rPr>
        <w:t>(IPA III)</w:t>
      </w:r>
    </w:p>
    <w:p w14:paraId="0AB9E8FA" w14:textId="77777777" w:rsidR="00796B0B" w:rsidRPr="0036019C" w:rsidRDefault="00796B0B" w:rsidP="000335E3">
      <w:pPr>
        <w:ind w:firstLine="284"/>
        <w:jc w:val="center"/>
        <w:rPr>
          <w:rFonts w:ascii="Garamond" w:hAnsi="Garamond"/>
          <w:b/>
          <w:lang w:val="sq-AL"/>
        </w:rPr>
      </w:pPr>
    </w:p>
    <w:p w14:paraId="192B748C" w14:textId="52762E42" w:rsidR="00796B0B" w:rsidRPr="0036019C" w:rsidRDefault="00796B0B" w:rsidP="000335E3">
      <w:pPr>
        <w:ind w:firstLine="284"/>
        <w:jc w:val="both"/>
        <w:rPr>
          <w:rFonts w:ascii="Garamond" w:hAnsi="Garamond"/>
          <w:lang w:val="sq-AL"/>
        </w:rPr>
      </w:pPr>
      <w:r w:rsidRPr="0036019C">
        <w:rPr>
          <w:rFonts w:ascii="Garamond" w:hAnsi="Garamond"/>
          <w:lang w:val="sq-AL"/>
        </w:rPr>
        <w:t xml:space="preserve">Në mbështetje </w:t>
      </w:r>
      <w:r w:rsidR="0036019C" w:rsidRPr="0036019C">
        <w:rPr>
          <w:rFonts w:ascii="Garamond" w:hAnsi="Garamond"/>
          <w:lang w:val="sq-AL"/>
        </w:rPr>
        <w:t xml:space="preserve">të nenit </w:t>
      </w:r>
      <w:r w:rsidRPr="0036019C">
        <w:rPr>
          <w:rFonts w:ascii="Garamond" w:hAnsi="Garamond"/>
          <w:lang w:val="sq-AL"/>
        </w:rPr>
        <w:t xml:space="preserve">100 të Kushtetutës dhe </w:t>
      </w:r>
      <w:r w:rsidR="0036019C" w:rsidRPr="0036019C">
        <w:rPr>
          <w:rFonts w:ascii="Garamond" w:hAnsi="Garamond"/>
          <w:lang w:val="sq-AL"/>
        </w:rPr>
        <w:t xml:space="preserve">të nenit </w:t>
      </w:r>
      <w:r w:rsidRPr="0036019C">
        <w:rPr>
          <w:rFonts w:ascii="Garamond" w:hAnsi="Garamond"/>
          <w:lang w:val="sq-AL"/>
        </w:rPr>
        <w:t>19, të ligjit nr.</w:t>
      </w:r>
      <w:r w:rsidR="000F72F0" w:rsidRPr="0036019C">
        <w:rPr>
          <w:rFonts w:ascii="Garamond" w:hAnsi="Garamond"/>
          <w:lang w:val="sq-AL"/>
        </w:rPr>
        <w:t xml:space="preserve"> </w:t>
      </w:r>
      <w:r w:rsidRPr="0036019C">
        <w:rPr>
          <w:rFonts w:ascii="Garamond" w:hAnsi="Garamond"/>
          <w:lang w:val="sq-AL"/>
        </w:rPr>
        <w:t>43/2016, “Për marrëveshjet ndërkombëtare në Republikën e Shqipërisë”, të ndryshuar, me propozimin e Kryeministrit, Këshilli i Ministrave</w:t>
      </w:r>
    </w:p>
    <w:p w14:paraId="3322DB67" w14:textId="77777777" w:rsidR="00796B0B" w:rsidRPr="0036019C" w:rsidRDefault="00796B0B" w:rsidP="000335E3">
      <w:pPr>
        <w:ind w:firstLine="284"/>
        <w:jc w:val="both"/>
        <w:rPr>
          <w:rFonts w:ascii="Garamond" w:hAnsi="Garamond"/>
          <w:lang w:val="sq-AL"/>
        </w:rPr>
      </w:pPr>
    </w:p>
    <w:p w14:paraId="5B47CF44" w14:textId="77777777" w:rsidR="00796B0B" w:rsidRPr="0036019C" w:rsidRDefault="00796B0B" w:rsidP="000335E3">
      <w:pPr>
        <w:ind w:firstLine="284"/>
        <w:jc w:val="center"/>
        <w:rPr>
          <w:rFonts w:ascii="Garamond" w:hAnsi="Garamond"/>
          <w:lang w:val="sq-AL"/>
        </w:rPr>
      </w:pPr>
      <w:r w:rsidRPr="0036019C">
        <w:rPr>
          <w:rFonts w:ascii="Garamond" w:hAnsi="Garamond"/>
          <w:lang w:val="sq-AL"/>
        </w:rPr>
        <w:t>VENDOSI:</w:t>
      </w:r>
    </w:p>
    <w:p w14:paraId="6CE73D2A" w14:textId="77777777" w:rsidR="00796B0B" w:rsidRPr="0036019C" w:rsidRDefault="00796B0B" w:rsidP="000335E3">
      <w:pPr>
        <w:ind w:firstLine="284"/>
        <w:jc w:val="both"/>
        <w:rPr>
          <w:rFonts w:ascii="Garamond" w:hAnsi="Garamond"/>
          <w:lang w:val="sq-AL"/>
        </w:rPr>
      </w:pPr>
    </w:p>
    <w:p w14:paraId="7E226FD0" w14:textId="6D14DABC" w:rsidR="00796B0B" w:rsidRPr="0036019C" w:rsidRDefault="00796B0B" w:rsidP="000335E3">
      <w:pPr>
        <w:pStyle w:val="TEKSTIIIII"/>
      </w:pPr>
      <w:r w:rsidRPr="0036019C">
        <w:t>Miratimin e marrëveshjes së financimit ndërmjet Republikës së Shqipërisë, përfaqësuar nga Këshilli i Ministrave i Republikës së Shqipërisë, dhe Komisionit Evropian, për planin shumëvjeçar të veprimit në favor të Shqipërisë</w:t>
      </w:r>
      <w:r w:rsidR="00FA4FC7">
        <w:t>,</w:t>
      </w:r>
      <w:r w:rsidRPr="0036019C">
        <w:t xml:space="preserve"> për vitet 2025</w:t>
      </w:r>
      <w:r w:rsidR="00FA4FC7">
        <w:t>–</w:t>
      </w:r>
      <w:r w:rsidRPr="0036019C">
        <w:t xml:space="preserve">2027, në kuadër të Instrumentit të Asistencës së Paraanëtarësimit (IPA III)”, sipas tekstit që i bashkëlidhet këtij vendimi. </w:t>
      </w:r>
    </w:p>
    <w:p w14:paraId="0A286CA3" w14:textId="4F425D3A" w:rsidR="00796B0B" w:rsidRPr="0036019C" w:rsidRDefault="00796B0B" w:rsidP="000335E3">
      <w:pPr>
        <w:pStyle w:val="TEKSTIIIII"/>
      </w:pPr>
      <w:r w:rsidRPr="0036019C">
        <w:t xml:space="preserve">Ky vendim hyn në fuqi pas botimit në Fletoren </w:t>
      </w:r>
      <w:r w:rsidR="000335E3" w:rsidRPr="0036019C">
        <w:t>Zyrtare</w:t>
      </w:r>
      <w:r w:rsidR="00CA28E4" w:rsidRPr="0036019C">
        <w:t>.</w:t>
      </w:r>
    </w:p>
    <w:p w14:paraId="4BDC563F" w14:textId="77777777" w:rsidR="00796B0B" w:rsidRPr="0036019C" w:rsidRDefault="00796B0B" w:rsidP="000335E3">
      <w:pPr>
        <w:ind w:firstLine="284"/>
        <w:jc w:val="both"/>
        <w:rPr>
          <w:rFonts w:ascii="Garamond" w:hAnsi="Garamond"/>
          <w:lang w:val="sq-AL"/>
        </w:rPr>
      </w:pPr>
    </w:p>
    <w:p w14:paraId="5EE58F18" w14:textId="77777777" w:rsidR="00796B0B" w:rsidRPr="0036019C" w:rsidRDefault="00796B0B" w:rsidP="000335E3">
      <w:pPr>
        <w:ind w:firstLine="284"/>
        <w:jc w:val="right"/>
        <w:rPr>
          <w:rFonts w:ascii="Garamond" w:hAnsi="Garamond"/>
          <w:lang w:val="sq-AL"/>
        </w:rPr>
      </w:pPr>
      <w:r w:rsidRPr="0036019C">
        <w:rPr>
          <w:rFonts w:ascii="Garamond" w:hAnsi="Garamond"/>
          <w:lang w:val="sq-AL"/>
        </w:rPr>
        <w:t xml:space="preserve">KRYEMINISTËR </w:t>
      </w:r>
    </w:p>
    <w:p w14:paraId="27AF6E40" w14:textId="7C110B92" w:rsidR="00796B0B" w:rsidRPr="0036019C" w:rsidRDefault="00796B0B" w:rsidP="000335E3">
      <w:pPr>
        <w:ind w:firstLine="284"/>
        <w:jc w:val="right"/>
        <w:rPr>
          <w:rFonts w:ascii="Garamond" w:hAnsi="Garamond"/>
          <w:b/>
          <w:lang w:val="sq-AL"/>
        </w:rPr>
      </w:pPr>
      <w:r w:rsidRPr="0036019C">
        <w:rPr>
          <w:rFonts w:ascii="Garamond" w:hAnsi="Garamond"/>
          <w:b/>
          <w:lang w:val="sq-AL"/>
        </w:rPr>
        <w:t>Edi Rama</w:t>
      </w:r>
    </w:p>
    <w:p w14:paraId="34F5D707" w14:textId="5646EC1A" w:rsidR="000335E3" w:rsidRPr="0036019C" w:rsidRDefault="000335E3" w:rsidP="000335E3">
      <w:pPr>
        <w:ind w:firstLine="284"/>
        <w:jc w:val="right"/>
        <w:rPr>
          <w:rFonts w:ascii="Garamond" w:hAnsi="Garamond"/>
          <w:b/>
          <w:lang w:val="sq-AL"/>
        </w:rPr>
      </w:pPr>
    </w:p>
    <w:p w14:paraId="074AC174" w14:textId="77777777" w:rsidR="000335E3" w:rsidRPr="0036019C" w:rsidRDefault="000335E3" w:rsidP="000335E3">
      <w:pPr>
        <w:pStyle w:val="Heading10"/>
        <w:spacing w:before="0" w:after="0" w:line="240" w:lineRule="auto"/>
        <w:ind w:firstLine="284"/>
        <w:rPr>
          <w:rFonts w:ascii="Garamond" w:hAnsi="Garamond"/>
          <w:color w:val="auto"/>
          <w:sz w:val="24"/>
          <w:szCs w:val="24"/>
        </w:rPr>
      </w:pPr>
      <w:r w:rsidRPr="0036019C">
        <w:rPr>
          <w:rFonts w:ascii="Garamond" w:hAnsi="Garamond"/>
          <w:sz w:val="24"/>
          <w:szCs w:val="24"/>
        </w:rPr>
        <w:t>MARRËVESHJE FINANCIMI</w:t>
      </w:r>
    </w:p>
    <w:p w14:paraId="59EC27AD" w14:textId="77777777" w:rsidR="000335E3" w:rsidRPr="0036019C" w:rsidRDefault="000335E3" w:rsidP="000335E3">
      <w:pPr>
        <w:pStyle w:val="Heading20"/>
        <w:spacing w:after="0" w:line="240" w:lineRule="auto"/>
        <w:ind w:firstLine="284"/>
        <w:rPr>
          <w:rFonts w:ascii="Garamond" w:hAnsi="Garamond"/>
          <w:color w:val="auto"/>
          <w:sz w:val="24"/>
          <w:szCs w:val="24"/>
        </w:rPr>
      </w:pPr>
      <w:r w:rsidRPr="0036019C">
        <w:rPr>
          <w:rFonts w:ascii="Garamond" w:hAnsi="Garamond"/>
          <w:color w:val="auto"/>
          <w:sz w:val="24"/>
          <w:szCs w:val="24"/>
        </w:rPr>
        <w:t>KUSHTET E VEÇANTA</w:t>
      </w:r>
    </w:p>
    <w:p w14:paraId="53BAFBF3" w14:textId="77777777" w:rsidR="000335E3" w:rsidRPr="0036019C" w:rsidRDefault="000335E3" w:rsidP="000335E3">
      <w:pPr>
        <w:ind w:firstLine="284"/>
        <w:jc w:val="both"/>
        <w:rPr>
          <w:rFonts w:ascii="Garamond" w:hAnsi="Garamond"/>
          <w:lang w:val="sq-AL"/>
        </w:rPr>
      </w:pPr>
    </w:p>
    <w:p w14:paraId="16C82E73" w14:textId="77777777" w:rsidR="00E62F94" w:rsidRDefault="000335E3" w:rsidP="00B15DB7">
      <w:pPr>
        <w:pStyle w:val="BodyText"/>
        <w:ind w:firstLine="284"/>
        <w:rPr>
          <w:rFonts w:ascii="Garamond" w:hAnsi="Garamond"/>
          <w:lang w:val="sq-AL"/>
        </w:rPr>
      </w:pPr>
      <w:r w:rsidRPr="0036019C">
        <w:rPr>
          <w:rFonts w:ascii="Garamond" w:hAnsi="Garamond"/>
          <w:lang w:val="sq-AL"/>
        </w:rPr>
        <w:t>Komisioni Evropian, në vijim i referuar si “</w:t>
      </w:r>
      <w:r w:rsidRPr="0036019C">
        <w:rPr>
          <w:rFonts w:ascii="Garamond" w:hAnsi="Garamond"/>
          <w:b/>
          <w:bCs/>
          <w:lang w:val="sq-AL"/>
        </w:rPr>
        <w:t xml:space="preserve">Komisioni”, </w:t>
      </w:r>
      <w:r w:rsidRPr="0036019C">
        <w:rPr>
          <w:rFonts w:ascii="Garamond" w:hAnsi="Garamond"/>
          <w:lang w:val="sq-AL"/>
        </w:rPr>
        <w:t xml:space="preserve">i cili vepron në emër të Bashkimit Evropian, në vijim i referuar si </w:t>
      </w:r>
      <w:r w:rsidRPr="0036019C">
        <w:rPr>
          <w:rFonts w:ascii="Garamond" w:hAnsi="Garamond"/>
          <w:b/>
          <w:bCs/>
          <w:lang w:val="sq-AL"/>
        </w:rPr>
        <w:t>“BE</w:t>
      </w:r>
      <w:r w:rsidR="00B15DB7" w:rsidRPr="0036019C">
        <w:rPr>
          <w:rFonts w:ascii="Garamond" w:hAnsi="Garamond"/>
          <w:b/>
          <w:bCs/>
          <w:lang w:val="sq-AL"/>
        </w:rPr>
        <w:t>”</w:t>
      </w:r>
      <w:r w:rsidR="00B15DB7" w:rsidRPr="00E62F94">
        <w:rPr>
          <w:rFonts w:ascii="Garamond" w:hAnsi="Garamond"/>
          <w:bCs/>
          <w:lang w:val="sq-AL"/>
        </w:rPr>
        <w:t>,</w:t>
      </w:r>
      <w:r w:rsidR="00B15DB7" w:rsidRPr="0036019C">
        <w:rPr>
          <w:rFonts w:ascii="Garamond" w:hAnsi="Garamond"/>
          <w:b/>
          <w:bCs/>
          <w:lang w:val="sq-AL"/>
        </w:rPr>
        <w:t xml:space="preserve"> </w:t>
      </w:r>
      <w:r w:rsidRPr="0036019C">
        <w:rPr>
          <w:rFonts w:ascii="Garamond" w:hAnsi="Garamond"/>
          <w:lang w:val="sq-AL"/>
        </w:rPr>
        <w:t>nga njëra anë</w:t>
      </w:r>
      <w:r w:rsidR="00B15DB7" w:rsidRPr="0036019C">
        <w:rPr>
          <w:rFonts w:ascii="Garamond" w:hAnsi="Garamond"/>
          <w:lang w:val="sq-AL"/>
        </w:rPr>
        <w:t>,</w:t>
      </w:r>
      <w:r w:rsidR="00E62F94">
        <w:rPr>
          <w:rFonts w:ascii="Garamond" w:hAnsi="Garamond"/>
          <w:lang w:val="sq-AL"/>
        </w:rPr>
        <w:t xml:space="preserve"> </w:t>
      </w:r>
      <w:r w:rsidRPr="0036019C">
        <w:rPr>
          <w:rFonts w:ascii="Garamond" w:hAnsi="Garamond"/>
          <w:lang w:val="sq-AL"/>
        </w:rPr>
        <w:t>dhe</w:t>
      </w:r>
      <w:r w:rsidR="00B15DB7" w:rsidRPr="0036019C">
        <w:rPr>
          <w:rFonts w:ascii="Garamond" w:hAnsi="Garamond"/>
          <w:lang w:val="sq-AL"/>
        </w:rPr>
        <w:t xml:space="preserve"> </w:t>
      </w:r>
    </w:p>
    <w:p w14:paraId="3D8C5FD1" w14:textId="453ED6ED" w:rsidR="000335E3" w:rsidRPr="0036019C" w:rsidRDefault="000335E3" w:rsidP="00B15DB7">
      <w:pPr>
        <w:pStyle w:val="BodyText"/>
        <w:ind w:firstLine="284"/>
        <w:rPr>
          <w:rFonts w:ascii="Garamond" w:hAnsi="Garamond"/>
          <w:lang w:val="sq-AL"/>
        </w:rPr>
      </w:pPr>
      <w:r w:rsidRPr="0036019C">
        <w:rPr>
          <w:rFonts w:ascii="Garamond" w:hAnsi="Garamond"/>
          <w:lang w:val="sq-AL"/>
        </w:rPr>
        <w:t xml:space="preserve">Republika e Shqipërisë, në vijim e referuar si </w:t>
      </w:r>
      <w:r w:rsidRPr="0036019C">
        <w:rPr>
          <w:rFonts w:ascii="Garamond" w:hAnsi="Garamond"/>
          <w:b/>
          <w:bCs/>
          <w:lang w:val="sq-AL"/>
        </w:rPr>
        <w:t>“përfituesi IPA III”</w:t>
      </w:r>
      <w:r w:rsidRPr="00E62F94">
        <w:rPr>
          <w:rFonts w:ascii="Garamond" w:hAnsi="Garamond"/>
          <w:bCs/>
          <w:lang w:val="sq-AL"/>
        </w:rPr>
        <w:t>,</w:t>
      </w:r>
      <w:r w:rsidRPr="0036019C">
        <w:rPr>
          <w:rFonts w:ascii="Garamond" w:hAnsi="Garamond"/>
          <w:b/>
          <w:bCs/>
          <w:lang w:val="sq-AL"/>
        </w:rPr>
        <w:t xml:space="preserve"> </w:t>
      </w:r>
      <w:r w:rsidRPr="0036019C">
        <w:rPr>
          <w:rFonts w:ascii="Garamond" w:hAnsi="Garamond"/>
          <w:lang w:val="sq-AL"/>
        </w:rPr>
        <w:t xml:space="preserve">e përfaqësuar nga Këshilli i Ministrave i Republikës së Shqipërisë, </w:t>
      </w:r>
    </w:p>
    <w:p w14:paraId="5F44C31F" w14:textId="77777777" w:rsidR="000335E3" w:rsidRPr="0036019C" w:rsidRDefault="000335E3" w:rsidP="000335E3">
      <w:pPr>
        <w:ind w:firstLine="284"/>
        <w:jc w:val="both"/>
        <w:rPr>
          <w:rFonts w:ascii="Garamond" w:hAnsi="Garamond"/>
          <w:lang w:val="sq-AL"/>
        </w:rPr>
      </w:pPr>
      <w:r w:rsidRPr="0036019C">
        <w:rPr>
          <w:rFonts w:ascii="Garamond" w:hAnsi="Garamond"/>
          <w:lang w:val="sq-AL"/>
        </w:rPr>
        <w:t>nga ana tjetër (individualisht “Pala” dhe së bashku “Palët”),</w:t>
      </w:r>
    </w:p>
    <w:p w14:paraId="6BFE7797" w14:textId="77777777" w:rsidR="000335E3" w:rsidRPr="0036019C" w:rsidRDefault="000335E3" w:rsidP="000335E3">
      <w:pPr>
        <w:ind w:firstLine="284"/>
        <w:jc w:val="both"/>
        <w:rPr>
          <w:rFonts w:ascii="Garamond" w:hAnsi="Garamond"/>
          <w:b/>
          <w:bCs/>
          <w:lang w:val="sq-AL"/>
        </w:rPr>
      </w:pPr>
      <w:r w:rsidRPr="0036019C">
        <w:rPr>
          <w:rFonts w:ascii="Garamond" w:hAnsi="Garamond"/>
          <w:lang w:val="sq-AL"/>
        </w:rPr>
        <w:t>bien dakord si më poshtë:</w:t>
      </w:r>
    </w:p>
    <w:p w14:paraId="0651201C" w14:textId="77777777" w:rsidR="000335E3" w:rsidRPr="0036019C" w:rsidRDefault="000335E3" w:rsidP="000335E3">
      <w:pPr>
        <w:pStyle w:val="Heading3"/>
        <w:spacing w:after="0" w:line="240" w:lineRule="auto"/>
        <w:ind w:firstLine="284"/>
        <w:rPr>
          <w:rFonts w:ascii="Garamond" w:hAnsi="Garamond"/>
          <w:color w:val="auto"/>
          <w:sz w:val="24"/>
          <w:szCs w:val="24"/>
        </w:rPr>
      </w:pPr>
    </w:p>
    <w:p w14:paraId="3A2244DB" w14:textId="7FECFE75" w:rsidR="000335E3" w:rsidRPr="0036019C" w:rsidRDefault="000335E3" w:rsidP="000335E3">
      <w:pPr>
        <w:pStyle w:val="Heading3"/>
        <w:spacing w:after="0" w:line="240" w:lineRule="auto"/>
        <w:ind w:firstLine="284"/>
        <w:jc w:val="center"/>
        <w:rPr>
          <w:rFonts w:ascii="Garamond" w:hAnsi="Garamond"/>
          <w:b w:val="0"/>
          <w:color w:val="auto"/>
          <w:sz w:val="24"/>
          <w:szCs w:val="24"/>
        </w:rPr>
      </w:pPr>
      <w:r w:rsidRPr="0036019C">
        <w:rPr>
          <w:rFonts w:ascii="Garamond" w:hAnsi="Garamond"/>
          <w:b w:val="0"/>
          <w:color w:val="auto"/>
          <w:sz w:val="24"/>
          <w:szCs w:val="24"/>
        </w:rPr>
        <w:t>Neni 1</w:t>
      </w:r>
    </w:p>
    <w:p w14:paraId="1C3EDB50" w14:textId="757F9273" w:rsidR="000335E3" w:rsidRPr="0036019C" w:rsidRDefault="000335E3" w:rsidP="000335E3">
      <w:pPr>
        <w:pStyle w:val="Heading3"/>
        <w:spacing w:after="0" w:line="240" w:lineRule="auto"/>
        <w:ind w:firstLine="284"/>
        <w:jc w:val="center"/>
        <w:rPr>
          <w:rFonts w:ascii="Garamond" w:hAnsi="Garamond"/>
          <w:color w:val="auto"/>
          <w:sz w:val="24"/>
          <w:szCs w:val="24"/>
        </w:rPr>
      </w:pPr>
      <w:r w:rsidRPr="0036019C">
        <w:rPr>
          <w:rFonts w:ascii="Garamond" w:hAnsi="Garamond"/>
          <w:color w:val="auto"/>
          <w:sz w:val="24"/>
          <w:szCs w:val="24"/>
        </w:rPr>
        <w:t>Programi</w:t>
      </w:r>
    </w:p>
    <w:p w14:paraId="6F8C9996" w14:textId="77777777" w:rsidR="000335E3" w:rsidRPr="0036019C" w:rsidRDefault="000335E3" w:rsidP="000335E3">
      <w:pPr>
        <w:ind w:firstLine="284"/>
        <w:jc w:val="both"/>
        <w:rPr>
          <w:rFonts w:ascii="Garamond" w:hAnsi="Garamond"/>
          <w:lang w:val="sq-AL"/>
        </w:rPr>
      </w:pPr>
    </w:p>
    <w:p w14:paraId="32703E7E" w14:textId="4B5688C3" w:rsidR="000335E3" w:rsidRPr="0036019C" w:rsidRDefault="000335E3" w:rsidP="000335E3">
      <w:pPr>
        <w:ind w:firstLine="284"/>
        <w:jc w:val="both"/>
        <w:rPr>
          <w:rFonts w:ascii="Garamond" w:hAnsi="Garamond"/>
          <w:lang w:val="sq-AL"/>
        </w:rPr>
      </w:pPr>
      <w:r w:rsidRPr="0036019C">
        <w:rPr>
          <w:rFonts w:ascii="Garamond" w:hAnsi="Garamond"/>
          <w:lang w:val="sq-AL"/>
        </w:rPr>
        <w:t>1</w:t>
      </w:r>
      <w:r w:rsidR="00E30A60" w:rsidRPr="0036019C">
        <w:rPr>
          <w:rFonts w:ascii="Garamond" w:hAnsi="Garamond"/>
          <w:lang w:val="sq-AL"/>
        </w:rPr>
        <w:t>.</w:t>
      </w:r>
      <w:r w:rsidRPr="0036019C">
        <w:rPr>
          <w:rFonts w:ascii="Garamond" w:hAnsi="Garamond"/>
          <w:lang w:val="sq-AL"/>
        </w:rPr>
        <w:t xml:space="preserve"> BE-ja bie dakord të financojë dhe përfituesi IPA III bie dakord të pranojë financimin e Programit në vijim:</w:t>
      </w:r>
    </w:p>
    <w:p w14:paraId="171A249E" w14:textId="44A8D049" w:rsidR="000335E3" w:rsidRPr="0036019C" w:rsidRDefault="000335E3" w:rsidP="000335E3">
      <w:pPr>
        <w:ind w:firstLine="284"/>
        <w:jc w:val="both"/>
        <w:rPr>
          <w:rFonts w:ascii="Garamond" w:hAnsi="Garamond"/>
          <w:lang w:val="sq-AL"/>
        </w:rPr>
      </w:pPr>
      <w:r w:rsidRPr="0036019C">
        <w:rPr>
          <w:rFonts w:ascii="Garamond" w:hAnsi="Garamond"/>
          <w:lang w:val="sq-AL"/>
        </w:rPr>
        <w:t>Veprim shumëvjeçar në favor të Shqipërisë për periudhën 2025</w:t>
      </w:r>
      <w:r w:rsidR="00D20604">
        <w:rPr>
          <w:rFonts w:ascii="Garamond" w:hAnsi="Garamond"/>
          <w:lang w:val="sq-AL"/>
        </w:rPr>
        <w:t>–</w:t>
      </w:r>
      <w:r w:rsidRPr="0036019C">
        <w:rPr>
          <w:rFonts w:ascii="Garamond" w:hAnsi="Garamond"/>
          <w:lang w:val="sq-AL"/>
        </w:rPr>
        <w:t>2027</w:t>
      </w:r>
    </w:p>
    <w:p w14:paraId="2C93E675" w14:textId="77777777" w:rsidR="000335E3" w:rsidRPr="0036019C" w:rsidRDefault="000335E3" w:rsidP="000335E3">
      <w:pPr>
        <w:ind w:firstLine="284"/>
        <w:jc w:val="both"/>
        <w:rPr>
          <w:rFonts w:ascii="Garamond" w:hAnsi="Garamond"/>
          <w:lang w:val="sq-AL"/>
        </w:rPr>
      </w:pPr>
      <w:r w:rsidRPr="0036019C">
        <w:rPr>
          <w:rFonts w:ascii="Garamond" w:hAnsi="Garamond"/>
          <w:lang w:val="sq-AL"/>
        </w:rPr>
        <w:t>Numri i angazhimit global për vitin N: JAG.SUM.1893569</w:t>
      </w:r>
    </w:p>
    <w:p w14:paraId="42247713" w14:textId="5E7845D1" w:rsidR="000335E3" w:rsidRPr="0036019C" w:rsidRDefault="000335E3" w:rsidP="000335E3">
      <w:pPr>
        <w:ind w:firstLine="284"/>
        <w:jc w:val="both"/>
        <w:rPr>
          <w:rFonts w:ascii="Garamond" w:hAnsi="Garamond"/>
          <w:b/>
          <w:bCs/>
          <w:lang w:val="sq-AL"/>
        </w:rPr>
      </w:pPr>
      <w:r w:rsidRPr="0036019C">
        <w:rPr>
          <w:rFonts w:ascii="Garamond" w:hAnsi="Garamond"/>
          <w:lang w:val="sq-AL"/>
        </w:rPr>
        <w:t>Ky Program financohet nga buxheti i BE-së sipas aktit themelor: Instrumenti për Asistencën e Paraanëtarësimit, IPA III).</w:t>
      </w:r>
      <w:r w:rsidR="00786C46" w:rsidRPr="0036019C">
        <w:rPr>
          <w:rStyle w:val="FootnoteReference"/>
          <w:rFonts w:ascii="Garamond" w:hAnsi="Garamond"/>
          <w:lang w:val="sq-AL"/>
        </w:rPr>
        <w:footnoteReference w:id="2"/>
      </w:r>
    </w:p>
    <w:p w14:paraId="64E584CD" w14:textId="78F2AC74" w:rsidR="000335E3" w:rsidRPr="0036019C" w:rsidRDefault="000335E3" w:rsidP="000335E3">
      <w:pPr>
        <w:pStyle w:val="ListParagraph"/>
        <w:tabs>
          <w:tab w:val="left" w:pos="420"/>
        </w:tabs>
        <w:spacing w:after="0" w:line="240" w:lineRule="auto"/>
        <w:ind w:left="0" w:firstLine="284"/>
        <w:jc w:val="both"/>
        <w:rPr>
          <w:rFonts w:ascii="Garamond" w:hAnsi="Garamond" w:cs="Times New Roman"/>
          <w:color w:val="auto"/>
        </w:rPr>
      </w:pPr>
      <w:r w:rsidRPr="0036019C">
        <w:rPr>
          <w:rFonts w:ascii="Garamond" w:hAnsi="Garamond" w:cs="Times New Roman"/>
          <w:color w:val="auto"/>
        </w:rPr>
        <w:t>2</w:t>
      </w:r>
      <w:r w:rsidR="00E30A60" w:rsidRPr="0036019C">
        <w:rPr>
          <w:rFonts w:ascii="Garamond" w:hAnsi="Garamond" w:cs="Times New Roman"/>
          <w:color w:val="auto"/>
        </w:rPr>
        <w:t>.</w:t>
      </w:r>
      <w:r w:rsidRPr="0036019C">
        <w:rPr>
          <w:rFonts w:ascii="Garamond" w:hAnsi="Garamond" w:cs="Times New Roman"/>
          <w:color w:val="auto"/>
        </w:rPr>
        <w:t xml:space="preserve"> Kostoja totale e këtij Programi për periudhën 2025</w:t>
      </w:r>
      <w:r w:rsidR="0036019C" w:rsidRPr="0036019C">
        <w:rPr>
          <w:rFonts w:ascii="Garamond" w:hAnsi="Garamond" w:cs="Times New Roman"/>
          <w:color w:val="auto"/>
        </w:rPr>
        <w:t>–</w:t>
      </w:r>
      <w:r w:rsidRPr="0036019C">
        <w:rPr>
          <w:rFonts w:ascii="Garamond" w:hAnsi="Garamond" w:cs="Times New Roman"/>
          <w:color w:val="auto"/>
        </w:rPr>
        <w:t xml:space="preserve">2027 vlerësohet në 100,000,000 </w:t>
      </w:r>
      <w:r w:rsidR="0036019C" w:rsidRPr="0036019C">
        <w:rPr>
          <w:rFonts w:ascii="Garamond" w:hAnsi="Garamond" w:cs="Times New Roman"/>
          <w:color w:val="auto"/>
        </w:rPr>
        <w:t>euro</w:t>
      </w:r>
      <w:r w:rsidRPr="0036019C">
        <w:rPr>
          <w:rFonts w:ascii="Garamond" w:hAnsi="Garamond" w:cs="Times New Roman"/>
          <w:color w:val="auto"/>
        </w:rPr>
        <w:t xml:space="preserve">. Komisioni angazhohet të sigurojë një kontribut të BE-së deri në një shumë maksimale të vlerësuar prej 100,000,000 </w:t>
      </w:r>
      <w:r w:rsidR="0036019C" w:rsidRPr="0036019C">
        <w:rPr>
          <w:rFonts w:ascii="Garamond" w:hAnsi="Garamond" w:cs="Times New Roman"/>
          <w:color w:val="auto"/>
        </w:rPr>
        <w:t>euro</w:t>
      </w:r>
      <w:r w:rsidR="00D20604">
        <w:rPr>
          <w:rFonts w:ascii="Garamond" w:hAnsi="Garamond" w:cs="Times New Roman"/>
          <w:color w:val="auto"/>
        </w:rPr>
        <w:t>sh</w:t>
      </w:r>
      <w:r w:rsidR="0036019C" w:rsidRPr="0036019C">
        <w:rPr>
          <w:rFonts w:ascii="Garamond" w:hAnsi="Garamond" w:cs="Times New Roman"/>
          <w:color w:val="auto"/>
        </w:rPr>
        <w:t xml:space="preserve"> </w:t>
      </w:r>
      <w:r w:rsidRPr="0036019C">
        <w:rPr>
          <w:rFonts w:ascii="Garamond" w:hAnsi="Garamond" w:cs="Times New Roman"/>
          <w:color w:val="auto"/>
        </w:rPr>
        <w:t xml:space="preserve">për të gjithë kohëzgjatjen e zbatimit të këtij Programi. </w:t>
      </w:r>
    </w:p>
    <w:p w14:paraId="1B101C68" w14:textId="37689C9B" w:rsidR="000335E3" w:rsidRPr="0036019C" w:rsidRDefault="000335E3" w:rsidP="000335E3">
      <w:pPr>
        <w:pStyle w:val="ListParagraph"/>
        <w:tabs>
          <w:tab w:val="left" w:pos="420"/>
        </w:tabs>
        <w:spacing w:after="0" w:line="240" w:lineRule="auto"/>
        <w:ind w:left="0" w:firstLine="284"/>
        <w:jc w:val="both"/>
        <w:rPr>
          <w:rFonts w:ascii="Garamond" w:hAnsi="Garamond" w:cs="Times New Roman"/>
          <w:color w:val="auto"/>
        </w:rPr>
      </w:pPr>
      <w:r w:rsidRPr="0036019C">
        <w:rPr>
          <w:rFonts w:ascii="Garamond" w:hAnsi="Garamond" w:cs="Times New Roman"/>
          <w:color w:val="auto"/>
        </w:rPr>
        <w:lastRenderedPageBreak/>
        <w:t>3</w:t>
      </w:r>
      <w:r w:rsidR="00E30A60" w:rsidRPr="0036019C">
        <w:rPr>
          <w:rFonts w:ascii="Garamond" w:hAnsi="Garamond" w:cs="Times New Roman"/>
          <w:color w:val="auto"/>
        </w:rPr>
        <w:t>.</w:t>
      </w:r>
      <w:r w:rsidRPr="0036019C">
        <w:rPr>
          <w:rFonts w:ascii="Garamond" w:hAnsi="Garamond" w:cs="Times New Roman"/>
          <w:color w:val="auto"/>
        </w:rPr>
        <w:t xml:space="preserve"> Kontributi i BE-së do të ndahet në angazhime vjetore për periudhën 2025</w:t>
      </w:r>
      <w:r w:rsidR="0036019C" w:rsidRPr="0036019C">
        <w:rPr>
          <w:rFonts w:ascii="Garamond" w:hAnsi="Garamond" w:cs="Times New Roman"/>
          <w:color w:val="auto"/>
        </w:rPr>
        <w:t>–</w:t>
      </w:r>
      <w:r w:rsidRPr="0036019C">
        <w:rPr>
          <w:rFonts w:ascii="Garamond" w:hAnsi="Garamond" w:cs="Times New Roman"/>
          <w:color w:val="auto"/>
        </w:rPr>
        <w:t xml:space="preserve">2027 në përputhje </w:t>
      </w:r>
      <w:r w:rsidR="00C347BB">
        <w:rPr>
          <w:rFonts w:ascii="Garamond" w:hAnsi="Garamond" w:cs="Times New Roman"/>
          <w:color w:val="auto"/>
        </w:rPr>
        <w:t>në shtojcën</w:t>
      </w:r>
      <w:r w:rsidR="0036019C" w:rsidRPr="0036019C">
        <w:rPr>
          <w:rFonts w:ascii="Garamond" w:hAnsi="Garamond" w:cs="Times New Roman"/>
          <w:color w:val="auto"/>
        </w:rPr>
        <w:t xml:space="preserve"> </w:t>
      </w:r>
      <w:r w:rsidRPr="0036019C">
        <w:rPr>
          <w:rFonts w:ascii="Garamond" w:hAnsi="Garamond" w:cs="Times New Roman"/>
          <w:color w:val="auto"/>
        </w:rPr>
        <w:t xml:space="preserve"> I. Angazhimi financiar për vitin 2025 në shumën 33,563,000 </w:t>
      </w:r>
      <w:r w:rsidR="0036019C" w:rsidRPr="0036019C">
        <w:rPr>
          <w:rFonts w:ascii="Garamond" w:hAnsi="Garamond" w:cs="Times New Roman"/>
          <w:color w:val="auto"/>
        </w:rPr>
        <w:t xml:space="preserve">euro </w:t>
      </w:r>
      <w:r w:rsidRPr="0036019C">
        <w:rPr>
          <w:rFonts w:ascii="Garamond" w:hAnsi="Garamond" w:cs="Times New Roman"/>
          <w:color w:val="auto"/>
        </w:rPr>
        <w:t>është i disponueshëm menjëherë pas nënshkrimit të Marrëveshjes së Financimit. Angazhimet financiare të planifikuara nga buxheti i përgjithshëm i Bashkimit Evropian për vitet pasuese (2026 dhe 2027) varen nga disponueshmëria e parapagimeve për vitet përkatëse financiare, pas miratimit të buxhetit vjetor përkatës.</w:t>
      </w:r>
      <w:r w:rsidR="000F72F0" w:rsidRPr="0036019C">
        <w:rPr>
          <w:rFonts w:ascii="Garamond" w:hAnsi="Garamond" w:cs="Times New Roman"/>
          <w:color w:val="auto"/>
        </w:rPr>
        <w:t xml:space="preserve"> </w:t>
      </w:r>
    </w:p>
    <w:p w14:paraId="541E7A5A" w14:textId="70F314CE" w:rsidR="000335E3" w:rsidRPr="0036019C" w:rsidRDefault="000335E3" w:rsidP="000335E3">
      <w:pPr>
        <w:ind w:firstLine="284"/>
        <w:jc w:val="both"/>
        <w:rPr>
          <w:rFonts w:ascii="Garamond" w:hAnsi="Garamond"/>
          <w:lang w:val="sq-AL"/>
        </w:rPr>
      </w:pPr>
      <w:r w:rsidRPr="0036019C">
        <w:rPr>
          <w:rFonts w:ascii="Garamond" w:hAnsi="Garamond"/>
          <w:lang w:val="sq-AL"/>
        </w:rPr>
        <w:t>4</w:t>
      </w:r>
      <w:r w:rsidR="0036019C" w:rsidRPr="0036019C">
        <w:rPr>
          <w:rFonts w:ascii="Garamond" w:hAnsi="Garamond"/>
          <w:lang w:val="sq-AL"/>
        </w:rPr>
        <w:t>.</w:t>
      </w:r>
      <w:r w:rsidRPr="0036019C">
        <w:rPr>
          <w:rFonts w:ascii="Garamond" w:hAnsi="Garamond"/>
          <w:lang w:val="sq-AL"/>
        </w:rPr>
        <w:t xml:space="preserve"> Asgjë në këtë Marrëveshje Financiare nuk mund të interpretohet si një angazhim financiar i BE-së në lidhje me ndarjet buxhetore që ende nuk janë miratuar me miratimin e buxhetit vjetor përkatës të BE-së. Komisioni do të njoftojë përfituesin IPA III me shkrim ose do të informojë me anë të shkëmbimit të letrave/shkresave zyrtare në lidhje me miratimin e angazhimeve financiare pasuese të treguara </w:t>
      </w:r>
      <w:r w:rsidR="00C347BB">
        <w:rPr>
          <w:rFonts w:ascii="Garamond" w:hAnsi="Garamond"/>
          <w:lang w:val="sq-AL"/>
        </w:rPr>
        <w:t>në shtojcën</w:t>
      </w:r>
      <w:r w:rsidRPr="0036019C">
        <w:rPr>
          <w:rFonts w:ascii="Garamond" w:hAnsi="Garamond"/>
          <w:lang w:val="sq-AL"/>
        </w:rPr>
        <w:t xml:space="preserve"> I, dhe, kur është e nevojshme, do të konfirmojë masat që do të mbështeten.</w:t>
      </w:r>
    </w:p>
    <w:p w14:paraId="3048ADDB" w14:textId="0009CF9A" w:rsidR="000335E3" w:rsidRPr="0036019C" w:rsidRDefault="000335E3" w:rsidP="000335E3">
      <w:pPr>
        <w:ind w:firstLine="284"/>
        <w:jc w:val="both"/>
        <w:rPr>
          <w:rFonts w:ascii="Garamond" w:hAnsi="Garamond"/>
          <w:lang w:val="sq-AL"/>
        </w:rPr>
      </w:pPr>
      <w:r w:rsidRPr="0036019C">
        <w:rPr>
          <w:rFonts w:ascii="Garamond" w:hAnsi="Garamond"/>
          <w:lang w:val="sq-AL"/>
        </w:rPr>
        <w:t>5</w:t>
      </w:r>
      <w:r w:rsidR="0036019C" w:rsidRPr="0036019C">
        <w:rPr>
          <w:rFonts w:ascii="Garamond" w:hAnsi="Garamond"/>
          <w:lang w:val="sq-AL"/>
        </w:rPr>
        <w:t>.</w:t>
      </w:r>
      <w:r w:rsidRPr="0036019C">
        <w:rPr>
          <w:rFonts w:ascii="Garamond" w:hAnsi="Garamond"/>
          <w:lang w:val="sq-AL"/>
        </w:rPr>
        <w:t xml:space="preserve"> Nuk kërkohet asnjë kontribut financuar nga përfituesi i IPA III.</w:t>
      </w:r>
    </w:p>
    <w:p w14:paraId="6F427842" w14:textId="0A2AB140" w:rsidR="000335E3" w:rsidRPr="0036019C" w:rsidRDefault="000335E3" w:rsidP="000335E3">
      <w:pPr>
        <w:ind w:firstLine="284"/>
        <w:jc w:val="both"/>
        <w:rPr>
          <w:rFonts w:ascii="Garamond" w:hAnsi="Garamond"/>
          <w:lang w:val="sq-AL"/>
        </w:rPr>
      </w:pPr>
      <w:r w:rsidRPr="0036019C">
        <w:rPr>
          <w:rFonts w:ascii="Garamond" w:hAnsi="Garamond"/>
          <w:lang w:val="sq-AL"/>
        </w:rPr>
        <w:t xml:space="preserve">6) Programi do të zbatohet në përputhje me përshkrimin e dhënë </w:t>
      </w:r>
      <w:r w:rsidR="00C347BB">
        <w:rPr>
          <w:rFonts w:ascii="Garamond" w:hAnsi="Garamond"/>
          <w:lang w:val="sq-AL"/>
        </w:rPr>
        <w:t>në shtojcën</w:t>
      </w:r>
      <w:r w:rsidRPr="0036019C">
        <w:rPr>
          <w:rFonts w:ascii="Garamond" w:hAnsi="Garamond"/>
          <w:lang w:val="sq-AL"/>
        </w:rPr>
        <w:t xml:space="preserve"> I, i cili detajohet më tej në </w:t>
      </w:r>
      <w:r w:rsidR="00C347BB" w:rsidRPr="0036019C">
        <w:rPr>
          <w:rFonts w:ascii="Garamond" w:hAnsi="Garamond"/>
          <w:lang w:val="sq-AL"/>
        </w:rPr>
        <w:t xml:space="preserve">fletët e veprimit </w:t>
      </w:r>
      <w:r w:rsidRPr="0036019C">
        <w:rPr>
          <w:rFonts w:ascii="Garamond" w:hAnsi="Garamond"/>
          <w:lang w:val="sq-AL"/>
        </w:rPr>
        <w:t>të miratuara nga Komisioni dhe përfituesi i IPA III.</w:t>
      </w:r>
    </w:p>
    <w:p w14:paraId="681A06B9" w14:textId="77777777" w:rsidR="000335E3" w:rsidRPr="0036019C" w:rsidRDefault="000335E3" w:rsidP="000335E3">
      <w:pPr>
        <w:ind w:firstLine="284"/>
        <w:jc w:val="both"/>
        <w:rPr>
          <w:rFonts w:ascii="Garamond" w:hAnsi="Garamond"/>
          <w:b/>
          <w:bCs/>
          <w:lang w:val="sq-AL"/>
        </w:rPr>
      </w:pPr>
    </w:p>
    <w:p w14:paraId="0096A788" w14:textId="2CE237E0" w:rsidR="000335E3" w:rsidRPr="0036019C" w:rsidRDefault="000335E3" w:rsidP="000335E3">
      <w:pPr>
        <w:ind w:firstLine="284"/>
        <w:jc w:val="center"/>
        <w:rPr>
          <w:rFonts w:ascii="Garamond" w:hAnsi="Garamond"/>
          <w:bCs/>
          <w:lang w:val="sq-AL"/>
        </w:rPr>
      </w:pPr>
      <w:r w:rsidRPr="0036019C">
        <w:rPr>
          <w:rFonts w:ascii="Garamond" w:hAnsi="Garamond"/>
          <w:bCs/>
          <w:lang w:val="sq-AL"/>
        </w:rPr>
        <w:t>Neni 2</w:t>
      </w:r>
    </w:p>
    <w:p w14:paraId="640C63AD" w14:textId="3E633FE2" w:rsidR="000335E3" w:rsidRPr="0036019C" w:rsidRDefault="000335E3" w:rsidP="000335E3">
      <w:pPr>
        <w:ind w:firstLine="284"/>
        <w:jc w:val="center"/>
        <w:rPr>
          <w:rFonts w:ascii="Garamond" w:hAnsi="Garamond"/>
          <w:b/>
          <w:bCs/>
          <w:lang w:val="sq-AL"/>
        </w:rPr>
      </w:pPr>
      <w:r w:rsidRPr="0036019C">
        <w:rPr>
          <w:rFonts w:ascii="Garamond" w:hAnsi="Garamond"/>
          <w:b/>
          <w:bCs/>
          <w:lang w:val="sq-AL"/>
        </w:rPr>
        <w:t>Periudha e ekzekutimit dhe periudha e zbatimit operacional</w:t>
      </w:r>
    </w:p>
    <w:p w14:paraId="297C9EBB" w14:textId="77777777" w:rsidR="000335E3" w:rsidRPr="0036019C" w:rsidRDefault="000335E3" w:rsidP="000335E3">
      <w:pPr>
        <w:pStyle w:val="ListParagraph"/>
        <w:spacing w:after="0" w:line="240" w:lineRule="auto"/>
        <w:ind w:left="0" w:firstLine="284"/>
        <w:jc w:val="center"/>
        <w:rPr>
          <w:rFonts w:ascii="Garamond" w:hAnsi="Garamond" w:cs="Times New Roman"/>
          <w:color w:val="auto"/>
        </w:rPr>
      </w:pPr>
    </w:p>
    <w:p w14:paraId="4A58CCAC" w14:textId="3ED69FE9" w:rsidR="000335E3" w:rsidRPr="0036019C" w:rsidRDefault="000335E3" w:rsidP="000335E3">
      <w:pPr>
        <w:pStyle w:val="ListParagraph"/>
        <w:spacing w:after="0" w:line="240" w:lineRule="auto"/>
        <w:ind w:left="0" w:firstLine="284"/>
        <w:jc w:val="both"/>
        <w:rPr>
          <w:rFonts w:ascii="Garamond" w:hAnsi="Garamond" w:cs="Times New Roman"/>
          <w:color w:val="auto"/>
        </w:rPr>
      </w:pPr>
      <w:r w:rsidRPr="0036019C">
        <w:rPr>
          <w:rFonts w:ascii="Garamond" w:hAnsi="Garamond" w:cs="Times New Roman"/>
          <w:color w:val="auto"/>
        </w:rPr>
        <w:t>1</w:t>
      </w:r>
      <w:r w:rsidR="0036019C" w:rsidRPr="0036019C">
        <w:rPr>
          <w:rFonts w:ascii="Garamond" w:hAnsi="Garamond" w:cs="Times New Roman"/>
          <w:color w:val="auto"/>
        </w:rPr>
        <w:t>.</w:t>
      </w:r>
      <w:r w:rsidRPr="0036019C">
        <w:rPr>
          <w:rFonts w:ascii="Garamond" w:hAnsi="Garamond" w:cs="Times New Roman"/>
          <w:color w:val="auto"/>
        </w:rPr>
        <w:t xml:space="preserve"> Periudha e ekzekutimit të kësaj Marrëveshjeje Financiare, siç përcaktohet në Nenin 12 </w:t>
      </w:r>
      <w:r w:rsidR="0036019C" w:rsidRPr="0036019C">
        <w:rPr>
          <w:rFonts w:ascii="Garamond" w:hAnsi="Garamond" w:cs="Times New Roman"/>
          <w:color w:val="auto"/>
        </w:rPr>
        <w:t xml:space="preserve">të shtojcës </w:t>
      </w:r>
      <w:r w:rsidRPr="0036019C">
        <w:rPr>
          <w:rFonts w:ascii="Garamond" w:hAnsi="Garamond" w:cs="Times New Roman"/>
          <w:color w:val="auto"/>
        </w:rPr>
        <w:t>II (Kushtet e Përgjithshme), është vendosur në 12 vjet nga nënshkrimi i kësaj Marrëveshjeje Financiare.</w:t>
      </w:r>
    </w:p>
    <w:p w14:paraId="56DF2631" w14:textId="455BC508" w:rsidR="000335E3" w:rsidRPr="0036019C" w:rsidRDefault="000335E3" w:rsidP="000335E3">
      <w:pPr>
        <w:pStyle w:val="ListParagraph"/>
        <w:spacing w:after="0" w:line="240" w:lineRule="auto"/>
        <w:ind w:left="0" w:firstLine="284"/>
        <w:jc w:val="both"/>
        <w:rPr>
          <w:rFonts w:ascii="Garamond" w:hAnsi="Garamond" w:cs="Times New Roman"/>
          <w:color w:val="auto"/>
        </w:rPr>
      </w:pPr>
      <w:r w:rsidRPr="0036019C">
        <w:rPr>
          <w:rFonts w:ascii="Garamond" w:hAnsi="Garamond" w:cs="Times New Roman"/>
          <w:color w:val="auto"/>
        </w:rPr>
        <w:t>2</w:t>
      </w:r>
      <w:r w:rsidR="0036019C" w:rsidRPr="0036019C">
        <w:rPr>
          <w:rFonts w:ascii="Garamond" w:hAnsi="Garamond" w:cs="Times New Roman"/>
          <w:color w:val="auto"/>
        </w:rPr>
        <w:t>.</w:t>
      </w:r>
      <w:r w:rsidRPr="0036019C">
        <w:rPr>
          <w:rFonts w:ascii="Garamond" w:hAnsi="Garamond" w:cs="Times New Roman"/>
          <w:color w:val="auto"/>
        </w:rPr>
        <w:t xml:space="preserve"> Periudha e zbatimit operacional, siç përcaktohet në Nenin 12 të Shtjocës II (Kushtet e Përgjithshme), caktohet në 6 vjet, duke filluar nga nënshkrimi i kësaj Marrëveshjeje Financiare për alokimin e buxhetit për vitin e parë dhe nga data e letrës së njoftimit nga Komisioni ose nga përfundimi i shkëmbimit të letrave ndërmjet Komisionit dhe përfituesit IPA III për alokimet e buxhetit për vitet pasuese.</w:t>
      </w:r>
    </w:p>
    <w:p w14:paraId="42C13D2F" w14:textId="7B8907F6" w:rsidR="000335E3" w:rsidRPr="0036019C" w:rsidRDefault="000335E3" w:rsidP="000335E3">
      <w:pPr>
        <w:pStyle w:val="ListParagraph"/>
        <w:spacing w:after="0" w:line="240" w:lineRule="auto"/>
        <w:ind w:left="0" w:firstLine="284"/>
        <w:jc w:val="both"/>
        <w:rPr>
          <w:rFonts w:ascii="Garamond" w:hAnsi="Garamond" w:cs="Times New Roman"/>
          <w:color w:val="auto"/>
        </w:rPr>
      </w:pPr>
      <w:r w:rsidRPr="0036019C">
        <w:rPr>
          <w:rFonts w:ascii="Garamond" w:hAnsi="Garamond" w:cs="Times New Roman"/>
          <w:color w:val="auto"/>
        </w:rPr>
        <w:t>3</w:t>
      </w:r>
      <w:r w:rsidR="0036019C" w:rsidRPr="0036019C">
        <w:rPr>
          <w:rFonts w:ascii="Garamond" w:hAnsi="Garamond" w:cs="Times New Roman"/>
          <w:color w:val="auto"/>
        </w:rPr>
        <w:t>.</w:t>
      </w:r>
      <w:r w:rsidRPr="0036019C">
        <w:rPr>
          <w:rFonts w:ascii="Garamond" w:hAnsi="Garamond" w:cs="Times New Roman"/>
          <w:color w:val="auto"/>
        </w:rPr>
        <w:t xml:space="preserve"> Këto periudha mund të zgjaten sipas parashikimeve </w:t>
      </w:r>
      <w:r w:rsidR="0036019C" w:rsidRPr="0036019C">
        <w:rPr>
          <w:rFonts w:ascii="Garamond" w:hAnsi="Garamond" w:cs="Times New Roman"/>
          <w:color w:val="auto"/>
        </w:rPr>
        <w:t xml:space="preserve">të nenit </w:t>
      </w:r>
      <w:r w:rsidRPr="0036019C">
        <w:rPr>
          <w:rFonts w:ascii="Garamond" w:hAnsi="Garamond" w:cs="Times New Roman"/>
          <w:color w:val="auto"/>
        </w:rPr>
        <w:t xml:space="preserve">17 </w:t>
      </w:r>
      <w:r w:rsidR="0036019C" w:rsidRPr="0036019C">
        <w:rPr>
          <w:rFonts w:ascii="Garamond" w:hAnsi="Garamond" w:cs="Times New Roman"/>
          <w:color w:val="auto"/>
        </w:rPr>
        <w:t xml:space="preserve">të shtojcës </w:t>
      </w:r>
      <w:r w:rsidRPr="0036019C">
        <w:rPr>
          <w:rFonts w:ascii="Garamond" w:hAnsi="Garamond" w:cs="Times New Roman"/>
          <w:color w:val="auto"/>
        </w:rPr>
        <w:t>II.</w:t>
      </w:r>
    </w:p>
    <w:p w14:paraId="0A55163C" w14:textId="77777777" w:rsidR="000335E3" w:rsidRPr="0036019C" w:rsidRDefault="000335E3" w:rsidP="000335E3">
      <w:pPr>
        <w:pStyle w:val="ListParagraph"/>
        <w:spacing w:after="0" w:line="240" w:lineRule="auto"/>
        <w:ind w:left="0" w:firstLine="284"/>
        <w:jc w:val="both"/>
        <w:rPr>
          <w:rFonts w:ascii="Garamond" w:hAnsi="Garamond" w:cs="Times New Roman"/>
          <w:color w:val="auto"/>
        </w:rPr>
      </w:pPr>
    </w:p>
    <w:p w14:paraId="0097A409" w14:textId="547C9F19" w:rsidR="000335E3" w:rsidRPr="0036019C" w:rsidRDefault="000335E3" w:rsidP="000335E3">
      <w:pPr>
        <w:ind w:firstLine="284"/>
        <w:jc w:val="center"/>
        <w:rPr>
          <w:rFonts w:ascii="Garamond" w:hAnsi="Garamond"/>
          <w:bCs/>
          <w:lang w:val="sq-AL"/>
        </w:rPr>
      </w:pPr>
      <w:r w:rsidRPr="0036019C">
        <w:rPr>
          <w:rFonts w:ascii="Garamond" w:hAnsi="Garamond"/>
          <w:bCs/>
          <w:lang w:val="sq-AL"/>
        </w:rPr>
        <w:t>Neni 3</w:t>
      </w:r>
    </w:p>
    <w:p w14:paraId="7D42AD52" w14:textId="09B1AF1D" w:rsidR="000335E3" w:rsidRPr="0036019C" w:rsidRDefault="000335E3" w:rsidP="000335E3">
      <w:pPr>
        <w:ind w:firstLine="284"/>
        <w:jc w:val="center"/>
        <w:rPr>
          <w:rFonts w:ascii="Garamond" w:hAnsi="Garamond"/>
          <w:b/>
          <w:bCs/>
          <w:lang w:val="sq-AL"/>
        </w:rPr>
      </w:pPr>
      <w:r w:rsidRPr="0036019C">
        <w:rPr>
          <w:rFonts w:ascii="Garamond" w:hAnsi="Garamond"/>
          <w:b/>
          <w:bCs/>
          <w:lang w:val="sq-AL"/>
        </w:rPr>
        <w:t>Adresat dhe Komunikimi</w:t>
      </w:r>
    </w:p>
    <w:p w14:paraId="2D575056" w14:textId="77777777" w:rsidR="000335E3" w:rsidRPr="0036019C" w:rsidRDefault="000335E3" w:rsidP="000335E3">
      <w:pPr>
        <w:ind w:firstLine="284"/>
        <w:jc w:val="both"/>
        <w:rPr>
          <w:rFonts w:ascii="Garamond" w:hAnsi="Garamond"/>
          <w:lang w:val="sq-AL"/>
        </w:rPr>
      </w:pPr>
    </w:p>
    <w:p w14:paraId="02002578" w14:textId="23812AE5" w:rsidR="000335E3" w:rsidRPr="0036019C" w:rsidRDefault="000335E3" w:rsidP="000335E3">
      <w:pPr>
        <w:ind w:firstLine="284"/>
        <w:jc w:val="both"/>
        <w:rPr>
          <w:rFonts w:ascii="Garamond" w:hAnsi="Garamond"/>
          <w:lang w:val="sq-AL"/>
        </w:rPr>
      </w:pPr>
      <w:r w:rsidRPr="0036019C">
        <w:rPr>
          <w:rFonts w:ascii="Garamond" w:hAnsi="Garamond"/>
          <w:lang w:val="sq-AL"/>
        </w:rPr>
        <w:t>I gjithë komunikimi në lidhje me zbatimin e kësaj Marrëveshjeje Financiare duhet të bëhet me shkrim, duhet t’i referohet shprehimisht këtij Programi, siç përcaktohet në Nenin 1(1) dhe duhet të dërgohet në adresat e mëposhtme:</w:t>
      </w:r>
    </w:p>
    <w:p w14:paraId="5AAA17AD" w14:textId="77777777" w:rsidR="000335E3" w:rsidRPr="0036019C" w:rsidRDefault="000335E3" w:rsidP="000335E3">
      <w:pPr>
        <w:ind w:firstLine="284"/>
        <w:jc w:val="both"/>
        <w:rPr>
          <w:rFonts w:ascii="Garamond" w:hAnsi="Garamond"/>
          <w:lang w:val="sq-AL"/>
        </w:rPr>
      </w:pPr>
    </w:p>
    <w:p w14:paraId="4A5B32B3" w14:textId="5745B9DE" w:rsidR="000335E3" w:rsidRPr="0036019C" w:rsidRDefault="000335E3" w:rsidP="000335E3">
      <w:pPr>
        <w:tabs>
          <w:tab w:val="left" w:pos="440"/>
        </w:tabs>
        <w:ind w:firstLine="284"/>
        <w:jc w:val="both"/>
        <w:rPr>
          <w:rFonts w:ascii="Garamond" w:hAnsi="Garamond"/>
          <w:b/>
          <w:bCs/>
          <w:lang w:val="sq-AL"/>
        </w:rPr>
      </w:pPr>
      <w:r w:rsidRPr="0036019C">
        <w:rPr>
          <w:rFonts w:ascii="Garamond" w:hAnsi="Garamond"/>
          <w:lang w:val="sq-AL"/>
        </w:rPr>
        <w:t>1</w:t>
      </w:r>
      <w:r w:rsidR="0036019C" w:rsidRPr="0036019C">
        <w:rPr>
          <w:rFonts w:ascii="Garamond" w:hAnsi="Garamond"/>
          <w:lang w:val="sq-AL"/>
        </w:rPr>
        <w:t>.</w:t>
      </w:r>
      <w:r w:rsidRPr="0036019C">
        <w:rPr>
          <w:rFonts w:ascii="Garamond" w:hAnsi="Garamond"/>
          <w:lang w:val="sq-AL"/>
        </w:rPr>
        <w:t xml:space="preserve"> </w:t>
      </w:r>
      <w:r w:rsidR="0036019C" w:rsidRPr="0036019C">
        <w:rPr>
          <w:rFonts w:ascii="Garamond" w:hAnsi="Garamond"/>
          <w:b/>
          <w:bCs/>
          <w:lang w:val="sq-AL"/>
        </w:rPr>
        <w:t xml:space="preserve">Për </w:t>
      </w:r>
      <w:r w:rsidRPr="0036019C">
        <w:rPr>
          <w:rFonts w:ascii="Garamond" w:hAnsi="Garamond"/>
          <w:b/>
          <w:bCs/>
          <w:lang w:val="sq-AL"/>
        </w:rPr>
        <w:t>Komisionin</w:t>
      </w:r>
    </w:p>
    <w:p w14:paraId="27B4C842" w14:textId="4BF053E8" w:rsidR="000335E3" w:rsidRPr="0036019C" w:rsidRDefault="000335E3" w:rsidP="000335E3">
      <w:pPr>
        <w:tabs>
          <w:tab w:val="left" w:pos="440"/>
        </w:tabs>
        <w:ind w:firstLine="284"/>
        <w:jc w:val="both"/>
        <w:rPr>
          <w:rFonts w:ascii="Garamond" w:hAnsi="Garamond"/>
          <w:lang w:val="sq-AL"/>
        </w:rPr>
      </w:pPr>
      <w:r w:rsidRPr="0036019C">
        <w:rPr>
          <w:rFonts w:ascii="Garamond" w:hAnsi="Garamond"/>
          <w:lang w:val="sq-AL"/>
        </w:rPr>
        <w:t>Znj. Valentina Superti,</w:t>
      </w:r>
    </w:p>
    <w:p w14:paraId="5D734D8A"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Drejtore B, Ballkani Perëndimor</w:t>
      </w:r>
    </w:p>
    <w:p w14:paraId="2B727E80"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Drejtore e Përgjithshme për Fqinjësinë Lindore dhe Negociatat e Zgjerimit</w:t>
      </w:r>
    </w:p>
    <w:p w14:paraId="626BC665"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Rue de la Loi 15</w:t>
      </w:r>
    </w:p>
    <w:p w14:paraId="5BA6FEFC"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B -1049 Brussels, Belgium (Bruksel, Belgjikë)</w:t>
      </w:r>
    </w:p>
    <w:p w14:paraId="3090F1C6"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E-mail: NEAR-D@ec.europa.eu</w:t>
      </w:r>
    </w:p>
    <w:p w14:paraId="439805CE" w14:textId="5C4855D1" w:rsidR="000335E3" w:rsidRPr="0036019C" w:rsidRDefault="000335E3" w:rsidP="000335E3">
      <w:pPr>
        <w:tabs>
          <w:tab w:val="left" w:pos="440"/>
        </w:tabs>
        <w:ind w:firstLine="284"/>
        <w:jc w:val="both"/>
        <w:rPr>
          <w:rFonts w:ascii="Garamond" w:hAnsi="Garamond"/>
          <w:b/>
          <w:bCs/>
          <w:lang w:val="sq-AL"/>
        </w:rPr>
      </w:pPr>
      <w:r w:rsidRPr="0036019C">
        <w:rPr>
          <w:rFonts w:ascii="Garamond" w:hAnsi="Garamond"/>
          <w:lang w:val="sq-AL"/>
        </w:rPr>
        <w:t>2</w:t>
      </w:r>
      <w:r w:rsidR="0036019C" w:rsidRPr="0036019C">
        <w:rPr>
          <w:rFonts w:ascii="Garamond" w:hAnsi="Garamond"/>
          <w:lang w:val="sq-AL"/>
        </w:rPr>
        <w:t>.</w:t>
      </w:r>
      <w:r w:rsidRPr="0036019C">
        <w:rPr>
          <w:rFonts w:ascii="Garamond" w:hAnsi="Garamond"/>
          <w:lang w:val="sq-AL"/>
        </w:rPr>
        <w:t xml:space="preserve"> </w:t>
      </w:r>
      <w:r w:rsidR="0036019C" w:rsidRPr="0036019C">
        <w:rPr>
          <w:rFonts w:ascii="Garamond" w:hAnsi="Garamond"/>
          <w:b/>
          <w:bCs/>
          <w:lang w:val="sq-AL"/>
        </w:rPr>
        <w:t xml:space="preserve">Për </w:t>
      </w:r>
      <w:r w:rsidRPr="0036019C">
        <w:rPr>
          <w:rFonts w:ascii="Garamond" w:hAnsi="Garamond"/>
          <w:b/>
          <w:bCs/>
          <w:lang w:val="sq-AL"/>
        </w:rPr>
        <w:t>përfituesin IPA III</w:t>
      </w:r>
    </w:p>
    <w:p w14:paraId="3A23979D"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Znj. Eridana Çano,</w:t>
      </w:r>
    </w:p>
    <w:p w14:paraId="027C2B78"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Koordinatore Kombëtare e IPA-s</w:t>
      </w:r>
    </w:p>
    <w:p w14:paraId="709C4E5E"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 xml:space="preserve">Drejtore e Përgjithshme e Agjencisë Shtetërore të Programimit Strategjik </w:t>
      </w:r>
    </w:p>
    <w:p w14:paraId="377759B2"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dhe Koordinimit të Ndihmës</w:t>
      </w:r>
    </w:p>
    <w:p w14:paraId="78B8E1A5"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Rruga “Kuvajt”.</w:t>
      </w:r>
    </w:p>
    <w:p w14:paraId="67B56AEE"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Tiranë, Shqipëri</w:t>
      </w:r>
    </w:p>
    <w:p w14:paraId="35D40D32" w14:textId="77777777" w:rsidR="000335E3" w:rsidRPr="0036019C" w:rsidRDefault="000335E3" w:rsidP="000335E3">
      <w:pPr>
        <w:pStyle w:val="BodyText"/>
        <w:ind w:firstLine="284"/>
        <w:rPr>
          <w:rFonts w:ascii="Garamond" w:hAnsi="Garamond"/>
          <w:lang w:val="sq-AL"/>
        </w:rPr>
      </w:pPr>
      <w:r w:rsidRPr="0036019C">
        <w:rPr>
          <w:rFonts w:ascii="Garamond" w:hAnsi="Garamond"/>
          <w:lang w:val="sq-AL"/>
        </w:rPr>
        <w:t>E-mail: eridana.cano@saspac.gov.al</w:t>
      </w:r>
    </w:p>
    <w:p w14:paraId="230AFDC0" w14:textId="77777777" w:rsidR="000335E3" w:rsidRPr="0036019C" w:rsidRDefault="000335E3" w:rsidP="000335E3">
      <w:pPr>
        <w:ind w:firstLine="284"/>
        <w:rPr>
          <w:rFonts w:ascii="Garamond" w:hAnsi="Garamond"/>
          <w:lang w:val="sq-AL"/>
        </w:rPr>
      </w:pPr>
      <w:r w:rsidRPr="0036019C">
        <w:rPr>
          <w:rFonts w:ascii="Garamond" w:hAnsi="Garamond"/>
          <w:lang w:val="sq-AL"/>
        </w:rPr>
        <w:lastRenderedPageBreak/>
        <w:t xml:space="preserve"> </w:t>
      </w:r>
    </w:p>
    <w:p w14:paraId="1B6D38EA" w14:textId="77777777" w:rsidR="000335E3" w:rsidRPr="0036019C" w:rsidRDefault="000335E3" w:rsidP="000335E3">
      <w:pPr>
        <w:ind w:firstLine="284"/>
        <w:jc w:val="center"/>
        <w:rPr>
          <w:rFonts w:ascii="Garamond" w:hAnsi="Garamond"/>
          <w:bCs/>
          <w:lang w:val="sq-AL"/>
        </w:rPr>
      </w:pPr>
      <w:r w:rsidRPr="0036019C">
        <w:rPr>
          <w:rFonts w:ascii="Garamond" w:hAnsi="Garamond"/>
          <w:bCs/>
          <w:lang w:val="sq-AL"/>
        </w:rPr>
        <w:t>Neni 4</w:t>
      </w:r>
    </w:p>
    <w:p w14:paraId="77B56645" w14:textId="74632AC8" w:rsidR="000335E3" w:rsidRPr="0036019C" w:rsidRDefault="000335E3" w:rsidP="000335E3">
      <w:pPr>
        <w:ind w:firstLine="284"/>
        <w:jc w:val="center"/>
        <w:rPr>
          <w:rFonts w:ascii="Garamond" w:hAnsi="Garamond"/>
          <w:b/>
          <w:bCs/>
          <w:lang w:val="sq-AL"/>
        </w:rPr>
      </w:pPr>
      <w:r w:rsidRPr="0036019C">
        <w:rPr>
          <w:rFonts w:ascii="Garamond" w:hAnsi="Garamond"/>
          <w:b/>
          <w:bCs/>
          <w:lang w:val="sq-AL"/>
        </w:rPr>
        <w:t>Pika e kontaktit të OLAF-it</w:t>
      </w:r>
    </w:p>
    <w:p w14:paraId="66164658" w14:textId="77777777" w:rsidR="00365601" w:rsidRPr="0036019C" w:rsidRDefault="00365601" w:rsidP="000335E3">
      <w:pPr>
        <w:pStyle w:val="BodyText"/>
        <w:ind w:firstLine="284"/>
        <w:rPr>
          <w:rFonts w:ascii="Garamond" w:hAnsi="Garamond"/>
          <w:lang w:val="sq-AL"/>
        </w:rPr>
      </w:pPr>
    </w:p>
    <w:p w14:paraId="052155C3" w14:textId="714102D3" w:rsidR="000335E3" w:rsidRPr="0036019C" w:rsidRDefault="000335E3" w:rsidP="000335E3">
      <w:pPr>
        <w:pStyle w:val="BodyText"/>
        <w:ind w:firstLine="284"/>
        <w:rPr>
          <w:rFonts w:ascii="Garamond" w:hAnsi="Garamond"/>
          <w:lang w:val="sq-AL"/>
        </w:rPr>
      </w:pPr>
      <w:r w:rsidRPr="0036019C">
        <w:rPr>
          <w:rFonts w:ascii="Garamond" w:hAnsi="Garamond"/>
          <w:lang w:val="sq-AL"/>
        </w:rPr>
        <w:t xml:space="preserve">Pika e kontaktit e përfituesit IPA III që ka tagrin e duhur për të bashkëpunuar drejtpërdrejt me Zyrën Evropiane Kundër Mashtrimit (OLAF), me qëllim lehtësimin e aktiviteteve operacionale, është: </w:t>
      </w:r>
    </w:p>
    <w:p w14:paraId="6AE3D482" w14:textId="77777777" w:rsidR="000335E3" w:rsidRPr="0036019C" w:rsidRDefault="000335E3" w:rsidP="000335E3">
      <w:pPr>
        <w:ind w:firstLine="284"/>
        <w:rPr>
          <w:rFonts w:ascii="Garamond" w:hAnsi="Garamond"/>
          <w:lang w:val="sq-AL"/>
        </w:rPr>
      </w:pPr>
      <w:r w:rsidRPr="0036019C">
        <w:rPr>
          <w:rFonts w:ascii="Garamond" w:hAnsi="Garamond"/>
          <w:lang w:val="sq-AL"/>
        </w:rPr>
        <w:t>Znj. Blerina NASKA,</w:t>
      </w:r>
    </w:p>
    <w:p w14:paraId="415C61AF" w14:textId="77777777" w:rsidR="000335E3" w:rsidRPr="0036019C" w:rsidRDefault="000335E3" w:rsidP="000335E3">
      <w:pPr>
        <w:ind w:firstLine="284"/>
        <w:rPr>
          <w:rFonts w:ascii="Garamond" w:hAnsi="Garamond"/>
          <w:lang w:val="sq-AL"/>
        </w:rPr>
      </w:pPr>
      <w:r w:rsidRPr="0036019C">
        <w:rPr>
          <w:rFonts w:ascii="Garamond" w:hAnsi="Garamond"/>
          <w:lang w:val="sq-AL"/>
        </w:rPr>
        <w:t xml:space="preserve">Drejtor në Drejtorinë e Inspektimit Financiar Publik </w:t>
      </w:r>
    </w:p>
    <w:p w14:paraId="101C4421" w14:textId="77777777" w:rsidR="000335E3" w:rsidRPr="0036019C" w:rsidRDefault="000335E3" w:rsidP="000335E3">
      <w:pPr>
        <w:ind w:firstLine="284"/>
        <w:rPr>
          <w:rFonts w:ascii="Garamond" w:hAnsi="Garamond"/>
          <w:lang w:val="sq-AL"/>
        </w:rPr>
      </w:pPr>
      <w:r w:rsidRPr="0036019C">
        <w:rPr>
          <w:rFonts w:ascii="Garamond" w:hAnsi="Garamond"/>
          <w:lang w:val="sq-AL"/>
        </w:rPr>
        <w:t>Ministria e Financave</w:t>
      </w:r>
    </w:p>
    <w:p w14:paraId="276E5964" w14:textId="77777777" w:rsidR="000335E3" w:rsidRPr="0036019C" w:rsidRDefault="000335E3" w:rsidP="000335E3">
      <w:pPr>
        <w:ind w:firstLine="284"/>
        <w:rPr>
          <w:rFonts w:ascii="Garamond" w:hAnsi="Garamond"/>
          <w:lang w:val="sq-AL"/>
        </w:rPr>
      </w:pPr>
      <w:r w:rsidRPr="0036019C">
        <w:rPr>
          <w:rFonts w:ascii="Garamond" w:hAnsi="Garamond"/>
          <w:lang w:val="sq-AL"/>
        </w:rPr>
        <w:t>Bulevardi Dëshmorët e Kombit Nr.3</w:t>
      </w:r>
    </w:p>
    <w:p w14:paraId="4F681C08" w14:textId="77777777" w:rsidR="000335E3" w:rsidRPr="0036019C" w:rsidRDefault="000335E3" w:rsidP="000335E3">
      <w:pPr>
        <w:ind w:firstLine="284"/>
        <w:rPr>
          <w:rFonts w:ascii="Garamond" w:hAnsi="Garamond"/>
          <w:lang w:val="sq-AL"/>
        </w:rPr>
      </w:pPr>
      <w:r w:rsidRPr="0036019C">
        <w:rPr>
          <w:rFonts w:ascii="Garamond" w:hAnsi="Garamond"/>
          <w:lang w:val="sq-AL"/>
        </w:rPr>
        <w:t>Tiranë, Shqipëri</w:t>
      </w:r>
    </w:p>
    <w:p w14:paraId="68083C6A" w14:textId="77777777" w:rsidR="000335E3" w:rsidRPr="0036019C" w:rsidRDefault="000335E3" w:rsidP="000335E3">
      <w:pPr>
        <w:ind w:firstLine="284"/>
        <w:rPr>
          <w:rFonts w:ascii="Garamond" w:hAnsi="Garamond"/>
          <w:lang w:val="sq-AL"/>
        </w:rPr>
      </w:pPr>
      <w:r w:rsidRPr="0036019C">
        <w:rPr>
          <w:rFonts w:ascii="Garamond" w:hAnsi="Garamond"/>
          <w:lang w:val="sq-AL"/>
        </w:rPr>
        <w:t>E-mail: blerina.naska@financa.gov.al</w:t>
      </w:r>
    </w:p>
    <w:p w14:paraId="1F02A2B9" w14:textId="77777777" w:rsidR="000335E3" w:rsidRPr="0036019C" w:rsidRDefault="000335E3" w:rsidP="000335E3">
      <w:pPr>
        <w:ind w:firstLine="284"/>
        <w:rPr>
          <w:rFonts w:ascii="Garamond" w:hAnsi="Garamond"/>
          <w:lang w:val="sq-AL"/>
        </w:rPr>
      </w:pPr>
    </w:p>
    <w:p w14:paraId="027B0E7B" w14:textId="77777777" w:rsidR="000335E3" w:rsidRPr="0036019C" w:rsidRDefault="000335E3" w:rsidP="000335E3">
      <w:pPr>
        <w:ind w:firstLine="284"/>
        <w:jc w:val="center"/>
        <w:rPr>
          <w:rFonts w:ascii="Garamond" w:hAnsi="Garamond"/>
          <w:bCs/>
          <w:lang w:val="sq-AL"/>
        </w:rPr>
      </w:pPr>
      <w:r w:rsidRPr="0036019C">
        <w:rPr>
          <w:rFonts w:ascii="Garamond" w:hAnsi="Garamond"/>
          <w:bCs/>
          <w:lang w:val="sq-AL"/>
        </w:rPr>
        <w:t>Neni 5</w:t>
      </w:r>
    </w:p>
    <w:p w14:paraId="4329627B" w14:textId="37A650EB" w:rsidR="000335E3" w:rsidRPr="0036019C" w:rsidRDefault="000335E3" w:rsidP="000335E3">
      <w:pPr>
        <w:ind w:firstLine="284"/>
        <w:jc w:val="center"/>
        <w:rPr>
          <w:rFonts w:ascii="Garamond" w:hAnsi="Garamond"/>
          <w:b/>
          <w:bCs/>
          <w:lang w:val="sq-AL"/>
        </w:rPr>
      </w:pPr>
      <w:r w:rsidRPr="0036019C">
        <w:rPr>
          <w:rFonts w:ascii="Garamond" w:hAnsi="Garamond"/>
          <w:b/>
          <w:lang w:val="sq-AL"/>
        </w:rPr>
        <w:t>Marrëveshja Financiare Kuadër për Partneritetin</w:t>
      </w:r>
    </w:p>
    <w:p w14:paraId="548D159C" w14:textId="77777777" w:rsidR="000335E3" w:rsidRPr="0036019C" w:rsidRDefault="000335E3" w:rsidP="000335E3">
      <w:pPr>
        <w:ind w:firstLine="284"/>
        <w:jc w:val="both"/>
        <w:rPr>
          <w:rFonts w:ascii="Garamond" w:hAnsi="Garamond"/>
          <w:lang w:val="sq-AL"/>
        </w:rPr>
      </w:pPr>
    </w:p>
    <w:p w14:paraId="25B3E945" w14:textId="45E7469F" w:rsidR="000335E3" w:rsidRPr="0036019C" w:rsidRDefault="000335E3" w:rsidP="000335E3">
      <w:pPr>
        <w:ind w:firstLine="284"/>
        <w:jc w:val="both"/>
        <w:rPr>
          <w:rFonts w:ascii="Garamond" w:hAnsi="Garamond"/>
          <w:lang w:val="sq-AL"/>
        </w:rPr>
      </w:pPr>
      <w:r w:rsidRPr="0036019C">
        <w:rPr>
          <w:rFonts w:ascii="Garamond" w:hAnsi="Garamond"/>
          <w:lang w:val="sq-AL"/>
        </w:rPr>
        <w:t>Programi zbatohet në përputhje me dispozitat e Marrëveshjes Financiare Kuadër për Partneritetin (MFKP) ndërmjet Komisionit Evropian dhe Republikës së Shqipërisë për modalitetet e zbatimit të asistencës financiare të BE-së për Shqipërinë në kuadrin e Instrumentit për Asistencën e Paraanëtarësimit (IPA III), e cila hyri në fuqi më 14 tetor 2022 (në vijim i referuar si “MFKP”). Kjo Marrëveshje Financimi plotëson dispozitat e MFKP-së. Në rast konflikti midis dispozitave të kësaj Marrëveshjeje Financimi dhe dispozitave të MFKP-së, kanë përparësi dispozitat e kësaj të fundit.</w:t>
      </w:r>
    </w:p>
    <w:p w14:paraId="0D574BD6" w14:textId="77777777" w:rsidR="000335E3" w:rsidRPr="0036019C" w:rsidRDefault="000335E3" w:rsidP="000335E3">
      <w:pPr>
        <w:pStyle w:val="Heading3"/>
        <w:spacing w:after="0" w:line="240" w:lineRule="auto"/>
        <w:ind w:firstLine="284"/>
        <w:jc w:val="both"/>
        <w:rPr>
          <w:rFonts w:ascii="Garamond" w:hAnsi="Garamond"/>
          <w:color w:val="auto"/>
          <w:sz w:val="24"/>
          <w:szCs w:val="24"/>
        </w:rPr>
      </w:pPr>
    </w:p>
    <w:p w14:paraId="7F300A34" w14:textId="241037BA" w:rsidR="000335E3" w:rsidRPr="0036019C" w:rsidRDefault="000335E3" w:rsidP="000335E3">
      <w:pPr>
        <w:pStyle w:val="Heading3"/>
        <w:spacing w:after="0" w:line="240" w:lineRule="auto"/>
        <w:ind w:firstLine="284"/>
        <w:jc w:val="center"/>
        <w:rPr>
          <w:rFonts w:ascii="Garamond" w:hAnsi="Garamond"/>
          <w:b w:val="0"/>
          <w:color w:val="auto"/>
          <w:sz w:val="24"/>
          <w:szCs w:val="24"/>
        </w:rPr>
      </w:pPr>
      <w:r w:rsidRPr="0036019C">
        <w:rPr>
          <w:rFonts w:ascii="Garamond" w:hAnsi="Garamond"/>
          <w:b w:val="0"/>
          <w:color w:val="auto"/>
          <w:sz w:val="24"/>
          <w:szCs w:val="24"/>
        </w:rPr>
        <w:t>Neni 6</w:t>
      </w:r>
    </w:p>
    <w:p w14:paraId="0208B4B7" w14:textId="73DCF857" w:rsidR="000335E3" w:rsidRPr="0036019C" w:rsidRDefault="000335E3" w:rsidP="000335E3">
      <w:pPr>
        <w:pStyle w:val="Heading3"/>
        <w:spacing w:after="0" w:line="240" w:lineRule="auto"/>
        <w:ind w:firstLine="284"/>
        <w:jc w:val="center"/>
        <w:rPr>
          <w:rFonts w:ascii="Garamond" w:hAnsi="Garamond"/>
          <w:color w:val="auto"/>
          <w:sz w:val="24"/>
          <w:szCs w:val="24"/>
        </w:rPr>
      </w:pPr>
      <w:r w:rsidRPr="0036019C">
        <w:rPr>
          <w:rFonts w:ascii="Garamond" w:hAnsi="Garamond"/>
          <w:color w:val="auto"/>
          <w:sz w:val="24"/>
          <w:szCs w:val="24"/>
        </w:rPr>
        <w:t>Shtojcat</w:t>
      </w:r>
    </w:p>
    <w:p w14:paraId="51898716" w14:textId="77777777" w:rsidR="000335E3" w:rsidRPr="0036019C" w:rsidRDefault="000335E3" w:rsidP="000335E3">
      <w:pPr>
        <w:pStyle w:val="ListParagraph"/>
        <w:spacing w:after="0" w:line="240" w:lineRule="auto"/>
        <w:ind w:left="0" w:firstLine="284"/>
        <w:jc w:val="center"/>
        <w:rPr>
          <w:rFonts w:ascii="Garamond" w:hAnsi="Garamond" w:cs="Times New Roman"/>
          <w:color w:val="auto"/>
        </w:rPr>
      </w:pPr>
    </w:p>
    <w:p w14:paraId="2309903F" w14:textId="2707CAE2" w:rsidR="000335E3" w:rsidRPr="0036019C" w:rsidRDefault="000335E3" w:rsidP="000335E3">
      <w:pPr>
        <w:pStyle w:val="ListParagraph"/>
        <w:spacing w:after="0" w:line="240" w:lineRule="auto"/>
        <w:ind w:left="0" w:firstLine="284"/>
        <w:jc w:val="both"/>
        <w:rPr>
          <w:rFonts w:ascii="Garamond" w:hAnsi="Garamond" w:cs="Times New Roman"/>
          <w:color w:val="auto"/>
        </w:rPr>
      </w:pPr>
      <w:r w:rsidRPr="0036019C">
        <w:rPr>
          <w:rFonts w:ascii="Garamond" w:hAnsi="Garamond" w:cs="Times New Roman"/>
          <w:color w:val="auto"/>
        </w:rPr>
        <w:t>1</w:t>
      </w:r>
      <w:r w:rsidR="0036019C" w:rsidRPr="0036019C">
        <w:rPr>
          <w:rFonts w:ascii="Garamond" w:hAnsi="Garamond" w:cs="Times New Roman"/>
          <w:color w:val="auto"/>
        </w:rPr>
        <w:t>.</w:t>
      </w:r>
      <w:r w:rsidRPr="0036019C">
        <w:rPr>
          <w:rFonts w:ascii="Garamond" w:hAnsi="Garamond" w:cs="Times New Roman"/>
          <w:color w:val="auto"/>
        </w:rPr>
        <w:t xml:space="preserve"> Kjo Marrëveshje Financimi përbëhet nga:</w:t>
      </w:r>
    </w:p>
    <w:p w14:paraId="40EF8A78" w14:textId="5408D47D" w:rsidR="000335E3" w:rsidRPr="0036019C" w:rsidRDefault="000335E3" w:rsidP="000335E3">
      <w:pPr>
        <w:ind w:firstLine="284"/>
        <w:jc w:val="both"/>
        <w:rPr>
          <w:rFonts w:ascii="Garamond" w:hAnsi="Garamond"/>
          <w:lang w:val="sq-AL"/>
        </w:rPr>
      </w:pPr>
      <w:r w:rsidRPr="0036019C">
        <w:rPr>
          <w:rFonts w:ascii="Garamond" w:hAnsi="Garamond"/>
          <w:lang w:val="sq-AL"/>
        </w:rPr>
        <w:t>a) këto Kushte të Veçanta;</w:t>
      </w:r>
    </w:p>
    <w:p w14:paraId="409FF64F" w14:textId="11FE4868" w:rsidR="000335E3" w:rsidRPr="0036019C" w:rsidRDefault="000335E3" w:rsidP="000335E3">
      <w:pPr>
        <w:ind w:firstLine="284"/>
        <w:jc w:val="both"/>
        <w:rPr>
          <w:rFonts w:ascii="Garamond" w:hAnsi="Garamond"/>
          <w:lang w:val="sq-AL"/>
        </w:rPr>
      </w:pPr>
      <w:r w:rsidRPr="0036019C">
        <w:rPr>
          <w:rFonts w:ascii="Garamond" w:hAnsi="Garamond"/>
          <w:lang w:val="sq-AL"/>
        </w:rPr>
        <w:t xml:space="preserve">b) Shtojca I: Dokumenti i Veprimit për veprim shumëvjeçar në favor të Shqipërisë për vitet </w:t>
      </w:r>
      <w:r w:rsidR="00D20604">
        <w:rPr>
          <w:rFonts w:ascii="Garamond" w:hAnsi="Garamond"/>
          <w:lang w:val="sq-AL"/>
        </w:rPr>
        <w:t>2025–2027</w:t>
      </w:r>
    </w:p>
    <w:p w14:paraId="53B910EF" w14:textId="520033D5" w:rsidR="000335E3" w:rsidRPr="0036019C" w:rsidRDefault="000335E3" w:rsidP="000335E3">
      <w:pPr>
        <w:pStyle w:val="ListParagraph"/>
        <w:spacing w:after="0" w:line="240" w:lineRule="auto"/>
        <w:ind w:left="0" w:firstLine="284"/>
        <w:jc w:val="both"/>
        <w:rPr>
          <w:rFonts w:ascii="Garamond" w:hAnsi="Garamond" w:cs="Times New Roman"/>
          <w:color w:val="auto"/>
        </w:rPr>
      </w:pPr>
      <w:r w:rsidRPr="0036019C">
        <w:rPr>
          <w:rFonts w:ascii="Garamond" w:hAnsi="Garamond" w:cs="Times New Roman"/>
          <w:color w:val="auto"/>
        </w:rPr>
        <w:t>c) Shtojca II: Kushtet e Përgjithshme;</w:t>
      </w:r>
    </w:p>
    <w:p w14:paraId="05A015BB" w14:textId="0DDEE8CA" w:rsidR="000335E3" w:rsidRPr="0036019C" w:rsidRDefault="000335E3" w:rsidP="000335E3">
      <w:pPr>
        <w:pStyle w:val="ListParagraph"/>
        <w:spacing w:after="0" w:line="240" w:lineRule="auto"/>
        <w:ind w:left="0" w:firstLine="284"/>
        <w:jc w:val="both"/>
        <w:rPr>
          <w:rFonts w:ascii="Garamond" w:hAnsi="Garamond" w:cs="Times New Roman"/>
          <w:color w:val="auto"/>
        </w:rPr>
      </w:pPr>
      <w:r w:rsidRPr="0036019C">
        <w:rPr>
          <w:rFonts w:ascii="Garamond" w:hAnsi="Garamond" w:cs="Times New Roman"/>
          <w:color w:val="auto"/>
        </w:rPr>
        <w:t>2</w:t>
      </w:r>
      <w:r w:rsidR="0036019C" w:rsidRPr="0036019C">
        <w:rPr>
          <w:rFonts w:ascii="Garamond" w:hAnsi="Garamond" w:cs="Times New Roman"/>
          <w:color w:val="auto"/>
        </w:rPr>
        <w:t>.</w:t>
      </w:r>
      <w:r w:rsidRPr="0036019C">
        <w:rPr>
          <w:rFonts w:ascii="Garamond" w:hAnsi="Garamond" w:cs="Times New Roman"/>
          <w:color w:val="auto"/>
        </w:rPr>
        <w:t xml:space="preserve"> Në rast konflikti midis dispozitave të Shtojcave dhe dispozitave të këtyre Kushteve të Veçanta kanë përparësi dispozitat e kësaj të fundit. Në rast konflikti midis dispozitave </w:t>
      </w:r>
      <w:r w:rsidR="0036019C" w:rsidRPr="0036019C">
        <w:rPr>
          <w:rFonts w:ascii="Garamond" w:hAnsi="Garamond" w:cs="Times New Roman"/>
          <w:color w:val="auto"/>
        </w:rPr>
        <w:t xml:space="preserve">të shtojcës </w:t>
      </w:r>
      <w:r w:rsidRPr="0036019C">
        <w:rPr>
          <w:rFonts w:ascii="Garamond" w:hAnsi="Garamond" w:cs="Times New Roman"/>
          <w:color w:val="auto"/>
        </w:rPr>
        <w:t xml:space="preserve">I dhe dispozitave </w:t>
      </w:r>
      <w:r w:rsidR="0036019C" w:rsidRPr="0036019C">
        <w:rPr>
          <w:rFonts w:ascii="Garamond" w:hAnsi="Garamond" w:cs="Times New Roman"/>
          <w:color w:val="auto"/>
        </w:rPr>
        <w:t xml:space="preserve">të shtojcës </w:t>
      </w:r>
      <w:r w:rsidRPr="0036019C">
        <w:rPr>
          <w:rFonts w:ascii="Garamond" w:hAnsi="Garamond" w:cs="Times New Roman"/>
          <w:color w:val="auto"/>
        </w:rPr>
        <w:t xml:space="preserve">II, kanë përparësi dispozitat e kësaj të fundit. </w:t>
      </w:r>
    </w:p>
    <w:p w14:paraId="53D1330D" w14:textId="77777777" w:rsidR="000335E3" w:rsidRPr="0036019C" w:rsidRDefault="000335E3" w:rsidP="000335E3">
      <w:pPr>
        <w:ind w:firstLine="284"/>
        <w:jc w:val="both"/>
        <w:rPr>
          <w:rFonts w:ascii="Garamond" w:hAnsi="Garamond"/>
          <w:b/>
          <w:bCs/>
          <w:lang w:val="sq-AL"/>
        </w:rPr>
      </w:pPr>
    </w:p>
    <w:p w14:paraId="2F32EB68" w14:textId="77777777" w:rsidR="000335E3" w:rsidRPr="0036019C" w:rsidRDefault="000335E3" w:rsidP="000335E3">
      <w:pPr>
        <w:ind w:firstLine="284"/>
        <w:jc w:val="center"/>
        <w:rPr>
          <w:rFonts w:ascii="Garamond" w:hAnsi="Garamond"/>
          <w:bCs/>
          <w:lang w:val="sq-AL"/>
        </w:rPr>
      </w:pPr>
      <w:r w:rsidRPr="0036019C">
        <w:rPr>
          <w:rFonts w:ascii="Garamond" w:hAnsi="Garamond"/>
          <w:bCs/>
          <w:lang w:val="sq-AL"/>
        </w:rPr>
        <w:t>Neni 7</w:t>
      </w:r>
    </w:p>
    <w:p w14:paraId="696E5ADB" w14:textId="5119249C" w:rsidR="000335E3" w:rsidRPr="0036019C" w:rsidRDefault="000335E3" w:rsidP="000335E3">
      <w:pPr>
        <w:ind w:firstLine="284"/>
        <w:jc w:val="center"/>
        <w:rPr>
          <w:rFonts w:ascii="Garamond" w:hAnsi="Garamond"/>
          <w:b/>
          <w:bCs/>
          <w:lang w:val="sq-AL"/>
        </w:rPr>
      </w:pPr>
      <w:r w:rsidRPr="0036019C">
        <w:rPr>
          <w:rFonts w:ascii="Garamond" w:hAnsi="Garamond"/>
          <w:b/>
          <w:bCs/>
          <w:lang w:val="sq-AL"/>
        </w:rPr>
        <w:t>Dispozitat që shmangin ose plotësoj</w:t>
      </w:r>
      <w:r w:rsidR="00C347BB">
        <w:rPr>
          <w:rFonts w:ascii="Garamond" w:hAnsi="Garamond"/>
          <w:b/>
          <w:bCs/>
          <w:lang w:val="sq-AL"/>
        </w:rPr>
        <w:t>në shtojcën</w:t>
      </w:r>
      <w:r w:rsidRPr="0036019C">
        <w:rPr>
          <w:rFonts w:ascii="Garamond" w:hAnsi="Garamond"/>
          <w:b/>
          <w:bCs/>
          <w:lang w:val="sq-AL"/>
        </w:rPr>
        <w:t xml:space="preserve"> II</w:t>
      </w:r>
    </w:p>
    <w:p w14:paraId="286C7B6F" w14:textId="77777777" w:rsidR="000335E3" w:rsidRPr="0036019C" w:rsidRDefault="000335E3" w:rsidP="000335E3">
      <w:pPr>
        <w:ind w:firstLine="284"/>
        <w:jc w:val="both"/>
        <w:rPr>
          <w:rFonts w:ascii="Garamond" w:hAnsi="Garamond"/>
          <w:lang w:val="sq-AL"/>
        </w:rPr>
      </w:pPr>
    </w:p>
    <w:p w14:paraId="49A07F0A" w14:textId="4F7DCE9F" w:rsidR="000335E3" w:rsidRPr="0036019C" w:rsidRDefault="000335E3" w:rsidP="000335E3">
      <w:pPr>
        <w:ind w:firstLine="284"/>
        <w:jc w:val="both"/>
        <w:rPr>
          <w:rFonts w:ascii="Garamond" w:hAnsi="Garamond"/>
          <w:lang w:val="sq-AL"/>
        </w:rPr>
      </w:pPr>
      <w:r w:rsidRPr="0036019C">
        <w:rPr>
          <w:rFonts w:ascii="Garamond" w:hAnsi="Garamond"/>
          <w:lang w:val="sq-AL"/>
        </w:rPr>
        <w:t>Shtojca II plotësohet me sa vijon:</w:t>
      </w:r>
    </w:p>
    <w:p w14:paraId="2D3689A9" w14:textId="3C0014F3" w:rsidR="000335E3" w:rsidRPr="0036019C" w:rsidRDefault="000335E3" w:rsidP="000335E3">
      <w:pPr>
        <w:ind w:firstLine="284"/>
        <w:jc w:val="both"/>
        <w:rPr>
          <w:rFonts w:ascii="Garamond" w:hAnsi="Garamond"/>
          <w:lang w:val="sq-AL"/>
        </w:rPr>
      </w:pPr>
      <w:r w:rsidRPr="0036019C">
        <w:rPr>
          <w:rFonts w:ascii="Garamond" w:hAnsi="Garamond"/>
          <w:lang w:val="sq-AL"/>
        </w:rPr>
        <w:t xml:space="preserve">Me përjashtim </w:t>
      </w:r>
      <w:r w:rsidR="0036019C" w:rsidRPr="0036019C">
        <w:rPr>
          <w:rFonts w:ascii="Garamond" w:hAnsi="Garamond"/>
          <w:lang w:val="sq-AL"/>
        </w:rPr>
        <w:t xml:space="preserve">të nenit </w:t>
      </w:r>
      <w:r w:rsidRPr="0036019C">
        <w:rPr>
          <w:rFonts w:ascii="Garamond" w:hAnsi="Garamond"/>
          <w:lang w:val="sq-AL"/>
        </w:rPr>
        <w:t xml:space="preserve">12(4) </w:t>
      </w:r>
      <w:r w:rsidR="0036019C" w:rsidRPr="0036019C">
        <w:rPr>
          <w:rFonts w:ascii="Garamond" w:hAnsi="Garamond"/>
          <w:lang w:val="sq-AL"/>
        </w:rPr>
        <w:t xml:space="preserve">të shtojcës </w:t>
      </w:r>
      <w:r w:rsidRPr="0036019C">
        <w:rPr>
          <w:rFonts w:ascii="Garamond" w:hAnsi="Garamond"/>
          <w:lang w:val="sq-AL"/>
        </w:rPr>
        <w:t xml:space="preserve">II (Kushtet e Përgjithshme), shpenzimet e kryera në formën e granteve do të jenë të pranueshme për financimin e BE-së nga data 1 shtator 2025. </w:t>
      </w:r>
    </w:p>
    <w:p w14:paraId="204BE8DF" w14:textId="77777777" w:rsidR="000335E3" w:rsidRPr="0036019C" w:rsidRDefault="000335E3" w:rsidP="000335E3">
      <w:pPr>
        <w:ind w:firstLine="284"/>
        <w:jc w:val="both"/>
        <w:rPr>
          <w:rFonts w:ascii="Garamond" w:hAnsi="Garamond"/>
          <w:lang w:val="sq-AL"/>
        </w:rPr>
      </w:pPr>
    </w:p>
    <w:p w14:paraId="27A30248" w14:textId="77777777" w:rsidR="000335E3" w:rsidRPr="0036019C" w:rsidRDefault="000335E3" w:rsidP="000335E3">
      <w:pPr>
        <w:ind w:firstLine="284"/>
        <w:jc w:val="center"/>
        <w:rPr>
          <w:rFonts w:ascii="Garamond" w:hAnsi="Garamond"/>
          <w:lang w:val="sq-AL"/>
        </w:rPr>
      </w:pPr>
      <w:r w:rsidRPr="0036019C">
        <w:rPr>
          <w:rFonts w:ascii="Garamond" w:hAnsi="Garamond"/>
          <w:bCs/>
          <w:lang w:val="sq-AL"/>
        </w:rPr>
        <w:t>Neni 8</w:t>
      </w:r>
    </w:p>
    <w:p w14:paraId="1B3169A3" w14:textId="2F8BF782" w:rsidR="000335E3" w:rsidRPr="0036019C" w:rsidRDefault="000335E3" w:rsidP="000335E3">
      <w:pPr>
        <w:ind w:firstLine="284"/>
        <w:jc w:val="center"/>
        <w:rPr>
          <w:rFonts w:ascii="Garamond" w:hAnsi="Garamond"/>
          <w:b/>
          <w:bCs/>
          <w:lang w:val="sq-AL"/>
        </w:rPr>
      </w:pPr>
      <w:r w:rsidRPr="0036019C">
        <w:rPr>
          <w:rFonts w:ascii="Garamond" w:hAnsi="Garamond"/>
          <w:b/>
          <w:bCs/>
          <w:lang w:val="sq-AL"/>
        </w:rPr>
        <w:t>Nënshkrimi dhe hyrja në fuqi</w:t>
      </w:r>
    </w:p>
    <w:p w14:paraId="66CB9B56" w14:textId="77777777" w:rsidR="000335E3" w:rsidRPr="0036019C" w:rsidRDefault="000335E3" w:rsidP="000335E3">
      <w:pPr>
        <w:ind w:firstLine="284"/>
        <w:jc w:val="both"/>
        <w:rPr>
          <w:rFonts w:ascii="Garamond" w:hAnsi="Garamond"/>
          <w:lang w:val="sq-AL"/>
        </w:rPr>
      </w:pPr>
    </w:p>
    <w:p w14:paraId="51AE55A6" w14:textId="339B45A5" w:rsidR="000335E3" w:rsidRPr="0036019C" w:rsidRDefault="000335E3" w:rsidP="000335E3">
      <w:pPr>
        <w:ind w:firstLine="284"/>
        <w:jc w:val="both"/>
        <w:rPr>
          <w:rFonts w:ascii="Garamond" w:hAnsi="Garamond"/>
          <w:lang w:val="sq-AL"/>
        </w:rPr>
      </w:pPr>
      <w:r w:rsidRPr="0036019C">
        <w:rPr>
          <w:rFonts w:ascii="Garamond" w:hAnsi="Garamond"/>
          <w:lang w:val="sq-AL"/>
        </w:rPr>
        <w:t xml:space="preserve">Kjo Marrëveshje Financimi konsiderohet e nënshkruar në datën kur nënshkruhet nga pala e fundit, jo më vonë se 31 dhjetor 2026. </w:t>
      </w:r>
    </w:p>
    <w:p w14:paraId="55C20C8F" w14:textId="77777777" w:rsidR="000335E3" w:rsidRPr="0036019C" w:rsidRDefault="000335E3" w:rsidP="000335E3">
      <w:pPr>
        <w:ind w:firstLine="284"/>
        <w:jc w:val="both"/>
        <w:rPr>
          <w:rFonts w:ascii="Garamond" w:hAnsi="Garamond"/>
          <w:lang w:val="sq-AL"/>
        </w:rPr>
      </w:pPr>
      <w:r w:rsidRPr="0036019C">
        <w:rPr>
          <w:rFonts w:ascii="Garamond" w:hAnsi="Garamond"/>
          <w:lang w:val="sq-AL"/>
        </w:rPr>
        <w:t xml:space="preserve">Kjo Marrëveshje Financimi hyn në fuqi në datën kur Komisioni merr njoftim nga përfituesi IPA III me të cilin konfirmon përfundimin e procedurave të brendshme të përfituesit IPA III që </w:t>
      </w:r>
      <w:r w:rsidRPr="0036019C">
        <w:rPr>
          <w:rFonts w:ascii="Garamond" w:hAnsi="Garamond"/>
          <w:lang w:val="sq-AL"/>
        </w:rPr>
        <w:lastRenderedPageBreak/>
        <w:t>janë të nevojshme për hyrjen në fuqi të Marrëveshjes së Financimit. Komisioni e informon përfituesin IPA III për datën e marrjes së këtij njoftimi.</w:t>
      </w:r>
    </w:p>
    <w:p w14:paraId="209DEC22"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 xml:space="preserve">Për përfituesin IPA III </w:t>
      </w:r>
    </w:p>
    <w:p w14:paraId="60ED88E9"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 xml:space="preserve">Znj. Eridana Çano Koordinatore Kombëtare e IPA-s, </w:t>
      </w:r>
    </w:p>
    <w:p w14:paraId="073F0BC2"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 xml:space="preserve">Drejtore e Përgjithshme e Agjencisë Shtetërore </w:t>
      </w:r>
    </w:p>
    <w:p w14:paraId="1F262033"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të Programimit Strategjik dhe Koordinimit të Ndihmës</w:t>
      </w:r>
    </w:p>
    <w:p w14:paraId="749F4709"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Tiranë, Shqipëri</w:t>
      </w:r>
    </w:p>
    <w:p w14:paraId="31A62C0C"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Data:</w:t>
      </w:r>
    </w:p>
    <w:p w14:paraId="1966F70E"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 xml:space="preserve">Nënshkrimi: </w:t>
      </w:r>
    </w:p>
    <w:p w14:paraId="64E8A3D9" w14:textId="77777777" w:rsidR="006A46B9" w:rsidRPr="0036019C" w:rsidRDefault="006A46B9" w:rsidP="000335E3">
      <w:pPr>
        <w:tabs>
          <w:tab w:val="left" w:pos="4678"/>
          <w:tab w:val="left" w:pos="9356"/>
        </w:tabs>
        <w:ind w:firstLine="284"/>
        <w:rPr>
          <w:rFonts w:ascii="Garamond" w:hAnsi="Garamond"/>
          <w:lang w:val="sq-AL"/>
        </w:rPr>
      </w:pPr>
    </w:p>
    <w:p w14:paraId="5171B82D"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Për Komisionin</w:t>
      </w:r>
    </w:p>
    <w:p w14:paraId="0C506BAB"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Znj. Valentina Superti</w:t>
      </w:r>
    </w:p>
    <w:p w14:paraId="08CF7A63"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Drejtore B, Ballkani Perëndimor</w:t>
      </w:r>
    </w:p>
    <w:p w14:paraId="2653C7E9"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 xml:space="preserve">Drejtore e Përgjithshme për Fqinjësinë Lindore </w:t>
      </w:r>
    </w:p>
    <w:p w14:paraId="0872A06F"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dhe Negociatat e Zgjerimit</w:t>
      </w:r>
    </w:p>
    <w:p w14:paraId="51B7647A" w14:textId="77777777" w:rsidR="006A46B9" w:rsidRPr="0036019C" w:rsidRDefault="000335E3" w:rsidP="006A46B9">
      <w:pPr>
        <w:tabs>
          <w:tab w:val="left" w:pos="4678"/>
          <w:tab w:val="left" w:pos="9356"/>
        </w:tabs>
        <w:ind w:firstLine="284"/>
        <w:rPr>
          <w:rFonts w:ascii="Garamond" w:hAnsi="Garamond"/>
          <w:lang w:val="sq-AL"/>
        </w:rPr>
      </w:pPr>
      <w:r w:rsidRPr="0036019C">
        <w:rPr>
          <w:rFonts w:ascii="Garamond" w:hAnsi="Garamond"/>
          <w:lang w:val="sq-AL"/>
        </w:rPr>
        <w:t>Komisioni Evropian</w:t>
      </w:r>
      <w:r w:rsidR="006A46B9" w:rsidRPr="0036019C">
        <w:rPr>
          <w:rFonts w:ascii="Garamond" w:hAnsi="Garamond"/>
          <w:lang w:val="sq-AL"/>
        </w:rPr>
        <w:t xml:space="preserve"> </w:t>
      </w:r>
    </w:p>
    <w:p w14:paraId="394A190F" w14:textId="7C6F37AA" w:rsidR="006A46B9" w:rsidRPr="0036019C" w:rsidRDefault="000335E3" w:rsidP="006A46B9">
      <w:pPr>
        <w:tabs>
          <w:tab w:val="left" w:pos="4678"/>
          <w:tab w:val="left" w:pos="9356"/>
        </w:tabs>
        <w:ind w:firstLine="284"/>
        <w:rPr>
          <w:rFonts w:ascii="Garamond" w:hAnsi="Garamond"/>
          <w:lang w:val="sq-AL"/>
        </w:rPr>
      </w:pPr>
      <w:r w:rsidRPr="0036019C">
        <w:rPr>
          <w:rFonts w:ascii="Garamond" w:hAnsi="Garamond"/>
          <w:lang w:val="sq-AL"/>
        </w:rPr>
        <w:t>Bruksel, Belgjikë</w:t>
      </w:r>
    </w:p>
    <w:p w14:paraId="04AA5606" w14:textId="77777777" w:rsidR="006A46B9"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Data:</w:t>
      </w:r>
    </w:p>
    <w:p w14:paraId="034420F2" w14:textId="6AB0333B" w:rsidR="000335E3" w:rsidRPr="0036019C" w:rsidRDefault="000335E3" w:rsidP="000335E3">
      <w:pPr>
        <w:tabs>
          <w:tab w:val="left" w:pos="4678"/>
          <w:tab w:val="left" w:pos="9356"/>
        </w:tabs>
        <w:ind w:firstLine="284"/>
        <w:rPr>
          <w:rFonts w:ascii="Garamond" w:hAnsi="Garamond"/>
          <w:lang w:val="sq-AL"/>
        </w:rPr>
      </w:pPr>
      <w:r w:rsidRPr="0036019C">
        <w:rPr>
          <w:rFonts w:ascii="Garamond" w:hAnsi="Garamond"/>
          <w:lang w:val="sq-AL"/>
        </w:rPr>
        <w:t>Nënshkrimi:</w:t>
      </w:r>
    </w:p>
    <w:p w14:paraId="67B0876E" w14:textId="3171C944" w:rsidR="000335E3" w:rsidRPr="0036019C" w:rsidRDefault="000335E3" w:rsidP="000335E3">
      <w:pPr>
        <w:tabs>
          <w:tab w:val="left" w:pos="4678"/>
          <w:tab w:val="left" w:pos="9356"/>
        </w:tabs>
        <w:ind w:firstLine="284"/>
        <w:rPr>
          <w:rFonts w:ascii="Garamond" w:hAnsi="Garamond"/>
          <w:lang w:val="sq-AL"/>
        </w:rPr>
      </w:pPr>
    </w:p>
    <w:p w14:paraId="2C8D83B1" w14:textId="4C01E768" w:rsidR="00B06BDA" w:rsidRPr="0036019C" w:rsidRDefault="00B06BDA" w:rsidP="000335E3">
      <w:pPr>
        <w:tabs>
          <w:tab w:val="left" w:pos="4678"/>
          <w:tab w:val="left" w:pos="9356"/>
        </w:tabs>
        <w:ind w:firstLine="284"/>
        <w:rPr>
          <w:rFonts w:ascii="Garamond" w:hAnsi="Garamond"/>
          <w:lang w:val="sq-AL"/>
        </w:rPr>
      </w:pPr>
    </w:p>
    <w:p w14:paraId="34058485" w14:textId="47DDC2D8" w:rsidR="007000DC" w:rsidRPr="0036019C" w:rsidRDefault="007000DC" w:rsidP="00B06BDA">
      <w:pPr>
        <w:tabs>
          <w:tab w:val="left" w:pos="3300"/>
          <w:tab w:val="center" w:pos="4536"/>
        </w:tabs>
        <w:ind w:firstLine="284"/>
        <w:jc w:val="center"/>
        <w:rPr>
          <w:rFonts w:ascii="Garamond" w:eastAsia="Calibri" w:hAnsi="Garamond"/>
          <w:b/>
          <w:color w:val="000000" w:themeColor="text1"/>
          <w:lang w:val="sq-AL"/>
        </w:rPr>
      </w:pPr>
      <w:r w:rsidRPr="0036019C">
        <w:rPr>
          <w:rFonts w:ascii="Garamond" w:eastAsia="Calibri" w:hAnsi="Garamond"/>
          <w:b/>
          <w:noProof/>
          <w:color w:val="000000" w:themeColor="text1"/>
          <w:lang w:val="sq-AL"/>
        </w:rPr>
        <w:drawing>
          <wp:inline distT="0" distB="0" distL="0" distR="0" wp14:anchorId="0D6C2E13" wp14:editId="0ADC7E16">
            <wp:extent cx="121920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00" cy="861060"/>
                    </a:xfrm>
                    <a:prstGeom prst="rect">
                      <a:avLst/>
                    </a:prstGeom>
                    <a:noFill/>
                  </pic:spPr>
                </pic:pic>
              </a:graphicData>
            </a:graphic>
          </wp:inline>
        </w:drawing>
      </w:r>
    </w:p>
    <w:p w14:paraId="3B966F24" w14:textId="77777777" w:rsidR="007000DC" w:rsidRPr="0036019C" w:rsidRDefault="007000DC" w:rsidP="00B06BDA">
      <w:pPr>
        <w:tabs>
          <w:tab w:val="left" w:pos="3300"/>
          <w:tab w:val="center" w:pos="4536"/>
        </w:tabs>
        <w:ind w:firstLine="284"/>
        <w:jc w:val="center"/>
        <w:rPr>
          <w:rFonts w:ascii="Garamond" w:eastAsia="Calibri" w:hAnsi="Garamond"/>
          <w:b/>
          <w:color w:val="000000" w:themeColor="text1"/>
          <w:lang w:val="sq-AL"/>
        </w:rPr>
      </w:pPr>
    </w:p>
    <w:p w14:paraId="5E1DEF6C" w14:textId="7504EB95" w:rsidR="00B06BDA" w:rsidRPr="0036019C" w:rsidRDefault="00B06BDA" w:rsidP="00B06BDA">
      <w:pPr>
        <w:tabs>
          <w:tab w:val="left" w:pos="3300"/>
          <w:tab w:val="center" w:pos="4536"/>
        </w:tabs>
        <w:ind w:firstLine="284"/>
        <w:jc w:val="center"/>
        <w:rPr>
          <w:rFonts w:ascii="Garamond" w:eastAsia="Calibri" w:hAnsi="Garamond"/>
          <w:smallCaps/>
          <w:color w:val="000000" w:themeColor="text1"/>
          <w:lang w:val="sq-AL"/>
        </w:rPr>
      </w:pPr>
      <w:r w:rsidRPr="0036019C">
        <w:rPr>
          <w:rFonts w:ascii="Garamond" w:eastAsia="Calibri" w:hAnsi="Garamond"/>
          <w:b/>
          <w:color w:val="000000" w:themeColor="text1"/>
          <w:lang w:val="sq-AL"/>
        </w:rPr>
        <w:t>AL</w:t>
      </w:r>
    </w:p>
    <w:p w14:paraId="3D76F566" w14:textId="66B8372C" w:rsidR="00B06BDA" w:rsidRPr="0036019C" w:rsidRDefault="00B06BDA" w:rsidP="00B06BDA">
      <w:pPr>
        <w:ind w:firstLine="284"/>
        <w:jc w:val="center"/>
        <w:rPr>
          <w:rFonts w:ascii="Garamond" w:eastAsia="Calibri" w:hAnsi="Garamond"/>
          <w:b/>
          <w:smallCaps/>
          <w:color w:val="000000" w:themeColor="text1"/>
          <w:lang w:val="sq-AL"/>
        </w:rPr>
      </w:pPr>
      <w:r w:rsidRPr="0036019C">
        <w:rPr>
          <w:rFonts w:ascii="Garamond" w:eastAsia="Calibri" w:hAnsi="Garamond"/>
          <w:b/>
          <w:smallCaps/>
          <w:color w:val="000000" w:themeColor="text1"/>
          <w:lang w:val="sq-AL"/>
        </w:rPr>
        <w:t xml:space="preserve">KY VEPRIM </w:t>
      </w:r>
      <w:r w:rsidR="0036019C" w:rsidRPr="0036019C">
        <w:rPr>
          <w:rFonts w:ascii="Garamond" w:eastAsia="Calibri" w:hAnsi="Garamond"/>
          <w:b/>
          <w:smallCaps/>
          <w:color w:val="000000" w:themeColor="text1"/>
          <w:lang w:val="sq-AL"/>
        </w:rPr>
        <w:t>FINANCOHET</w:t>
      </w:r>
      <w:r w:rsidRPr="0036019C">
        <w:rPr>
          <w:rFonts w:ascii="Garamond" w:eastAsia="Calibri" w:hAnsi="Garamond"/>
          <w:b/>
          <w:smallCaps/>
          <w:color w:val="000000" w:themeColor="text1"/>
          <w:lang w:val="sq-AL"/>
        </w:rPr>
        <w:t xml:space="preserve"> NGA BASHKIMI EVROPIAN</w:t>
      </w:r>
    </w:p>
    <w:p w14:paraId="5FECC3F0" w14:textId="77777777" w:rsidR="00D70C44" w:rsidRPr="0036019C" w:rsidRDefault="00D70C44" w:rsidP="00B06BDA">
      <w:pPr>
        <w:ind w:firstLine="284"/>
        <w:jc w:val="center"/>
        <w:rPr>
          <w:rFonts w:ascii="Garamond" w:hAnsi="Garamond"/>
          <w:b/>
          <w:bCs/>
          <w:smallCaps/>
          <w:color w:val="000000" w:themeColor="text1"/>
          <w:lang w:val="sq-AL"/>
        </w:rPr>
      </w:pPr>
    </w:p>
    <w:p w14:paraId="17B12ADD" w14:textId="446E8B8F" w:rsidR="00B06BDA" w:rsidRPr="0036019C" w:rsidRDefault="00B06BDA" w:rsidP="00B06BDA">
      <w:pPr>
        <w:ind w:firstLine="284"/>
        <w:jc w:val="center"/>
        <w:rPr>
          <w:rFonts w:ascii="Garamond" w:hAnsi="Garamond"/>
          <w:b/>
          <w:bCs/>
          <w:smallCaps/>
          <w:color w:val="000000" w:themeColor="text1"/>
          <w:lang w:val="sq-AL"/>
        </w:rPr>
      </w:pPr>
      <w:r w:rsidRPr="0036019C">
        <w:rPr>
          <w:rFonts w:ascii="Garamond" w:hAnsi="Garamond"/>
          <w:b/>
          <w:bCs/>
          <w:smallCaps/>
          <w:color w:val="000000" w:themeColor="text1"/>
          <w:lang w:val="sq-AL"/>
        </w:rPr>
        <w:t>SHTOJCA I</w:t>
      </w:r>
    </w:p>
    <w:p w14:paraId="07D94483" w14:textId="3AA8A6A8" w:rsidR="00B06BDA" w:rsidRPr="0036019C" w:rsidRDefault="00B06BDA" w:rsidP="00D70C44">
      <w:pPr>
        <w:ind w:firstLine="284"/>
        <w:jc w:val="center"/>
        <w:rPr>
          <w:rFonts w:ascii="Garamond" w:hAnsi="Garamond"/>
          <w:color w:val="000000" w:themeColor="text1"/>
          <w:lang w:val="sq-AL"/>
        </w:rPr>
      </w:pPr>
      <w:r w:rsidRPr="0036019C">
        <w:rPr>
          <w:rFonts w:ascii="Garamond" w:hAnsi="Garamond"/>
          <w:color w:val="000000" w:themeColor="text1"/>
          <w:lang w:val="sq-AL"/>
        </w:rPr>
        <w:t>e Marrëveshjes së Financimit mbi planin e veprimit shumëvjeçar në favor të Shqipërisë për periudhën</w:t>
      </w:r>
      <w:r w:rsidR="000F72F0" w:rsidRPr="0036019C">
        <w:rPr>
          <w:rFonts w:ascii="Garamond" w:hAnsi="Garamond"/>
          <w:color w:val="000000" w:themeColor="text1"/>
          <w:lang w:val="sq-AL"/>
        </w:rPr>
        <w:t xml:space="preserve"> </w:t>
      </w:r>
      <w:r w:rsidR="00D20604">
        <w:rPr>
          <w:rFonts w:ascii="Garamond" w:hAnsi="Garamond"/>
          <w:color w:val="000000" w:themeColor="text1"/>
          <w:lang w:val="sq-AL"/>
        </w:rPr>
        <w:t>2025–2027</w:t>
      </w:r>
    </w:p>
    <w:p w14:paraId="3525F9EF" w14:textId="77777777" w:rsidR="00B06BDA" w:rsidRPr="0036019C" w:rsidRDefault="00B06BDA" w:rsidP="00B06BDA">
      <w:pPr>
        <w:ind w:firstLine="284"/>
        <w:jc w:val="center"/>
        <w:rPr>
          <w:rFonts w:ascii="Garamond" w:eastAsia="Calibri" w:hAnsi="Garamond"/>
          <w:color w:val="000000" w:themeColor="text1"/>
          <w:lang w:val="sq-AL"/>
        </w:rPr>
      </w:pPr>
    </w:p>
    <w:p w14:paraId="0CF213F8" w14:textId="4506CB50" w:rsidR="00B06BDA" w:rsidRPr="0036019C" w:rsidRDefault="00B06BDA" w:rsidP="00B06BDA">
      <w:pPr>
        <w:ind w:firstLine="284"/>
        <w:jc w:val="center"/>
        <w:rPr>
          <w:rFonts w:ascii="Garamond" w:hAnsi="Garamond"/>
          <w:b/>
          <w:bCs/>
          <w:color w:val="000000" w:themeColor="text1"/>
          <w:lang w:val="sq-AL"/>
        </w:rPr>
      </w:pPr>
      <w:r w:rsidRPr="0036019C">
        <w:rPr>
          <w:rFonts w:ascii="Garamond" w:hAnsi="Garamond"/>
          <w:b/>
          <w:bCs/>
          <w:color w:val="000000" w:themeColor="text1"/>
          <w:lang w:val="sq-AL"/>
        </w:rPr>
        <w:t xml:space="preserve">Dokumenti i </w:t>
      </w:r>
      <w:r w:rsidR="0036019C" w:rsidRPr="0036019C">
        <w:rPr>
          <w:rFonts w:ascii="Garamond" w:hAnsi="Garamond"/>
          <w:b/>
          <w:bCs/>
          <w:color w:val="000000" w:themeColor="text1"/>
          <w:lang w:val="sq-AL"/>
        </w:rPr>
        <w:t xml:space="preserve">veprimit </w:t>
      </w:r>
      <w:r w:rsidRPr="0036019C">
        <w:rPr>
          <w:rFonts w:ascii="Garamond" w:hAnsi="Garamond"/>
          <w:b/>
          <w:bCs/>
          <w:color w:val="000000" w:themeColor="text1"/>
          <w:lang w:val="sq-AL"/>
        </w:rPr>
        <w:t>për veprimin shumëvjeçar në favor të Shqipërisë për periudhën 2025</w:t>
      </w:r>
      <w:r w:rsidR="0036019C">
        <w:rPr>
          <w:rFonts w:ascii="Garamond" w:hAnsi="Garamond"/>
          <w:b/>
          <w:bCs/>
          <w:color w:val="000000" w:themeColor="text1"/>
          <w:lang w:val="sq-AL"/>
        </w:rPr>
        <w:t>–</w:t>
      </w:r>
      <w:r w:rsidRPr="0036019C">
        <w:rPr>
          <w:rFonts w:ascii="Garamond" w:hAnsi="Garamond"/>
          <w:b/>
          <w:bCs/>
          <w:color w:val="000000" w:themeColor="text1"/>
          <w:lang w:val="sq-AL"/>
        </w:rPr>
        <w:t>2027</w:t>
      </w:r>
    </w:p>
    <w:p w14:paraId="3DF4C6A1" w14:textId="77777777" w:rsidR="00B06BDA" w:rsidRPr="0036019C" w:rsidRDefault="00B06BDA" w:rsidP="00B06BDA">
      <w:pPr>
        <w:ind w:firstLine="284"/>
        <w:jc w:val="center"/>
        <w:rPr>
          <w:rFonts w:ascii="Garamond" w:eastAsia="Calibri" w:hAnsi="Garamond"/>
          <w:b/>
          <w:bCs/>
          <w:color w:val="000000" w:themeColor="text1"/>
          <w:lang w:val="sq-AL"/>
        </w:rPr>
      </w:pPr>
    </w:p>
    <w:p w14:paraId="7274F327" w14:textId="77777777" w:rsidR="00B06BDA" w:rsidRPr="0036019C" w:rsidRDefault="00B06BDA" w:rsidP="00D70C44">
      <w:pPr>
        <w:pStyle w:val="TEKSTIIIII"/>
        <w:rPr>
          <w:b/>
        </w:rPr>
      </w:pPr>
      <w:r w:rsidRPr="0036019C">
        <w:rPr>
          <w:b/>
        </w:rPr>
        <w:t>1. PËRMBLEDHJE</w:t>
      </w:r>
    </w:p>
    <w:p w14:paraId="0BA10D77" w14:textId="7F32F21B" w:rsidR="00B06BDA" w:rsidRPr="0036019C" w:rsidRDefault="00B06BDA" w:rsidP="00D70C44">
      <w:pPr>
        <w:pStyle w:val="TEKSTIIIII"/>
        <w:rPr>
          <w:b/>
        </w:rPr>
      </w:pPr>
      <w:r w:rsidRPr="0036019C">
        <w:rPr>
          <w:b/>
        </w:rPr>
        <w:t xml:space="preserve">1.1 Tabela </w:t>
      </w:r>
      <w:r w:rsidR="002B683C" w:rsidRPr="0036019C">
        <w:rPr>
          <w:b/>
        </w:rPr>
        <w:t>përmbledhëse e veprimit</w:t>
      </w:r>
    </w:p>
    <w:tbl>
      <w:tblPr>
        <w:tblW w:w="5000" w:type="pct"/>
        <w:tblLook w:val="01E0" w:firstRow="1" w:lastRow="1" w:firstColumn="1" w:lastColumn="1" w:noHBand="0" w:noVBand="0"/>
      </w:tblPr>
      <w:tblGrid>
        <w:gridCol w:w="2379"/>
        <w:gridCol w:w="6640"/>
      </w:tblGrid>
      <w:tr w:rsidR="00B06BDA" w:rsidRPr="0036019C" w14:paraId="138C2871" w14:textId="77777777" w:rsidTr="000F72F0">
        <w:trPr>
          <w:trHeight w:val="20"/>
        </w:trPr>
        <w:tc>
          <w:tcPr>
            <w:tcW w:w="1092" w:type="pct"/>
            <w:tcBorders>
              <w:top w:val="single" w:sz="4" w:space="0" w:color="auto"/>
              <w:left w:val="single" w:sz="4" w:space="0" w:color="auto"/>
              <w:right w:val="single" w:sz="4" w:space="0" w:color="auto"/>
            </w:tcBorders>
          </w:tcPr>
          <w:p w14:paraId="3C8E5018" w14:textId="77777777" w:rsidR="00B06BDA" w:rsidRPr="0036019C" w:rsidRDefault="00B06BDA" w:rsidP="00D70C44">
            <w:pPr>
              <w:pStyle w:val="Text1"/>
              <w:spacing w:before="0" w:after="0"/>
              <w:ind w:left="0"/>
              <w:jc w:val="left"/>
              <w:rPr>
                <w:rFonts w:ascii="Garamond" w:hAnsi="Garamond"/>
                <w:b/>
                <w:color w:val="000000" w:themeColor="text1"/>
                <w:sz w:val="20"/>
                <w:lang w:val="sq-AL"/>
              </w:rPr>
            </w:pPr>
            <w:r w:rsidRPr="0036019C">
              <w:rPr>
                <w:rFonts w:ascii="Garamond" w:hAnsi="Garamond"/>
                <w:b/>
                <w:color w:val="000000" w:themeColor="text1"/>
                <w:sz w:val="20"/>
                <w:lang w:val="sq-AL"/>
              </w:rPr>
              <w:t>Titulli</w:t>
            </w:r>
          </w:p>
          <w:p w14:paraId="3AA37599" w14:textId="5573D3E4" w:rsidR="00B06BDA" w:rsidRPr="0036019C" w:rsidRDefault="00B06BDA" w:rsidP="00D70C44">
            <w:pPr>
              <w:pStyle w:val="Text1"/>
              <w:spacing w:before="0" w:after="0"/>
              <w:ind w:left="0"/>
              <w:jc w:val="left"/>
              <w:rPr>
                <w:rFonts w:ascii="Garamond" w:hAnsi="Garamond"/>
                <w:b/>
                <w:color w:val="000000" w:themeColor="text1"/>
                <w:sz w:val="20"/>
                <w:lang w:val="sq-AL"/>
              </w:rPr>
            </w:pPr>
            <w:r w:rsidRPr="0036019C">
              <w:rPr>
                <w:rFonts w:ascii="Garamond" w:hAnsi="Garamond"/>
                <w:b/>
                <w:color w:val="000000" w:themeColor="text1"/>
                <w:sz w:val="20"/>
                <w:lang w:val="sq-AL"/>
              </w:rPr>
              <w:t>OPSYS</w:t>
            </w:r>
            <w:r w:rsidR="002B683C" w:rsidRPr="0036019C">
              <w:rPr>
                <w:rFonts w:ascii="Garamond" w:hAnsi="Garamond"/>
                <w:b/>
                <w:color w:val="000000" w:themeColor="text1"/>
                <w:sz w:val="20"/>
                <w:lang w:val="sq-AL"/>
              </w:rPr>
              <w:t xml:space="preserve"> </w:t>
            </w:r>
            <w:r w:rsidRPr="0036019C">
              <w:rPr>
                <w:rFonts w:ascii="Garamond" w:hAnsi="Garamond"/>
                <w:bCs/>
                <w:i/>
                <w:iCs/>
                <w:color w:val="000000" w:themeColor="text1"/>
                <w:sz w:val="20"/>
                <w:lang w:val="sq-AL"/>
              </w:rPr>
              <w:t>(Sistemi Operacional i Komisionit Evropian për Menaxhimin e Projekteve dhe Kontratave)</w:t>
            </w:r>
          </w:p>
          <w:p w14:paraId="2BE32FFF" w14:textId="77777777" w:rsidR="00B06BDA" w:rsidRPr="0036019C" w:rsidRDefault="00B06BDA" w:rsidP="00D70C44">
            <w:pPr>
              <w:pStyle w:val="Text1"/>
              <w:spacing w:before="0" w:after="0"/>
              <w:ind w:left="0"/>
              <w:jc w:val="left"/>
              <w:rPr>
                <w:rFonts w:ascii="Garamond" w:hAnsi="Garamond"/>
                <w:b/>
                <w:color w:val="000000" w:themeColor="text1"/>
                <w:sz w:val="20"/>
                <w:lang w:val="sq-AL"/>
              </w:rPr>
            </w:pPr>
            <w:r w:rsidRPr="0036019C">
              <w:rPr>
                <w:rFonts w:ascii="Garamond" w:hAnsi="Garamond"/>
                <w:b/>
                <w:color w:val="000000" w:themeColor="text1"/>
                <w:sz w:val="20"/>
                <w:lang w:val="sq-AL"/>
              </w:rPr>
              <w:t>Akti Themelor</w:t>
            </w:r>
          </w:p>
        </w:tc>
        <w:tc>
          <w:tcPr>
            <w:tcW w:w="3908" w:type="pct"/>
            <w:tcBorders>
              <w:top w:val="single" w:sz="4" w:space="0" w:color="auto"/>
              <w:left w:val="single" w:sz="4" w:space="0" w:color="auto"/>
              <w:right w:val="single" w:sz="4" w:space="0" w:color="auto"/>
            </w:tcBorders>
          </w:tcPr>
          <w:p w14:paraId="45B51311" w14:textId="09AF4B9B"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 xml:space="preserve">Plani i veprimit shumëvjeçar në favor të Shqipërisë për vitet </w:t>
            </w:r>
            <w:r w:rsidR="00D20604">
              <w:rPr>
                <w:rFonts w:ascii="Garamond" w:hAnsi="Garamond"/>
                <w:color w:val="000000" w:themeColor="text1"/>
                <w:sz w:val="20"/>
                <w:lang w:val="sq-AL"/>
              </w:rPr>
              <w:t>2025–2027</w:t>
            </w:r>
          </w:p>
          <w:p w14:paraId="4EA94D50" w14:textId="492A0CE1"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 xml:space="preserve">Vendimi Zbatues i Komisionit për financimin e planit shumëvjeçar të veprimit në favor të Ballkanit Perëndimor për vitet </w:t>
            </w:r>
            <w:r w:rsidR="00D20604">
              <w:rPr>
                <w:rFonts w:ascii="Garamond" w:hAnsi="Garamond"/>
                <w:color w:val="000000" w:themeColor="text1"/>
                <w:sz w:val="20"/>
                <w:lang w:val="sq-AL"/>
              </w:rPr>
              <w:t>2025–2027</w:t>
            </w:r>
          </w:p>
          <w:p w14:paraId="5007E39B" w14:textId="77777777"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Referenca e biznesit të OPSYS: FD-2328</w:t>
            </w:r>
          </w:p>
          <w:p w14:paraId="59B3A093" w14:textId="77777777"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Numri i nivelit 1 të angazhimit: &lt;</w:t>
            </w:r>
            <w:r w:rsidRPr="0036019C">
              <w:rPr>
                <w:rFonts w:ascii="Garamond" w:hAnsi="Garamond"/>
                <w:sz w:val="20"/>
                <w:lang w:val="sq-AL"/>
              </w:rPr>
              <w:t xml:space="preserve"> </w:t>
            </w:r>
            <w:r w:rsidRPr="0036019C">
              <w:rPr>
                <w:rFonts w:ascii="Garamond" w:hAnsi="Garamond"/>
                <w:color w:val="000000" w:themeColor="text1"/>
                <w:sz w:val="20"/>
                <w:lang w:val="sq-AL"/>
              </w:rPr>
              <w:t>JAG.SUM. 1893569&gt; për vitin financiar 2025, &lt;JAG.SUM. 1893623&gt; për vitin financiar 2026 dhe &lt;</w:t>
            </w:r>
            <w:r w:rsidRPr="0036019C">
              <w:rPr>
                <w:rFonts w:ascii="Garamond" w:hAnsi="Garamond"/>
                <w:sz w:val="20"/>
                <w:lang w:val="sq-AL"/>
              </w:rPr>
              <w:t xml:space="preserve"> </w:t>
            </w:r>
            <w:r w:rsidRPr="0036019C">
              <w:rPr>
                <w:rFonts w:ascii="Garamond" w:hAnsi="Garamond"/>
                <w:color w:val="000000" w:themeColor="text1"/>
                <w:sz w:val="20"/>
                <w:lang w:val="sq-AL"/>
              </w:rPr>
              <w:t>JAG.SUM. 1893647&gt; për vitin financiar 2027</w:t>
            </w:r>
          </w:p>
          <w:p w14:paraId="5B241D7D" w14:textId="32DCA35C"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Financuar në kuadrin e Instrumentit për Asistencën e Para</w:t>
            </w:r>
            <w:r w:rsidR="002B683C" w:rsidRPr="0036019C">
              <w:rPr>
                <w:rFonts w:ascii="Garamond" w:hAnsi="Garamond"/>
                <w:color w:val="000000" w:themeColor="text1"/>
                <w:sz w:val="20"/>
                <w:lang w:val="sq-AL"/>
              </w:rPr>
              <w:t>a</w:t>
            </w:r>
            <w:r w:rsidRPr="0036019C">
              <w:rPr>
                <w:rFonts w:ascii="Garamond" w:hAnsi="Garamond"/>
                <w:color w:val="000000" w:themeColor="text1"/>
                <w:sz w:val="20"/>
                <w:lang w:val="sq-AL"/>
              </w:rPr>
              <w:t>nëtarësimit (Para</w:t>
            </w:r>
            <w:r w:rsidR="002B683C" w:rsidRPr="0036019C">
              <w:rPr>
                <w:rFonts w:ascii="Garamond" w:hAnsi="Garamond"/>
                <w:color w:val="000000" w:themeColor="text1"/>
                <w:sz w:val="20"/>
                <w:lang w:val="sq-AL"/>
              </w:rPr>
              <w:t>a</w:t>
            </w:r>
            <w:r w:rsidRPr="0036019C">
              <w:rPr>
                <w:rFonts w:ascii="Garamond" w:hAnsi="Garamond"/>
                <w:color w:val="000000" w:themeColor="text1"/>
                <w:sz w:val="20"/>
                <w:lang w:val="sq-AL"/>
              </w:rPr>
              <w:t>derimit) (IPA III)</w:t>
            </w:r>
          </w:p>
        </w:tc>
      </w:tr>
      <w:tr w:rsidR="00B06BDA" w:rsidRPr="0036019C" w14:paraId="5ED66E6D"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02F83D56" w14:textId="77777777" w:rsidR="00B06BDA" w:rsidRPr="0036019C" w:rsidRDefault="00B06BDA" w:rsidP="00D70C44">
            <w:pPr>
              <w:pStyle w:val="Text1"/>
              <w:spacing w:before="0" w:after="0"/>
              <w:ind w:left="0"/>
              <w:jc w:val="left"/>
              <w:rPr>
                <w:rFonts w:ascii="Garamond" w:hAnsi="Garamond"/>
                <w:b/>
                <w:color w:val="000000" w:themeColor="text1"/>
                <w:sz w:val="20"/>
                <w:lang w:val="sq-AL"/>
              </w:rPr>
            </w:pPr>
            <w:r w:rsidRPr="0036019C">
              <w:rPr>
                <w:rFonts w:ascii="Garamond" w:hAnsi="Garamond"/>
                <w:b/>
                <w:color w:val="000000" w:themeColor="text1"/>
                <w:sz w:val="20"/>
                <w:lang w:val="sq-AL"/>
              </w:rPr>
              <w:t>Përfituesi i veprimit</w:t>
            </w:r>
          </w:p>
        </w:tc>
        <w:tc>
          <w:tcPr>
            <w:tcW w:w="3908" w:type="pct"/>
            <w:tcBorders>
              <w:top w:val="single" w:sz="4" w:space="0" w:color="auto"/>
              <w:left w:val="single" w:sz="4" w:space="0" w:color="auto"/>
              <w:bottom w:val="single" w:sz="4" w:space="0" w:color="auto"/>
              <w:right w:val="single" w:sz="4" w:space="0" w:color="auto"/>
            </w:tcBorders>
          </w:tcPr>
          <w:p w14:paraId="0855CE42" w14:textId="77777777" w:rsidR="00B06BDA" w:rsidRPr="0036019C" w:rsidRDefault="00B06BDA" w:rsidP="00D70C44">
            <w:pPr>
              <w:rPr>
                <w:rFonts w:ascii="Garamond" w:hAnsi="Garamond"/>
                <w:color w:val="000000" w:themeColor="text1"/>
                <w:sz w:val="20"/>
                <w:lang w:val="sq-AL"/>
              </w:rPr>
            </w:pPr>
            <w:r w:rsidRPr="0036019C">
              <w:rPr>
                <w:rFonts w:ascii="Garamond" w:hAnsi="Garamond"/>
                <w:color w:val="000000" w:themeColor="text1"/>
                <w:sz w:val="20"/>
                <w:lang w:val="sq-AL"/>
              </w:rPr>
              <w:t>Veprimi do të zbatohet në Shqipëri.</w:t>
            </w:r>
          </w:p>
        </w:tc>
      </w:tr>
      <w:tr w:rsidR="00B06BDA" w:rsidRPr="0036019C" w14:paraId="38032CC0"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6357421F" w14:textId="77777777" w:rsidR="00B06BDA" w:rsidRPr="0036019C" w:rsidRDefault="00B06BDA" w:rsidP="00D70C44">
            <w:pPr>
              <w:pStyle w:val="Text1"/>
              <w:spacing w:before="0" w:after="0"/>
              <w:ind w:left="0"/>
              <w:jc w:val="left"/>
              <w:rPr>
                <w:rFonts w:ascii="Garamond" w:hAnsi="Garamond"/>
                <w:b/>
                <w:color w:val="000000" w:themeColor="text1"/>
                <w:sz w:val="20"/>
                <w:lang w:val="sq-AL"/>
              </w:rPr>
            </w:pPr>
            <w:r w:rsidRPr="0036019C">
              <w:rPr>
                <w:rFonts w:ascii="Garamond" w:hAnsi="Garamond"/>
                <w:b/>
                <w:color w:val="000000" w:themeColor="text1"/>
                <w:sz w:val="20"/>
                <w:lang w:val="sq-AL"/>
              </w:rPr>
              <w:t>Dokumenti programues</w:t>
            </w:r>
          </w:p>
        </w:tc>
        <w:tc>
          <w:tcPr>
            <w:tcW w:w="3908" w:type="pct"/>
            <w:tcBorders>
              <w:top w:val="single" w:sz="4" w:space="0" w:color="auto"/>
              <w:left w:val="single" w:sz="4" w:space="0" w:color="auto"/>
              <w:bottom w:val="single" w:sz="4" w:space="0" w:color="auto"/>
              <w:right w:val="single" w:sz="4" w:space="0" w:color="auto"/>
            </w:tcBorders>
          </w:tcPr>
          <w:p w14:paraId="25909DD1" w14:textId="77777777" w:rsidR="00B06BDA" w:rsidRPr="0036019C" w:rsidRDefault="00B06BDA" w:rsidP="00D70C44">
            <w:pPr>
              <w:rPr>
                <w:rFonts w:ascii="Garamond" w:hAnsi="Garamond"/>
                <w:color w:val="000000" w:themeColor="text1"/>
                <w:sz w:val="20"/>
                <w:lang w:val="sq-AL"/>
              </w:rPr>
            </w:pPr>
            <w:r w:rsidRPr="0036019C">
              <w:rPr>
                <w:rFonts w:ascii="Garamond" w:hAnsi="Garamond"/>
                <w:color w:val="000000" w:themeColor="text1"/>
                <w:sz w:val="20"/>
                <w:lang w:val="sq-AL"/>
              </w:rPr>
              <w:t>Kuadri Programues IPA III</w:t>
            </w:r>
          </w:p>
        </w:tc>
      </w:tr>
      <w:tr w:rsidR="00B06BDA" w:rsidRPr="0036019C" w14:paraId="3C1CDDE2"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6CD882B6" w14:textId="77777777" w:rsidR="00B06BDA" w:rsidRPr="0036019C" w:rsidRDefault="00B06BDA" w:rsidP="00D70C44">
            <w:pPr>
              <w:pStyle w:val="Text1"/>
              <w:spacing w:before="0" w:after="0"/>
              <w:ind w:left="0"/>
              <w:jc w:val="left"/>
              <w:rPr>
                <w:rFonts w:ascii="Garamond" w:hAnsi="Garamond"/>
                <w:b/>
                <w:bCs/>
                <w:color w:val="000000" w:themeColor="text1"/>
                <w:sz w:val="20"/>
                <w:lang w:val="sq-AL"/>
              </w:rPr>
            </w:pPr>
            <w:r w:rsidRPr="0036019C">
              <w:rPr>
                <w:rFonts w:ascii="Garamond" w:hAnsi="Garamond"/>
                <w:b/>
                <w:bCs/>
                <w:color w:val="000000" w:themeColor="text1"/>
                <w:sz w:val="20"/>
                <w:lang w:val="sq-AL"/>
              </w:rPr>
              <w:t>Lidhja me dokumentet përkatëse të programimit strategjik</w:t>
            </w:r>
          </w:p>
        </w:tc>
        <w:tc>
          <w:tcPr>
            <w:tcW w:w="3908" w:type="pct"/>
            <w:tcBorders>
              <w:top w:val="single" w:sz="4" w:space="0" w:color="auto"/>
              <w:left w:val="single" w:sz="4" w:space="0" w:color="auto"/>
              <w:bottom w:val="single" w:sz="4" w:space="0" w:color="auto"/>
              <w:right w:val="single" w:sz="4" w:space="0" w:color="auto"/>
            </w:tcBorders>
          </w:tcPr>
          <w:p w14:paraId="491B6C77" w14:textId="29592E08" w:rsidR="00B06BDA" w:rsidRPr="0036019C" w:rsidRDefault="00B06BDA" w:rsidP="00D70C44">
            <w:pPr>
              <w:rPr>
                <w:rFonts w:ascii="Garamond" w:hAnsi="Garamond"/>
                <w:color w:val="000000" w:themeColor="text1"/>
                <w:sz w:val="20"/>
                <w:lang w:val="sq-AL"/>
              </w:rPr>
            </w:pPr>
            <w:r w:rsidRPr="0036019C">
              <w:rPr>
                <w:rFonts w:ascii="Garamond" w:hAnsi="Garamond"/>
                <w:color w:val="000000" w:themeColor="text1"/>
                <w:sz w:val="20"/>
                <w:lang w:val="sq-AL"/>
              </w:rPr>
              <w:t>Dritarja 1: Sundimi i ligjit, të Drejtat Themelore dhe Demokracia</w:t>
            </w:r>
            <w:r w:rsidRPr="0036019C">
              <w:rPr>
                <w:rFonts w:ascii="Garamond" w:hAnsi="Garamond"/>
                <w:color w:val="000000" w:themeColor="text1"/>
                <w:sz w:val="20"/>
                <w:lang w:val="sq-AL"/>
              </w:rPr>
              <w:br/>
              <w:t xml:space="preserve">Dritarja 2: Qeverisja e Mirë, Përafrimi me </w:t>
            </w:r>
            <w:r w:rsidR="000F72F0" w:rsidRPr="0036019C">
              <w:rPr>
                <w:rFonts w:ascii="Garamond" w:hAnsi="Garamond"/>
                <w:i/>
                <w:iCs/>
                <w:color w:val="000000" w:themeColor="text1"/>
                <w:sz w:val="20"/>
                <w:lang w:val="sq-AL"/>
              </w:rPr>
              <w:t>acquis</w:t>
            </w:r>
            <w:r w:rsidRPr="0036019C">
              <w:rPr>
                <w:rFonts w:ascii="Garamond" w:hAnsi="Garamond"/>
                <w:color w:val="000000" w:themeColor="text1"/>
                <w:sz w:val="20"/>
                <w:lang w:val="sq-AL"/>
              </w:rPr>
              <w:t xml:space="preserve">-në e BE-së, Marrëdhënie të Mira </w:t>
            </w:r>
            <w:r w:rsidRPr="0036019C">
              <w:rPr>
                <w:rFonts w:ascii="Garamond" w:hAnsi="Garamond"/>
                <w:color w:val="000000" w:themeColor="text1"/>
                <w:sz w:val="20"/>
                <w:lang w:val="sq-AL"/>
              </w:rPr>
              <w:lastRenderedPageBreak/>
              <w:t>Fqinjësore dhe Komunikim Strategjik</w:t>
            </w:r>
            <w:r w:rsidRPr="0036019C">
              <w:rPr>
                <w:rFonts w:ascii="Garamond" w:hAnsi="Garamond"/>
                <w:color w:val="000000" w:themeColor="text1"/>
                <w:sz w:val="20"/>
                <w:lang w:val="sq-AL"/>
              </w:rPr>
              <w:br/>
              <w:t>Dritarja 4: Konkurrueshmëria dhe rritja gjithëpërfshirëse</w:t>
            </w:r>
          </w:p>
        </w:tc>
      </w:tr>
      <w:tr w:rsidR="00B06BDA" w:rsidRPr="0036019C" w14:paraId="4E1A9B40" w14:textId="77777777" w:rsidTr="000F72F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A78F9F9" w14:textId="77777777" w:rsidR="00B06BDA" w:rsidRPr="0036019C" w:rsidRDefault="00B06BDA" w:rsidP="00D70C44">
            <w:pPr>
              <w:jc w:val="center"/>
              <w:rPr>
                <w:rFonts w:ascii="Garamond" w:hAnsi="Garamond"/>
                <w:bCs/>
                <w:color w:val="000000" w:themeColor="text1"/>
                <w:sz w:val="20"/>
                <w:lang w:val="sq-AL"/>
              </w:rPr>
            </w:pPr>
            <w:r w:rsidRPr="0036019C">
              <w:rPr>
                <w:rFonts w:ascii="Garamond" w:hAnsi="Garamond"/>
                <w:bCs/>
                <w:color w:val="000000" w:themeColor="text1"/>
                <w:sz w:val="20"/>
                <w:lang w:val="sq-AL"/>
              </w:rPr>
              <w:lastRenderedPageBreak/>
              <w:t>INFORMACION MBI BUXHETIN</w:t>
            </w:r>
          </w:p>
        </w:tc>
      </w:tr>
      <w:tr w:rsidR="00B06BDA" w:rsidRPr="0036019C" w14:paraId="0BCE0A12"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6DC2BF43" w14:textId="77777777"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b/>
                <w:color w:val="000000" w:themeColor="text1"/>
                <w:sz w:val="20"/>
                <w:lang w:val="sq-AL"/>
              </w:rPr>
              <w:t>Shumat përkatëse</w:t>
            </w:r>
            <w:r w:rsidRPr="0036019C">
              <w:rPr>
                <w:rFonts w:ascii="Garamond" w:hAnsi="Garamond"/>
                <w:color w:val="000000" w:themeColor="text1"/>
                <w:sz w:val="20"/>
                <w:lang w:val="sq-AL"/>
              </w:rPr>
              <w:t xml:space="preserve"> </w:t>
            </w:r>
          </w:p>
          <w:p w14:paraId="63306573" w14:textId="77777777" w:rsidR="00B06BDA" w:rsidRPr="0036019C" w:rsidRDefault="00B06BDA" w:rsidP="00D70C44">
            <w:pPr>
              <w:pStyle w:val="Text1"/>
              <w:spacing w:before="0" w:after="0"/>
              <w:ind w:left="0"/>
              <w:rPr>
                <w:rFonts w:ascii="Garamond" w:hAnsi="Garamond"/>
                <w:color w:val="000000" w:themeColor="text1"/>
                <w:sz w:val="20"/>
                <w:lang w:val="sq-AL"/>
              </w:rPr>
            </w:pPr>
          </w:p>
        </w:tc>
        <w:tc>
          <w:tcPr>
            <w:tcW w:w="3908" w:type="pct"/>
            <w:tcBorders>
              <w:top w:val="single" w:sz="4" w:space="0" w:color="auto"/>
              <w:left w:val="single" w:sz="4" w:space="0" w:color="auto"/>
              <w:bottom w:val="single" w:sz="4" w:space="0" w:color="auto"/>
              <w:right w:val="single" w:sz="4" w:space="0" w:color="auto"/>
            </w:tcBorders>
          </w:tcPr>
          <w:p w14:paraId="52B0CD36" w14:textId="746FBDD4"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 xml:space="preserve">Kostoja totale e vlerësuar: 100 000 000 </w:t>
            </w:r>
            <w:r w:rsidR="00CC1C79" w:rsidRPr="0036019C">
              <w:rPr>
                <w:rFonts w:ascii="Garamond" w:hAnsi="Garamond"/>
                <w:color w:val="000000" w:themeColor="text1"/>
                <w:sz w:val="20"/>
                <w:lang w:val="sq-AL"/>
              </w:rPr>
              <w:t>Euro</w:t>
            </w:r>
          </w:p>
          <w:p w14:paraId="63BD61B0" w14:textId="72E1C306"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 xml:space="preserve">Shuma totale e kontributit nga buxheti i BE-së, është 100 000 000 </w:t>
            </w:r>
            <w:r w:rsidR="00BC5735" w:rsidRPr="0036019C">
              <w:rPr>
                <w:rFonts w:ascii="Garamond" w:hAnsi="Garamond"/>
                <w:color w:val="000000" w:themeColor="text1"/>
                <w:sz w:val="20"/>
                <w:lang w:val="sq-AL"/>
              </w:rPr>
              <w:t>euro</w:t>
            </w:r>
            <w:r w:rsidRPr="0036019C">
              <w:rPr>
                <w:rFonts w:ascii="Garamond" w:hAnsi="Garamond"/>
                <w:color w:val="000000" w:themeColor="text1"/>
                <w:sz w:val="20"/>
                <w:lang w:val="sq-AL"/>
              </w:rPr>
              <w:t xml:space="preserve">, nga e cila 33 563 000 </w:t>
            </w:r>
            <w:r w:rsidR="00CC1C79" w:rsidRPr="0036019C">
              <w:rPr>
                <w:rFonts w:ascii="Garamond" w:hAnsi="Garamond"/>
                <w:color w:val="000000" w:themeColor="text1"/>
                <w:sz w:val="20"/>
                <w:lang w:val="sq-AL"/>
              </w:rPr>
              <w:t xml:space="preserve">euro </w:t>
            </w:r>
            <w:r w:rsidRPr="0036019C">
              <w:rPr>
                <w:rFonts w:ascii="Garamond" w:hAnsi="Garamond"/>
                <w:color w:val="000000" w:themeColor="text1"/>
                <w:sz w:val="20"/>
                <w:lang w:val="sq-AL"/>
              </w:rPr>
              <w:t xml:space="preserve">në vitin 2025, 30 000 000 </w:t>
            </w:r>
            <w:r w:rsidR="00CC1C79" w:rsidRPr="0036019C">
              <w:rPr>
                <w:rFonts w:ascii="Garamond" w:hAnsi="Garamond"/>
                <w:color w:val="000000" w:themeColor="text1"/>
                <w:sz w:val="20"/>
                <w:lang w:val="sq-AL"/>
              </w:rPr>
              <w:t xml:space="preserve">euro </w:t>
            </w:r>
            <w:r w:rsidRPr="0036019C">
              <w:rPr>
                <w:rFonts w:ascii="Garamond" w:hAnsi="Garamond"/>
                <w:color w:val="000000" w:themeColor="text1"/>
                <w:sz w:val="20"/>
                <w:lang w:val="sq-AL"/>
              </w:rPr>
              <w:t xml:space="preserve">në vitin 2026 dhe 36 437 000 </w:t>
            </w:r>
            <w:r w:rsidR="00CC1C79" w:rsidRPr="0036019C">
              <w:rPr>
                <w:rFonts w:ascii="Garamond" w:hAnsi="Garamond"/>
                <w:color w:val="000000" w:themeColor="text1"/>
                <w:sz w:val="20"/>
                <w:lang w:val="sq-AL"/>
              </w:rPr>
              <w:t xml:space="preserve">euro </w:t>
            </w:r>
            <w:r w:rsidRPr="0036019C">
              <w:rPr>
                <w:rFonts w:ascii="Garamond" w:hAnsi="Garamond"/>
                <w:color w:val="000000" w:themeColor="text1"/>
                <w:sz w:val="20"/>
                <w:lang w:val="sq-AL"/>
              </w:rPr>
              <w:t>në vitin 2027. Linja</w:t>
            </w:r>
            <w:r w:rsidR="002B683C" w:rsidRPr="0036019C">
              <w:rPr>
                <w:rFonts w:ascii="Garamond" w:hAnsi="Garamond"/>
                <w:color w:val="000000" w:themeColor="text1"/>
                <w:sz w:val="20"/>
                <w:lang w:val="sq-AL"/>
              </w:rPr>
              <w:t>/</w:t>
            </w:r>
            <w:r w:rsidRPr="0036019C">
              <w:rPr>
                <w:rFonts w:ascii="Garamond" w:hAnsi="Garamond"/>
                <w:color w:val="000000" w:themeColor="text1"/>
                <w:sz w:val="20"/>
                <w:lang w:val="sq-AL"/>
              </w:rPr>
              <w:t>t e buxhetit (artikull, zë):</w:t>
            </w:r>
          </w:p>
          <w:p w14:paraId="73598B4E" w14:textId="77777777"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 xml:space="preserve">Linja e buxhetit: 15.020101.01: </w:t>
            </w:r>
          </w:p>
          <w:p w14:paraId="4D421E87" w14:textId="6C4FC68A" w:rsidR="00B06BDA" w:rsidRPr="0036019C" w:rsidRDefault="00D70C44" w:rsidP="00D70C44">
            <w:pPr>
              <w:pStyle w:val="ListParagraph"/>
              <w:autoSpaceDE/>
              <w:autoSpaceDN/>
              <w:adjustRightInd/>
              <w:spacing w:after="0" w:line="240" w:lineRule="auto"/>
              <w:ind w:left="0"/>
              <w:contextualSpacing/>
              <w:jc w:val="both"/>
              <w:rPr>
                <w:rFonts w:ascii="Garamond" w:hAnsi="Garamond" w:cs="Times New Roman"/>
                <w:color w:val="000000" w:themeColor="text1"/>
                <w:sz w:val="20"/>
              </w:rPr>
            </w:pPr>
            <w:r w:rsidRPr="0036019C">
              <w:rPr>
                <w:rFonts w:ascii="Garamond" w:hAnsi="Garamond" w:cs="Times New Roman"/>
                <w:color w:val="000000" w:themeColor="text1"/>
                <w:sz w:val="20"/>
              </w:rPr>
              <w:t>-</w:t>
            </w:r>
            <w:r w:rsidR="00CC1C79">
              <w:rPr>
                <w:rFonts w:ascii="Garamond" w:hAnsi="Garamond" w:cs="Times New Roman"/>
                <w:color w:val="000000" w:themeColor="text1"/>
                <w:sz w:val="20"/>
              </w:rPr>
              <w:t xml:space="preserve"> </w:t>
            </w:r>
            <w:r w:rsidR="00B06BDA" w:rsidRPr="0036019C">
              <w:rPr>
                <w:rFonts w:ascii="Garamond" w:hAnsi="Garamond" w:cs="Times New Roman"/>
                <w:color w:val="000000" w:themeColor="text1"/>
                <w:sz w:val="20"/>
              </w:rPr>
              <w:t>Për vitin 2025</w:t>
            </w:r>
            <w:r w:rsidR="00CC1C79" w:rsidRPr="0036019C">
              <w:rPr>
                <w:rFonts w:ascii="Garamond" w:hAnsi="Garamond" w:cs="Times New Roman"/>
                <w:color w:val="000000" w:themeColor="text1"/>
                <w:sz w:val="20"/>
              </w:rPr>
              <w:t>–</w:t>
            </w:r>
            <w:r w:rsidR="00B06BDA" w:rsidRPr="0036019C">
              <w:rPr>
                <w:rFonts w:ascii="Garamond" w:hAnsi="Garamond" w:cs="Times New Roman"/>
                <w:color w:val="000000" w:themeColor="text1"/>
                <w:sz w:val="20"/>
              </w:rPr>
              <w:t xml:space="preserve">25 563 000 </w:t>
            </w:r>
            <w:r w:rsidR="00CC1C79" w:rsidRPr="0036019C">
              <w:rPr>
                <w:rFonts w:ascii="Garamond" w:hAnsi="Garamond" w:cs="Times New Roman"/>
                <w:color w:val="000000" w:themeColor="text1"/>
                <w:sz w:val="20"/>
              </w:rPr>
              <w:t>euro</w:t>
            </w:r>
            <w:r w:rsidR="00B06BDA" w:rsidRPr="0036019C">
              <w:rPr>
                <w:rFonts w:ascii="Garamond" w:hAnsi="Garamond" w:cs="Times New Roman"/>
                <w:color w:val="000000" w:themeColor="text1"/>
                <w:sz w:val="20"/>
              </w:rPr>
              <w:t>;</w:t>
            </w:r>
          </w:p>
          <w:p w14:paraId="7C9A1029" w14:textId="6C0D43DD" w:rsidR="00B06BDA" w:rsidRPr="0036019C" w:rsidRDefault="00D70C44" w:rsidP="00D70C44">
            <w:pPr>
              <w:pStyle w:val="ListParagraph"/>
              <w:autoSpaceDE/>
              <w:autoSpaceDN/>
              <w:adjustRightInd/>
              <w:spacing w:after="0" w:line="240" w:lineRule="auto"/>
              <w:ind w:left="0"/>
              <w:contextualSpacing/>
              <w:jc w:val="both"/>
              <w:rPr>
                <w:rFonts w:ascii="Garamond" w:hAnsi="Garamond" w:cs="Times New Roman"/>
                <w:color w:val="000000" w:themeColor="text1"/>
                <w:sz w:val="20"/>
              </w:rPr>
            </w:pPr>
            <w:r w:rsidRPr="0036019C">
              <w:rPr>
                <w:rFonts w:ascii="Garamond" w:hAnsi="Garamond" w:cs="Times New Roman"/>
                <w:color w:val="000000" w:themeColor="text1"/>
                <w:sz w:val="20"/>
              </w:rPr>
              <w:t>-</w:t>
            </w:r>
            <w:r w:rsidR="00CC1C79">
              <w:rPr>
                <w:rFonts w:ascii="Garamond" w:hAnsi="Garamond" w:cs="Times New Roman"/>
                <w:color w:val="000000" w:themeColor="text1"/>
                <w:sz w:val="20"/>
              </w:rPr>
              <w:t xml:space="preserve"> </w:t>
            </w:r>
            <w:r w:rsidR="00B06BDA" w:rsidRPr="0036019C">
              <w:rPr>
                <w:rFonts w:ascii="Garamond" w:hAnsi="Garamond" w:cs="Times New Roman"/>
                <w:color w:val="000000" w:themeColor="text1"/>
                <w:sz w:val="20"/>
              </w:rPr>
              <w:t>Për vitin 2026</w:t>
            </w:r>
            <w:r w:rsidR="00CC1C79" w:rsidRPr="0036019C">
              <w:rPr>
                <w:rFonts w:ascii="Garamond" w:hAnsi="Garamond" w:cs="Times New Roman"/>
                <w:color w:val="000000" w:themeColor="text1"/>
                <w:sz w:val="20"/>
              </w:rPr>
              <w:t>–</w:t>
            </w:r>
            <w:r w:rsidR="00B06BDA" w:rsidRPr="0036019C">
              <w:rPr>
                <w:rFonts w:ascii="Garamond" w:hAnsi="Garamond" w:cs="Times New Roman"/>
                <w:color w:val="000000" w:themeColor="text1"/>
                <w:sz w:val="20"/>
              </w:rPr>
              <w:t xml:space="preserve">30 000 000 </w:t>
            </w:r>
            <w:r w:rsidR="00CC1C79" w:rsidRPr="0036019C">
              <w:rPr>
                <w:rFonts w:ascii="Garamond" w:hAnsi="Garamond" w:cs="Times New Roman"/>
                <w:color w:val="000000" w:themeColor="text1"/>
                <w:sz w:val="20"/>
              </w:rPr>
              <w:t>euro</w:t>
            </w:r>
            <w:r w:rsidR="00B06BDA" w:rsidRPr="0036019C">
              <w:rPr>
                <w:rFonts w:ascii="Garamond" w:hAnsi="Garamond" w:cs="Times New Roman"/>
                <w:color w:val="000000" w:themeColor="text1"/>
                <w:sz w:val="20"/>
              </w:rPr>
              <w:t>;</w:t>
            </w:r>
          </w:p>
          <w:p w14:paraId="3D6ADD0C" w14:textId="0C065F46" w:rsidR="00B06BDA" w:rsidRPr="0036019C" w:rsidRDefault="00D70C44" w:rsidP="00D70C44">
            <w:pPr>
              <w:pStyle w:val="ListParagraph"/>
              <w:autoSpaceDE/>
              <w:autoSpaceDN/>
              <w:adjustRightInd/>
              <w:spacing w:after="0" w:line="240" w:lineRule="auto"/>
              <w:ind w:left="0"/>
              <w:contextualSpacing/>
              <w:jc w:val="both"/>
              <w:rPr>
                <w:rFonts w:ascii="Garamond" w:hAnsi="Garamond" w:cs="Times New Roman"/>
                <w:color w:val="000000" w:themeColor="text1"/>
                <w:sz w:val="20"/>
              </w:rPr>
            </w:pPr>
            <w:r w:rsidRPr="0036019C">
              <w:rPr>
                <w:rFonts w:ascii="Garamond" w:hAnsi="Garamond" w:cs="Times New Roman"/>
                <w:color w:val="000000" w:themeColor="text1"/>
                <w:sz w:val="20"/>
              </w:rPr>
              <w:t>-</w:t>
            </w:r>
            <w:r w:rsidR="00CC1C79">
              <w:rPr>
                <w:rFonts w:ascii="Garamond" w:hAnsi="Garamond" w:cs="Times New Roman"/>
                <w:color w:val="000000" w:themeColor="text1"/>
                <w:sz w:val="20"/>
              </w:rPr>
              <w:t xml:space="preserve"> </w:t>
            </w:r>
            <w:r w:rsidR="00B06BDA" w:rsidRPr="0036019C">
              <w:rPr>
                <w:rFonts w:ascii="Garamond" w:hAnsi="Garamond" w:cs="Times New Roman"/>
                <w:color w:val="000000" w:themeColor="text1"/>
                <w:sz w:val="20"/>
              </w:rPr>
              <w:t>Për vitin 2027</w:t>
            </w:r>
            <w:r w:rsidR="00CC1C79" w:rsidRPr="0036019C">
              <w:rPr>
                <w:rFonts w:ascii="Garamond" w:hAnsi="Garamond" w:cs="Times New Roman"/>
                <w:color w:val="000000" w:themeColor="text1"/>
                <w:sz w:val="20"/>
              </w:rPr>
              <w:t>–</w:t>
            </w:r>
            <w:r w:rsidR="00B06BDA" w:rsidRPr="0036019C">
              <w:rPr>
                <w:rFonts w:ascii="Garamond" w:hAnsi="Garamond" w:cs="Times New Roman"/>
                <w:color w:val="000000" w:themeColor="text1"/>
                <w:sz w:val="20"/>
              </w:rPr>
              <w:t xml:space="preserve">36 437 000 </w:t>
            </w:r>
            <w:r w:rsidR="00CC1C79" w:rsidRPr="0036019C">
              <w:rPr>
                <w:rFonts w:ascii="Garamond" w:hAnsi="Garamond" w:cs="Times New Roman"/>
                <w:color w:val="000000" w:themeColor="text1"/>
                <w:sz w:val="20"/>
              </w:rPr>
              <w:t>euro</w:t>
            </w:r>
            <w:r w:rsidR="00B06BDA" w:rsidRPr="0036019C">
              <w:rPr>
                <w:rFonts w:ascii="Garamond" w:hAnsi="Garamond" w:cs="Times New Roman"/>
                <w:color w:val="000000" w:themeColor="text1"/>
                <w:sz w:val="20"/>
              </w:rPr>
              <w:t>.</w:t>
            </w:r>
          </w:p>
          <w:p w14:paraId="47AEDB6B" w14:textId="77777777"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Linja e buxhetit: 15.020201:</w:t>
            </w:r>
          </w:p>
          <w:p w14:paraId="1A246B58" w14:textId="2E3DC7D0" w:rsidR="00B06BDA" w:rsidRPr="0036019C" w:rsidRDefault="00D70C44" w:rsidP="00D70C44">
            <w:pPr>
              <w:pStyle w:val="ListParagraph"/>
              <w:autoSpaceDE/>
              <w:autoSpaceDN/>
              <w:adjustRightInd/>
              <w:spacing w:after="0" w:line="240" w:lineRule="auto"/>
              <w:ind w:left="0"/>
              <w:contextualSpacing/>
              <w:jc w:val="both"/>
              <w:rPr>
                <w:rFonts w:ascii="Garamond" w:hAnsi="Garamond" w:cs="Times New Roman"/>
                <w:color w:val="000000" w:themeColor="text1"/>
                <w:sz w:val="20"/>
              </w:rPr>
            </w:pPr>
            <w:r w:rsidRPr="0036019C">
              <w:rPr>
                <w:rFonts w:ascii="Garamond" w:hAnsi="Garamond" w:cs="Times New Roman"/>
                <w:color w:val="000000" w:themeColor="text1"/>
                <w:sz w:val="20"/>
              </w:rPr>
              <w:t xml:space="preserve">- </w:t>
            </w:r>
            <w:r w:rsidR="00B06BDA" w:rsidRPr="0036019C">
              <w:rPr>
                <w:rFonts w:ascii="Garamond" w:hAnsi="Garamond" w:cs="Times New Roman"/>
                <w:color w:val="000000" w:themeColor="text1"/>
                <w:sz w:val="20"/>
              </w:rPr>
              <w:t xml:space="preserve">Për vitin 2025–8 000 000 </w:t>
            </w:r>
            <w:r w:rsidR="00CC1C79" w:rsidRPr="0036019C">
              <w:rPr>
                <w:rFonts w:ascii="Garamond" w:hAnsi="Garamond" w:cs="Times New Roman"/>
                <w:color w:val="000000" w:themeColor="text1"/>
                <w:sz w:val="20"/>
              </w:rPr>
              <w:t>euro</w:t>
            </w:r>
          </w:p>
          <w:p w14:paraId="0236CFC9" w14:textId="77777777"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Kontributi nga buxheti i përgjithshëm i Bashkimit Evropian varet nga disponueshmëria e alokimeve përkatëse për vitet financiare përkatëse, pas miratimit të buxhetit vjetor përkatës, ose siç parashikohet në sistemin e të dymbëdhjetave të përkohshme.</w:t>
            </w:r>
          </w:p>
        </w:tc>
      </w:tr>
      <w:tr w:rsidR="00B06BDA" w:rsidRPr="0036019C" w14:paraId="102DF2EA" w14:textId="77777777" w:rsidTr="000F72F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A6502EB" w14:textId="77777777" w:rsidR="00B06BDA" w:rsidRPr="0036019C" w:rsidRDefault="00B06BDA" w:rsidP="00D70C44">
            <w:pPr>
              <w:jc w:val="center"/>
              <w:rPr>
                <w:rFonts w:ascii="Garamond" w:hAnsi="Garamond"/>
                <w:bCs/>
                <w:color w:val="000000" w:themeColor="text1"/>
                <w:sz w:val="20"/>
                <w:lang w:val="sq-AL"/>
              </w:rPr>
            </w:pPr>
            <w:r w:rsidRPr="0036019C">
              <w:rPr>
                <w:rFonts w:ascii="Garamond" w:hAnsi="Garamond"/>
                <w:bCs/>
                <w:color w:val="000000" w:themeColor="text1"/>
                <w:sz w:val="20"/>
                <w:lang w:val="sq-AL"/>
              </w:rPr>
              <w:t>MENAXHIMI DHE ZBATIMI</w:t>
            </w:r>
          </w:p>
        </w:tc>
      </w:tr>
      <w:tr w:rsidR="00B06BDA" w:rsidRPr="0036019C" w14:paraId="5F48E42D"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4DCCC7CF" w14:textId="77777777" w:rsidR="00B06BDA" w:rsidRPr="0036019C" w:rsidRDefault="00B06BDA" w:rsidP="00D70C44">
            <w:pPr>
              <w:pStyle w:val="Text1"/>
              <w:spacing w:before="0" w:after="0"/>
              <w:ind w:left="0"/>
              <w:jc w:val="left"/>
              <w:rPr>
                <w:rFonts w:ascii="Garamond" w:hAnsi="Garamond"/>
                <w:color w:val="000000" w:themeColor="text1"/>
                <w:sz w:val="20"/>
                <w:lang w:val="sq-AL"/>
              </w:rPr>
            </w:pPr>
            <w:r w:rsidRPr="0036019C">
              <w:rPr>
                <w:rFonts w:ascii="Garamond" w:hAnsi="Garamond"/>
                <w:b/>
                <w:color w:val="000000" w:themeColor="text1"/>
                <w:sz w:val="20"/>
                <w:lang w:val="sq-AL"/>
              </w:rPr>
              <w:t>Modalitetet e zbatimit (mënyra e menaxhimit dhe metodat e ofrimit)</w:t>
            </w:r>
          </w:p>
        </w:tc>
        <w:tc>
          <w:tcPr>
            <w:tcW w:w="3908" w:type="pct"/>
            <w:tcBorders>
              <w:top w:val="single" w:sz="4" w:space="0" w:color="auto"/>
              <w:left w:val="single" w:sz="4" w:space="0" w:color="auto"/>
              <w:bottom w:val="single" w:sz="4" w:space="0" w:color="auto"/>
              <w:right w:val="single" w:sz="4" w:space="0" w:color="auto"/>
            </w:tcBorders>
          </w:tcPr>
          <w:p w14:paraId="441A3102" w14:textId="77777777" w:rsidR="00B06BDA" w:rsidRPr="0036019C" w:rsidRDefault="00B06BDA" w:rsidP="00D70C44">
            <w:pPr>
              <w:pStyle w:val="Text1"/>
              <w:spacing w:before="0" w:after="0"/>
              <w:ind w:left="0"/>
              <w:rPr>
                <w:rFonts w:ascii="Garamond" w:hAnsi="Garamond"/>
                <w:b/>
                <w:bCs/>
                <w:color w:val="000000" w:themeColor="text1"/>
                <w:sz w:val="20"/>
                <w:lang w:val="sq-AL"/>
              </w:rPr>
            </w:pPr>
            <w:r w:rsidRPr="0036019C">
              <w:rPr>
                <w:rFonts w:ascii="Garamond" w:hAnsi="Garamond"/>
                <w:b/>
                <w:bCs/>
                <w:color w:val="000000" w:themeColor="text1"/>
                <w:sz w:val="20"/>
                <w:lang w:val="sq-AL"/>
              </w:rPr>
              <w:t>Menaxhim direkt nëpërmjet:</w:t>
            </w:r>
          </w:p>
          <w:p w14:paraId="3BD6E747" w14:textId="77777777"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 Granteve</w:t>
            </w:r>
          </w:p>
          <w:p w14:paraId="3E73688F" w14:textId="77777777" w:rsidR="00B06BDA" w:rsidRPr="0036019C" w:rsidRDefault="00B06BDA" w:rsidP="00D70C44">
            <w:pPr>
              <w:pStyle w:val="Text1"/>
              <w:spacing w:before="0" w:after="0"/>
              <w:ind w:left="0"/>
              <w:rPr>
                <w:rFonts w:ascii="Garamond" w:hAnsi="Garamond"/>
                <w:color w:val="000000" w:themeColor="text1"/>
                <w:sz w:val="20"/>
                <w:lang w:val="sq-AL"/>
              </w:rPr>
            </w:pPr>
            <w:r w:rsidRPr="0036019C">
              <w:rPr>
                <w:rFonts w:ascii="Garamond" w:hAnsi="Garamond"/>
                <w:color w:val="000000" w:themeColor="text1"/>
                <w:sz w:val="20"/>
                <w:lang w:val="sq-AL"/>
              </w:rPr>
              <w:t>- Prokurimit</w:t>
            </w:r>
          </w:p>
          <w:p w14:paraId="6C7F00A6" w14:textId="77777777" w:rsidR="00B06BDA" w:rsidRPr="0036019C" w:rsidRDefault="00B06BDA" w:rsidP="00D70C44">
            <w:pPr>
              <w:autoSpaceDE w:val="0"/>
              <w:autoSpaceDN w:val="0"/>
              <w:jc w:val="both"/>
              <w:rPr>
                <w:rFonts w:ascii="Garamond" w:hAnsi="Garamond"/>
                <w:color w:val="000000" w:themeColor="text1"/>
                <w:sz w:val="20"/>
                <w:lang w:val="sq-AL"/>
              </w:rPr>
            </w:pPr>
            <w:r w:rsidRPr="0036019C">
              <w:rPr>
                <w:rFonts w:ascii="Garamond" w:hAnsi="Garamond"/>
                <w:b/>
                <w:bCs/>
                <w:color w:val="000000" w:themeColor="text1"/>
                <w:sz w:val="20"/>
                <w:lang w:val="sq-AL"/>
              </w:rPr>
              <w:t>Menaxhim indirekt</w:t>
            </w:r>
            <w:r w:rsidRPr="0036019C">
              <w:rPr>
                <w:rFonts w:ascii="Garamond" w:hAnsi="Garamond"/>
                <w:color w:val="000000" w:themeColor="text1"/>
                <w:sz w:val="20"/>
                <w:lang w:val="sq-AL"/>
              </w:rPr>
              <w:t xml:space="preserve"> me subjekte që do të zgjidhen në përputhje me kriteret e përcaktuara në seksionin 4.3.3.</w:t>
            </w:r>
          </w:p>
        </w:tc>
      </w:tr>
      <w:tr w:rsidR="00B06BDA" w:rsidRPr="0036019C" w14:paraId="66C08813"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0A668691" w14:textId="77777777" w:rsidR="00B06BDA" w:rsidRPr="0036019C" w:rsidRDefault="00B06BDA" w:rsidP="00D70C44">
            <w:pPr>
              <w:rPr>
                <w:rFonts w:ascii="Garamond" w:hAnsi="Garamond"/>
                <w:color w:val="000000" w:themeColor="text1"/>
                <w:sz w:val="20"/>
                <w:lang w:val="sq-AL"/>
              </w:rPr>
            </w:pPr>
            <w:r w:rsidRPr="0036019C">
              <w:rPr>
                <w:rFonts w:ascii="Garamond" w:hAnsi="Garamond"/>
                <w:b/>
                <w:bCs/>
                <w:color w:val="000000" w:themeColor="text1"/>
                <w:sz w:val="20"/>
                <w:lang w:val="sq-AL"/>
              </w:rPr>
              <w:t>Afati për lidhjen e Marrëveshjes shumëvjeçare të Financimit</w:t>
            </w:r>
          </w:p>
        </w:tc>
        <w:tc>
          <w:tcPr>
            <w:tcW w:w="3908" w:type="pct"/>
            <w:tcBorders>
              <w:top w:val="single" w:sz="4" w:space="0" w:color="auto"/>
              <w:left w:val="single" w:sz="4" w:space="0" w:color="auto"/>
              <w:bottom w:val="single" w:sz="4" w:space="0" w:color="auto"/>
              <w:right w:val="single" w:sz="4" w:space="0" w:color="auto"/>
            </w:tcBorders>
          </w:tcPr>
          <w:p w14:paraId="1A451197" w14:textId="77777777"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Jo më vonë se data 31 dhjetor 2026 për alokimin e vitit 2025</w:t>
            </w:r>
          </w:p>
        </w:tc>
      </w:tr>
      <w:tr w:rsidR="00B06BDA" w:rsidRPr="0036019C" w14:paraId="1932E64F"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03311FEA" w14:textId="77777777" w:rsidR="00B06BDA" w:rsidRPr="0036019C" w:rsidRDefault="00B06BDA" w:rsidP="00D70C44">
            <w:pPr>
              <w:rPr>
                <w:rFonts w:ascii="Garamond" w:hAnsi="Garamond"/>
                <w:b/>
                <w:bCs/>
                <w:color w:val="000000" w:themeColor="text1"/>
                <w:sz w:val="20"/>
                <w:lang w:val="sq-AL"/>
              </w:rPr>
            </w:pPr>
            <w:r w:rsidRPr="0036019C">
              <w:rPr>
                <w:rFonts w:ascii="Garamond" w:hAnsi="Garamond"/>
                <w:b/>
                <w:bCs/>
                <w:color w:val="000000" w:themeColor="text1"/>
                <w:sz w:val="20"/>
                <w:lang w:val="sq-AL"/>
              </w:rPr>
              <w:t>Afati për shkëmbimin e letrave ose për letrën e njoftimit mbi alokimet buxhetore vjetore pasuese për zbatimin e Marrëveshjes së Financimit</w:t>
            </w:r>
          </w:p>
        </w:tc>
        <w:tc>
          <w:tcPr>
            <w:tcW w:w="3908" w:type="pct"/>
            <w:tcBorders>
              <w:top w:val="single" w:sz="4" w:space="0" w:color="auto"/>
              <w:left w:val="single" w:sz="4" w:space="0" w:color="auto"/>
              <w:bottom w:val="single" w:sz="4" w:space="0" w:color="auto"/>
              <w:right w:val="single" w:sz="4" w:space="0" w:color="auto"/>
            </w:tcBorders>
          </w:tcPr>
          <w:p w14:paraId="0EA213C6" w14:textId="77777777"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Për angazhimin buxhetor të vitit 2026: jo më vonë se data 31 dhjetor 2027</w:t>
            </w:r>
          </w:p>
          <w:p w14:paraId="7ADD5C82" w14:textId="77777777"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Për angazhimin buxhetor të vitit 2027: jo më vonë se data 31 dhjetor 2028</w:t>
            </w:r>
          </w:p>
        </w:tc>
      </w:tr>
      <w:tr w:rsidR="00B06BDA" w:rsidRPr="0036019C" w14:paraId="4F2AFDB5" w14:textId="77777777" w:rsidTr="000F72F0">
        <w:trPr>
          <w:trHeight w:val="20"/>
        </w:trPr>
        <w:tc>
          <w:tcPr>
            <w:tcW w:w="1092" w:type="pct"/>
            <w:tcBorders>
              <w:top w:val="single" w:sz="4" w:space="0" w:color="auto"/>
              <w:left w:val="single" w:sz="4" w:space="0" w:color="auto"/>
              <w:bottom w:val="single" w:sz="4" w:space="0" w:color="auto"/>
              <w:right w:val="single" w:sz="4" w:space="0" w:color="auto"/>
            </w:tcBorders>
          </w:tcPr>
          <w:p w14:paraId="50BA1A92" w14:textId="77777777" w:rsidR="00B06BDA" w:rsidRPr="0036019C" w:rsidRDefault="00B06BDA" w:rsidP="00D70C44">
            <w:pPr>
              <w:rPr>
                <w:rFonts w:ascii="Garamond" w:hAnsi="Garamond"/>
                <w:b/>
                <w:bCs/>
                <w:color w:val="000000" w:themeColor="text1"/>
                <w:sz w:val="20"/>
                <w:lang w:val="sq-AL"/>
              </w:rPr>
            </w:pPr>
            <w:r w:rsidRPr="0036019C">
              <w:rPr>
                <w:rFonts w:ascii="Garamond" w:hAnsi="Garamond"/>
                <w:b/>
                <w:bCs/>
                <w:color w:val="000000" w:themeColor="text1"/>
                <w:sz w:val="20"/>
                <w:lang w:val="sq-AL"/>
              </w:rPr>
              <w:t>Afati për përfundimin/angazhimet ligjore</w:t>
            </w:r>
          </w:p>
        </w:tc>
        <w:tc>
          <w:tcPr>
            <w:tcW w:w="3908" w:type="pct"/>
            <w:tcBorders>
              <w:top w:val="single" w:sz="4" w:space="0" w:color="auto"/>
              <w:left w:val="single" w:sz="4" w:space="0" w:color="auto"/>
              <w:bottom w:val="single" w:sz="4" w:space="0" w:color="auto"/>
              <w:right w:val="single" w:sz="4" w:space="0" w:color="auto"/>
            </w:tcBorders>
          </w:tcPr>
          <w:p w14:paraId="0E9A43E2" w14:textId="77777777" w:rsidR="00B06BDA" w:rsidRPr="0036019C" w:rsidRDefault="00B06BDA" w:rsidP="00D70C44">
            <w:pPr>
              <w:jc w:val="both"/>
              <w:rPr>
                <w:rFonts w:ascii="Garamond" w:hAnsi="Garamond"/>
                <w:color w:val="000000" w:themeColor="text1"/>
                <w:sz w:val="20"/>
                <w:lang w:val="sq-AL"/>
              </w:rPr>
            </w:pPr>
            <w:r w:rsidRPr="0036019C">
              <w:rPr>
                <w:rFonts w:ascii="Garamond" w:hAnsi="Garamond"/>
                <w:color w:val="000000" w:themeColor="text1"/>
                <w:sz w:val="20"/>
                <w:lang w:val="sq-AL"/>
              </w:rPr>
              <w:t>3 vjet pas datës së lidhjes së Marrëveshjes së Financimit, për alokimin e vitit 2025 (ose 3 vjet nga data e përfundimit të shkëmbimit të letrave ose të letrës së njoftimit për këstet buxhetore pasuese), me përjashtim të rasteve të përmendura në Nenin 114(2) të Rregullores Financiare</w:t>
            </w:r>
          </w:p>
        </w:tc>
      </w:tr>
    </w:tbl>
    <w:p w14:paraId="3F53E2F8" w14:textId="77777777" w:rsidR="00B06BDA" w:rsidRPr="0036019C" w:rsidRDefault="00B06BDA" w:rsidP="00B06BDA">
      <w:pPr>
        <w:ind w:firstLine="284"/>
        <w:jc w:val="both"/>
        <w:rPr>
          <w:rFonts w:ascii="Garamond" w:hAnsi="Garamond"/>
          <w:b/>
          <w:bCs/>
          <w:color w:val="000000" w:themeColor="text1"/>
          <w:lang w:val="sq-AL"/>
        </w:rPr>
      </w:pPr>
    </w:p>
    <w:p w14:paraId="1037123F" w14:textId="67EF5933" w:rsidR="00B06BDA" w:rsidRPr="0036019C" w:rsidRDefault="00B06BDA" w:rsidP="00D70C44">
      <w:pPr>
        <w:pStyle w:val="TEKSTIIIII"/>
        <w:rPr>
          <w:b/>
        </w:rPr>
      </w:pPr>
      <w:r w:rsidRPr="0036019C">
        <w:rPr>
          <w:b/>
        </w:rPr>
        <w:t xml:space="preserve">1.2 Përmbledhja e </w:t>
      </w:r>
      <w:r w:rsidR="000F72F0" w:rsidRPr="0036019C">
        <w:rPr>
          <w:b/>
        </w:rPr>
        <w:t xml:space="preserve">veprimit </w:t>
      </w:r>
    </w:p>
    <w:p w14:paraId="2BC3BFAC" w14:textId="0DB46ACB" w:rsidR="00B06BDA" w:rsidRPr="0036019C" w:rsidRDefault="00B06BDA" w:rsidP="00B06BDA">
      <w:pPr>
        <w:ind w:firstLine="284"/>
        <w:jc w:val="both"/>
        <w:rPr>
          <w:rFonts w:ascii="Garamond" w:eastAsia="Calibri" w:hAnsi="Garamond"/>
          <w:color w:val="000000" w:themeColor="text1"/>
          <w:lang w:val="sq-AL"/>
        </w:rPr>
      </w:pPr>
      <w:r w:rsidRPr="0036019C">
        <w:rPr>
          <w:rFonts w:ascii="Garamond" w:hAnsi="Garamond"/>
          <w:color w:val="000000" w:themeColor="text1"/>
          <w:lang w:val="sq-AL"/>
        </w:rPr>
        <w:t xml:space="preserve">Ky veprim mbështet përgatitjen e Shqipërisë për anëtarësim të ardhshëm në BE, duke avancuar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ën e saj të reformave në sektorë të ndryshëm brenda procesit të anëtarësimit. Ai përputhet plotësisht me prioritetet tematike të IPA III dhe plotëson Programin për Reformë dhe Rritje për Shqipërinë, siç është përcaktuar në </w:t>
      </w:r>
      <w:r w:rsidR="000F72F0" w:rsidRPr="0036019C">
        <w:rPr>
          <w:rFonts w:ascii="Garamond" w:hAnsi="Garamond"/>
          <w:color w:val="000000" w:themeColor="text1"/>
          <w:lang w:val="sq-AL"/>
        </w:rPr>
        <w:t>Agjend</w:t>
      </w:r>
      <w:r w:rsidRPr="0036019C">
        <w:rPr>
          <w:rFonts w:ascii="Garamond" w:hAnsi="Garamond"/>
          <w:color w:val="000000" w:themeColor="text1"/>
          <w:lang w:val="sq-AL"/>
        </w:rPr>
        <w:t>ën Kombëtare të Reformave të miratuar më 10 tetor 2024.</w:t>
      </w:r>
    </w:p>
    <w:p w14:paraId="0F9CF996" w14:textId="08C35099" w:rsidR="00B06BDA" w:rsidRPr="0036019C" w:rsidRDefault="00B06BDA" w:rsidP="00B06BDA">
      <w:pPr>
        <w:ind w:firstLine="284"/>
        <w:jc w:val="both"/>
        <w:rPr>
          <w:rFonts w:ascii="Garamond" w:hAnsi="Garamond"/>
          <w:color w:val="000000" w:themeColor="text1"/>
          <w:lang w:val="sq-AL"/>
        </w:rPr>
      </w:pPr>
      <w:bookmarkStart w:id="0" w:name="_Hlk206058630"/>
      <w:r w:rsidRPr="0036019C">
        <w:rPr>
          <w:rFonts w:ascii="Garamond" w:hAnsi="Garamond"/>
          <w:color w:val="000000" w:themeColor="text1"/>
          <w:lang w:val="sq-AL"/>
        </w:rPr>
        <w:t xml:space="preserve">Në kuadër të Fushës së </w:t>
      </w:r>
      <w:bookmarkEnd w:id="0"/>
      <w:r w:rsidRPr="0036019C">
        <w:rPr>
          <w:rFonts w:ascii="Garamond" w:hAnsi="Garamond"/>
          <w:color w:val="000000" w:themeColor="text1"/>
          <w:lang w:val="sq-AL"/>
        </w:rPr>
        <w:t xml:space="preserve">Mbështetjes 1 (Dritarja 1), ky veprim forcon sundimin e ligjit, të drejtat themelore dhe demokracinë. Ai përqendrohet kryesisht në reformën në drejtësi, </w:t>
      </w:r>
      <w:r w:rsidR="000F72F0" w:rsidRPr="0036019C">
        <w:rPr>
          <w:rFonts w:ascii="Garamond" w:hAnsi="Garamond"/>
          <w:color w:val="000000" w:themeColor="text1"/>
          <w:lang w:val="sq-AL"/>
        </w:rPr>
        <w:t>eficienc</w:t>
      </w:r>
      <w:r w:rsidRPr="0036019C">
        <w:rPr>
          <w:rFonts w:ascii="Garamond" w:hAnsi="Garamond"/>
          <w:color w:val="000000" w:themeColor="text1"/>
          <w:lang w:val="sq-AL"/>
        </w:rPr>
        <w:t xml:space="preserve">ën gjyqësore, luftën kundër krimit të organizuar, pastrimin e parave dhe korrupsionin e nivelit të lartë, si dhe në rritjen e kapaciteteve të Shqipërisë për të përballuar sfidat ndërsektoriale të tilla si siguria kibernetike, parandalimi i ekstremizmit të dhunshëm dhe </w:t>
      </w:r>
      <w:r w:rsidR="0070324F">
        <w:rPr>
          <w:rFonts w:ascii="Garamond" w:hAnsi="Garamond"/>
          <w:color w:val="000000" w:themeColor="text1"/>
          <w:lang w:val="sq-AL"/>
        </w:rPr>
        <w:t>anti</w:t>
      </w:r>
      <w:r w:rsidRPr="0036019C">
        <w:rPr>
          <w:rFonts w:ascii="Garamond" w:hAnsi="Garamond"/>
          <w:color w:val="000000" w:themeColor="text1"/>
          <w:lang w:val="sq-AL"/>
        </w:rPr>
        <w:t>terrorizmi. Gjithashtu, promovon të drejtat e njeriut dhe forcon institucionet demokratike</w:t>
      </w:r>
      <w:r w:rsidRPr="0036019C">
        <w:rPr>
          <w:rFonts w:ascii="Garamond" w:eastAsia="Calibri" w:hAnsi="Garamond"/>
          <w:color w:val="000000" w:themeColor="text1"/>
          <w:lang w:val="sq-AL"/>
        </w:rPr>
        <w:t>.</w:t>
      </w:r>
    </w:p>
    <w:p w14:paraId="141FA9A4" w14:textId="2C99DAC5" w:rsidR="00B06BDA" w:rsidRPr="0036019C" w:rsidRDefault="00B06BDA" w:rsidP="00B06BDA">
      <w:pPr>
        <w:ind w:firstLine="284"/>
        <w:jc w:val="both"/>
        <w:rPr>
          <w:rFonts w:ascii="Garamond" w:eastAsia="Calibri" w:hAnsi="Garamond"/>
          <w:color w:val="000000" w:themeColor="text1"/>
          <w:lang w:val="sq-AL"/>
        </w:rPr>
      </w:pPr>
      <w:r w:rsidRPr="0036019C">
        <w:rPr>
          <w:rFonts w:ascii="Garamond" w:hAnsi="Garamond"/>
          <w:color w:val="000000" w:themeColor="text1"/>
          <w:lang w:val="sq-AL"/>
        </w:rPr>
        <w:t xml:space="preserve">Në kuadër të Fushës së Mbështetjes 2 (Dritarja 2), ky veprim promovon reforma të qeverisjes në nivelet qendrore dhe lokale, veçanërisht për të përmirësuar </w:t>
      </w:r>
      <w:r w:rsidR="000F72F0" w:rsidRPr="0036019C">
        <w:rPr>
          <w:rFonts w:ascii="Garamond" w:hAnsi="Garamond"/>
          <w:color w:val="000000" w:themeColor="text1"/>
          <w:lang w:val="sq-AL"/>
        </w:rPr>
        <w:t>eficienc</w:t>
      </w:r>
      <w:r w:rsidRPr="0036019C">
        <w:rPr>
          <w:rFonts w:ascii="Garamond" w:hAnsi="Garamond"/>
          <w:color w:val="000000" w:themeColor="text1"/>
          <w:lang w:val="sq-AL"/>
        </w:rPr>
        <w:t>ën, transparencën dhe llogaridhënien e administratës publike dhe menaxhimit financiar publik. A</w:t>
      </w:r>
      <w:r w:rsidR="00A208E8">
        <w:rPr>
          <w:rFonts w:ascii="Garamond" w:hAnsi="Garamond"/>
          <w:color w:val="000000" w:themeColor="text1"/>
          <w:lang w:val="sq-AL"/>
        </w:rPr>
        <w:t>,</w:t>
      </w:r>
      <w:r w:rsidRPr="0036019C">
        <w:rPr>
          <w:rFonts w:ascii="Garamond" w:hAnsi="Garamond"/>
          <w:color w:val="000000" w:themeColor="text1"/>
          <w:lang w:val="sq-AL"/>
        </w:rPr>
        <w:t>i gjithashtu</w:t>
      </w:r>
      <w:r w:rsidR="00A208E8">
        <w:rPr>
          <w:rFonts w:ascii="Garamond" w:hAnsi="Garamond"/>
          <w:color w:val="000000" w:themeColor="text1"/>
          <w:lang w:val="sq-AL"/>
        </w:rPr>
        <w:t>,</w:t>
      </w:r>
      <w:r w:rsidRPr="0036019C">
        <w:rPr>
          <w:rFonts w:ascii="Garamond" w:hAnsi="Garamond"/>
          <w:color w:val="000000" w:themeColor="text1"/>
          <w:lang w:val="sq-AL"/>
        </w:rPr>
        <w:t xml:space="preserve"> mbështet INSTAT-in në përputhjen e mëtejshme të sistemit statistikor të Shqipërisë me kërkesat e BE-së. Gjithashtu, ky veprim lehtëson përafrimin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-në, ndërtimin e kapaciteteve për anëtarësimin </w:t>
      </w:r>
      <w:r w:rsidRPr="0036019C">
        <w:rPr>
          <w:rFonts w:ascii="Garamond" w:hAnsi="Garamond"/>
          <w:color w:val="000000" w:themeColor="text1"/>
          <w:lang w:val="sq-AL"/>
        </w:rPr>
        <w:lastRenderedPageBreak/>
        <w:t>në BE dhe përgatitjen e Shqipërisë për programet e ardhshme të BE-së, përfshirë Fondet e Politikës së Kohezionit, kryesisht përmes Strukturës së Integrimit në BE.</w:t>
      </w:r>
    </w:p>
    <w:p w14:paraId="1DBBAA42" w14:textId="73ADD6B8" w:rsidR="00B06BDA" w:rsidRPr="0036019C" w:rsidRDefault="00B06BDA" w:rsidP="00B06BDA">
      <w:pPr>
        <w:ind w:firstLine="284"/>
        <w:jc w:val="both"/>
        <w:rPr>
          <w:rFonts w:ascii="Garamond" w:eastAsia="Calibri" w:hAnsi="Garamond"/>
          <w:color w:val="000000" w:themeColor="text1"/>
          <w:lang w:val="sq-AL"/>
        </w:rPr>
      </w:pPr>
      <w:r w:rsidRPr="0036019C">
        <w:rPr>
          <w:rFonts w:ascii="Garamond" w:hAnsi="Garamond"/>
          <w:color w:val="000000" w:themeColor="text1"/>
          <w:lang w:val="sq-AL"/>
        </w:rPr>
        <w:t>Në kuadër të Fushës së Mbështetjes 3 (</w:t>
      </w:r>
      <w:r w:rsidR="00C347BB" w:rsidRPr="0036019C">
        <w:rPr>
          <w:rFonts w:ascii="Garamond" w:hAnsi="Garamond"/>
          <w:color w:val="000000" w:themeColor="text1"/>
          <w:lang w:val="sq-AL"/>
        </w:rPr>
        <w:t xml:space="preserve">dritarja </w:t>
      </w:r>
      <w:r w:rsidRPr="0036019C">
        <w:rPr>
          <w:rFonts w:ascii="Garamond" w:hAnsi="Garamond"/>
          <w:color w:val="000000" w:themeColor="text1"/>
          <w:lang w:val="sq-AL"/>
        </w:rPr>
        <w:t xml:space="preserve">3 dhe 4), ky veprim mbështet tranzicionin e gjelbër dhe </w:t>
      </w:r>
      <w:r w:rsidR="007129A2">
        <w:rPr>
          <w:rFonts w:ascii="Garamond" w:hAnsi="Garamond"/>
          <w:color w:val="000000" w:themeColor="text1"/>
          <w:lang w:val="sq-AL"/>
        </w:rPr>
        <w:t>digjital</w:t>
      </w:r>
      <w:r w:rsidRPr="0036019C">
        <w:rPr>
          <w:rFonts w:ascii="Garamond" w:hAnsi="Garamond"/>
          <w:color w:val="000000" w:themeColor="text1"/>
          <w:lang w:val="sq-AL"/>
        </w:rPr>
        <w:t xml:space="preserve"> të Shqipërisë, veçanërisht duke nxitur një sektor konkurrues dhe të qëndrueshëm të lëndëve të para kritike të integruar në zinxhirin industrial të vlerës së BE-së. Ai ndihmon në përafrimin e kuadrit të Shqipërisë për Lëndët e Para Kritike </w:t>
      </w:r>
      <w:r w:rsidRPr="0036019C">
        <w:rPr>
          <w:rFonts w:ascii="Garamond" w:hAnsi="Garamond"/>
          <w:b/>
          <w:bCs/>
          <w:i/>
          <w:iCs/>
          <w:color w:val="000000" w:themeColor="text1"/>
          <w:lang w:val="sq-AL"/>
        </w:rPr>
        <w:t>(CRM/LPK)</w:t>
      </w:r>
      <w:r w:rsidRPr="0036019C">
        <w:rPr>
          <w:rFonts w:ascii="Garamond" w:hAnsi="Garamond"/>
          <w:color w:val="000000" w:themeColor="text1"/>
          <w:lang w:val="sq-AL"/>
        </w:rPr>
        <w:t xml:space="preserve">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-në e BE-së, mbështet zbatimin e hartës rrugore të Qendrës Rajonale të Inovacionit për Materialet, zhvillon kapacitetet institucionale në kërkimin dhe inovacionin në sektorin CRM-së, dhe përditëson hartën e burimeve kryesore minerale për të lehtësuar investimet e qëndrueshme në sektor, përfshirë integrimin në zinxhirët e furnizimit të BE-së.</w:t>
      </w:r>
      <w:r w:rsidRPr="0036019C">
        <w:rPr>
          <w:rFonts w:ascii="Garamond" w:eastAsia="Calibri" w:hAnsi="Garamond"/>
          <w:color w:val="000000" w:themeColor="text1"/>
          <w:lang w:val="sq-AL"/>
        </w:rPr>
        <w:t xml:space="preserve"> </w:t>
      </w:r>
    </w:p>
    <w:p w14:paraId="437F69DD" w14:textId="201BAF4D" w:rsidR="00B06BDA" w:rsidRPr="0036019C" w:rsidRDefault="00B06BDA" w:rsidP="00B06BDA">
      <w:pPr>
        <w:ind w:firstLine="284"/>
        <w:jc w:val="both"/>
        <w:rPr>
          <w:rFonts w:ascii="Garamond" w:eastAsia="Calibri" w:hAnsi="Garamond"/>
          <w:color w:val="000000" w:themeColor="text1"/>
          <w:lang w:val="sq-AL"/>
        </w:rPr>
      </w:pPr>
      <w:r w:rsidRPr="0036019C">
        <w:rPr>
          <w:rFonts w:ascii="Garamond" w:hAnsi="Garamond"/>
          <w:color w:val="000000" w:themeColor="text1"/>
          <w:lang w:val="sq-AL"/>
        </w:rPr>
        <w:t xml:space="preserve">Ky veprim është plotësisht në përputhje ose kontribuon drejtpërdrejt në zbatimin e prioriteteve dhe iniciativave kryesore të BE-së në rajon, duke përfshirë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at për Gjelbërimin, </w:t>
      </w:r>
      <w:r w:rsidR="007129A2">
        <w:rPr>
          <w:rFonts w:ascii="Garamond" w:hAnsi="Garamond"/>
          <w:color w:val="000000" w:themeColor="text1"/>
          <w:lang w:val="sq-AL"/>
        </w:rPr>
        <w:t>Digjital</w:t>
      </w:r>
      <w:r w:rsidRPr="0036019C">
        <w:rPr>
          <w:rFonts w:ascii="Garamond" w:hAnsi="Garamond"/>
          <w:color w:val="000000" w:themeColor="text1"/>
          <w:lang w:val="sq-AL"/>
        </w:rPr>
        <w:t>izimin, Inovacionin, Kërkimin, Arsimin, Kulturën, Rininë dhe Sportin për Ballkanin Perëndimor. Ky veprim</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kontribuon në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ën për Zhvillim të Qëndrueshëm 2030, duke synuar disa </w:t>
      </w:r>
      <w:r w:rsidR="00C347BB" w:rsidRPr="0036019C">
        <w:rPr>
          <w:rFonts w:ascii="Garamond" w:hAnsi="Garamond"/>
          <w:color w:val="000000" w:themeColor="text1"/>
          <w:lang w:val="sq-AL"/>
        </w:rPr>
        <w:t xml:space="preserve">objektiva </w:t>
      </w:r>
      <w:r w:rsidRPr="0036019C">
        <w:rPr>
          <w:rFonts w:ascii="Garamond" w:hAnsi="Garamond"/>
          <w:color w:val="000000" w:themeColor="text1"/>
          <w:lang w:val="sq-AL"/>
        </w:rPr>
        <w:t xml:space="preserve">të </w:t>
      </w:r>
      <w:r w:rsidR="00C347BB" w:rsidRPr="0036019C">
        <w:rPr>
          <w:rFonts w:ascii="Garamond" w:hAnsi="Garamond"/>
          <w:color w:val="000000" w:themeColor="text1"/>
          <w:lang w:val="sq-AL"/>
        </w:rPr>
        <w:t>zhvillimit të qëndrueshëm</w:t>
      </w:r>
      <w:r w:rsidRPr="0036019C">
        <w:rPr>
          <w:rFonts w:ascii="Garamond" w:hAnsi="Garamond"/>
          <w:color w:val="000000" w:themeColor="text1"/>
          <w:lang w:val="sq-AL"/>
        </w:rPr>
        <w:t>, qoftë drejtpërdrejt, qoftë në mënyrë ndërsektoriale.</w:t>
      </w:r>
      <w:r w:rsidRPr="0036019C">
        <w:rPr>
          <w:rFonts w:ascii="Garamond" w:eastAsia="Calibri" w:hAnsi="Garamond"/>
          <w:color w:val="000000" w:themeColor="text1"/>
          <w:lang w:val="sq-AL"/>
        </w:rPr>
        <w:t xml:space="preserve"> </w:t>
      </w:r>
    </w:p>
    <w:p w14:paraId="0A0D0C7E" w14:textId="70EFC79B" w:rsidR="00B06BDA" w:rsidRPr="0036019C" w:rsidRDefault="00B06BDA" w:rsidP="00D70C44">
      <w:pPr>
        <w:pStyle w:val="TEKSTIIIII"/>
        <w:rPr>
          <w:b/>
        </w:rPr>
      </w:pPr>
      <w:r w:rsidRPr="0036019C">
        <w:rPr>
          <w:b/>
        </w:rPr>
        <w:t>1.3 Përfituesi</w:t>
      </w:r>
      <w:r w:rsidR="000F72F0" w:rsidRPr="0036019C">
        <w:rPr>
          <w:b/>
        </w:rPr>
        <w:t>/</w:t>
      </w:r>
      <w:r w:rsidRPr="0036019C">
        <w:rPr>
          <w:b/>
        </w:rPr>
        <w:t xml:space="preserve">t i veprimit </w:t>
      </w:r>
    </w:p>
    <w:p w14:paraId="31A50302" w14:textId="77777777" w:rsidR="00B06BDA" w:rsidRPr="0036019C" w:rsidRDefault="00B06BDA" w:rsidP="00B06BDA">
      <w:pPr>
        <w:pStyle w:val="Considrant"/>
        <w:numPr>
          <w:ilvl w:val="0"/>
          <w:numId w:val="0"/>
        </w:numPr>
        <w:spacing w:before="0" w:after="0"/>
        <w:ind w:firstLine="284"/>
        <w:rPr>
          <w:rFonts w:ascii="Garamond" w:eastAsia="Calibri" w:hAnsi="Garamond"/>
          <w:color w:val="000000" w:themeColor="text1"/>
          <w:szCs w:val="24"/>
          <w:lang w:val="sq-AL"/>
        </w:rPr>
      </w:pPr>
      <w:r w:rsidRPr="0036019C">
        <w:rPr>
          <w:rFonts w:ascii="Garamond" w:hAnsi="Garamond"/>
          <w:color w:val="000000" w:themeColor="text1"/>
          <w:szCs w:val="24"/>
          <w:lang w:val="sq-AL"/>
        </w:rPr>
        <w:t>Ky veprim do të zbatohet në Republikën e Shqipërisë, e cila më tej do të referohet si Shqipëria</w:t>
      </w:r>
      <w:r w:rsidRPr="0036019C">
        <w:rPr>
          <w:rFonts w:ascii="Garamond" w:eastAsia="Calibri" w:hAnsi="Garamond"/>
          <w:color w:val="000000" w:themeColor="text1"/>
          <w:szCs w:val="24"/>
          <w:lang w:val="sq-AL"/>
        </w:rPr>
        <w:t>.</w:t>
      </w:r>
    </w:p>
    <w:p w14:paraId="22713746" w14:textId="77777777" w:rsidR="00B06BDA" w:rsidRPr="0036019C" w:rsidRDefault="00B06BDA" w:rsidP="00D70C44">
      <w:pPr>
        <w:pStyle w:val="ListParagraph"/>
        <w:autoSpaceDE/>
        <w:autoSpaceDN/>
        <w:adjustRightInd/>
        <w:spacing w:after="0" w:line="240" w:lineRule="auto"/>
        <w:ind w:left="284"/>
        <w:jc w:val="both"/>
        <w:rPr>
          <w:rFonts w:ascii="Garamond" w:hAnsi="Garamond" w:cs="Times New Roman"/>
          <w:b/>
          <w:color w:val="000000" w:themeColor="text1"/>
        </w:rPr>
      </w:pPr>
      <w:r w:rsidRPr="0036019C">
        <w:rPr>
          <w:rFonts w:ascii="Garamond" w:hAnsi="Garamond" w:cs="Times New Roman"/>
          <w:b/>
          <w:bCs/>
          <w:color w:val="000000" w:themeColor="text1"/>
        </w:rPr>
        <w:t>2. QËLLIMI I VEPRIMIT (PËRSE)</w:t>
      </w:r>
    </w:p>
    <w:p w14:paraId="6C624035" w14:textId="1F81E26D" w:rsidR="00B06BDA" w:rsidRPr="0036019C" w:rsidRDefault="00B06BDA" w:rsidP="00D70C44">
      <w:pPr>
        <w:pStyle w:val="TEKSTIIIII"/>
        <w:rPr>
          <w:b/>
        </w:rPr>
      </w:pPr>
      <w:r w:rsidRPr="0036019C">
        <w:rPr>
          <w:b/>
        </w:rPr>
        <w:t>2.1 Arsyetimi i përgjithshëm</w:t>
      </w:r>
    </w:p>
    <w:p w14:paraId="104631E9"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Fusha e Mbështetjes #1: Sundimi i ligjit, të Drejtat Themelore dhe Demokracia</w:t>
      </w:r>
    </w:p>
    <w:p w14:paraId="6FF56679" w14:textId="77777777" w:rsidR="00B06BDA" w:rsidRPr="0036019C" w:rsidRDefault="00B06BDA" w:rsidP="00B06BDA">
      <w:pPr>
        <w:ind w:firstLine="284"/>
        <w:jc w:val="both"/>
        <w:rPr>
          <w:rFonts w:ascii="Garamond" w:hAnsi="Garamond"/>
          <w:i/>
          <w:iCs/>
          <w:color w:val="000000" w:themeColor="text1"/>
          <w:lang w:val="sq-AL"/>
        </w:rPr>
      </w:pPr>
      <w:r w:rsidRPr="0036019C">
        <w:rPr>
          <w:rFonts w:ascii="Garamond" w:hAnsi="Garamond"/>
          <w:i/>
          <w:iCs/>
          <w:color w:val="000000" w:themeColor="text1"/>
          <w:lang w:val="sq-AL"/>
        </w:rPr>
        <w:t>Sundimi i ligjit – Reforma në sektorin e drejtësisë</w:t>
      </w:r>
    </w:p>
    <w:p w14:paraId="34691DF4" w14:textId="34B2AC1D"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Veprimi i propozuar bazohet në mbështetjen aktuale të Shqipërisë për zbatimin e reformës në sektorin e drejtësisë, me fokus të veçantë në vazhdimin e përmirësimit të kapaciteteve të institucioneve qeverisëse të sistemit gjyqësor dhe në përmirësimin e vazhdueshëm të edukimit ligjor, si dhe në mbështetjen e Ministrisë së Drejtësisë në kapacitetin e saj të koordinimit, me qëllimin përfundimtar të forcimit të cilësisë, pavarësisë, </w:t>
      </w:r>
      <w:r w:rsidR="000F72F0" w:rsidRPr="0036019C">
        <w:rPr>
          <w:rFonts w:ascii="Garamond" w:hAnsi="Garamond"/>
          <w:color w:val="000000" w:themeColor="text1"/>
          <w:lang w:val="sq-AL"/>
        </w:rPr>
        <w:t>eficienc</w:t>
      </w:r>
      <w:r w:rsidRPr="0036019C">
        <w:rPr>
          <w:rFonts w:ascii="Garamond" w:hAnsi="Garamond"/>
          <w:color w:val="000000" w:themeColor="text1"/>
          <w:lang w:val="sq-AL"/>
        </w:rPr>
        <w:t>ës gjyqësore dhe llogaridhënies, në mënyrë që të konsolidohet progresi i arritur deri tani për të përmbushur kërkesat e integrimit në BE. Konsolidimi i zbatimit të reformës në sektorin e drejtësisë udhëhiqet nga Udhërrëfyesi i Sundimit të Ligjit</w:t>
      </w:r>
      <w:r w:rsidRPr="0036019C">
        <w:rPr>
          <w:rStyle w:val="FootnoteReference"/>
          <w:rFonts w:ascii="Garamond" w:hAnsi="Garamond"/>
          <w:b/>
          <w:bCs/>
          <w:color w:val="000000" w:themeColor="text1"/>
          <w:lang w:val="sq-AL"/>
        </w:rPr>
        <w:footnoteReference w:id="3"/>
      </w:r>
      <w:r w:rsidRPr="0036019C">
        <w:rPr>
          <w:rFonts w:ascii="Garamond" w:hAnsi="Garamond"/>
          <w:color w:val="000000" w:themeColor="text1"/>
          <w:lang w:val="sq-AL"/>
        </w:rPr>
        <w:t xml:space="preserve"> e cila përcakton masat për të rritur pavarësinë, llogaridhënien, cilësinë dhe efikasitetin e institucioneve të drejtësisë në përputhje me standardet evropiane. Në të njëjtën kohë, pasqyron mbështetjen për të trajtuar boshllëqet kryesore në kuadrin e procesit të negociatave </w:t>
      </w:r>
      <w:r w:rsidR="00D91DF9">
        <w:rPr>
          <w:rFonts w:ascii="Garamond" w:hAnsi="Garamond"/>
          <w:color w:val="000000" w:themeColor="text1"/>
          <w:lang w:val="sq-AL"/>
        </w:rPr>
        <w:t xml:space="preserve">për kapitullin </w:t>
      </w:r>
      <w:r w:rsidRPr="0036019C">
        <w:rPr>
          <w:rFonts w:ascii="Garamond" w:hAnsi="Garamond"/>
          <w:color w:val="000000" w:themeColor="text1"/>
          <w:lang w:val="sq-AL"/>
        </w:rPr>
        <w:t>23, sipas Standardeve të Përkohshme</w:t>
      </w:r>
      <w:r w:rsidRPr="0036019C">
        <w:rPr>
          <w:rStyle w:val="FootnoteReference"/>
          <w:rFonts w:ascii="Garamond" w:hAnsi="Garamond"/>
          <w:b/>
          <w:bCs/>
          <w:color w:val="000000" w:themeColor="text1"/>
          <w:lang w:val="sq-AL"/>
        </w:rPr>
        <w:footnoteReference w:id="4"/>
      </w:r>
      <w:r w:rsidRPr="0036019C">
        <w:rPr>
          <w:rFonts w:ascii="Garamond" w:hAnsi="Garamond"/>
          <w:color w:val="000000" w:themeColor="text1"/>
          <w:lang w:val="sq-AL"/>
        </w:rPr>
        <w:t>. Këto masa përfshijnë vlerësime të rregullta të kuadrit ligjor, vlerësime të performancës institucionale, mbështetje për përmirësimin e programeve të trajnimit, mbështetje për koordinimin dhe forcimin e bashkëpunimit, si dhe përdorimin e standardeve më të mira të verifikimit sa here që është e zbatueshme, si dhe shkëmbimin ndërmjet kolegeve të standardeve dhe praktikave më të mira të BE-së. Forcimi i koordinimit midis institucioneve qeverisëse të sistemit gjyqësor, duke përfshirë Këshillin e Lartë Gjyqësor (KLGJ), Këshillin e Lartë të Prokurorisë (KLP), Inspektoratin e Lartë të Drejtësisë (ILD), si dhe Shkollën e Magjistraturës, dhe kur është e nevojshme Ministrinë e Drejtësisë, është thelbësor për këto përpjekje dhe kritik për zbatimin e qëndrueshëm të politikave, përmirësimet e menaxhimit të burimeve dhe ndikimin e përgjithshëm të reformës në drejtësi.</w:t>
      </w:r>
    </w:p>
    <w:p w14:paraId="3FAEE5FE" w14:textId="7F42704E"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Në përputhje me kuadrin e programimit IPA III, ky veprim luan rol kyç në avancimin e reformave në drejtësi të Shqipërisë, duke harmonizuar kuadrot ligjorë dhe institucionalë me standardet e BE-së. Për më tepër, Veprimi plotëson Strukturën Horizontale të BE-së për Ballkanin Perëndimor dhe Turqinë me Këshillin e Evropës, duke i mundësuar përfituesve të përmbushin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at e tyre të reformave në fushën e sundimit të ligjit. </w:t>
      </w:r>
    </w:p>
    <w:p w14:paraId="33BA1EA3" w14:textId="3F9856CF"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lastRenderedPageBreak/>
        <w:t xml:space="preserve">Për më tepër, ky </w:t>
      </w:r>
      <w:r w:rsidR="00C347BB" w:rsidRPr="0036019C">
        <w:rPr>
          <w:rFonts w:ascii="Garamond" w:hAnsi="Garamond"/>
          <w:color w:val="000000" w:themeColor="text1"/>
          <w:lang w:val="sq-AL"/>
        </w:rPr>
        <w:t xml:space="preserve">veprim </w:t>
      </w:r>
      <w:r w:rsidRPr="0036019C">
        <w:rPr>
          <w:rFonts w:ascii="Garamond" w:hAnsi="Garamond"/>
          <w:color w:val="000000" w:themeColor="text1"/>
          <w:lang w:val="sq-AL"/>
        </w:rPr>
        <w:t>mbështet</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Objektivin e Zhvillimit të Qëndrueshëm (SDG(OZhQ)</w:t>
      </w:r>
      <w:r w:rsidR="00C347BB">
        <w:rPr>
          <w:rFonts w:ascii="Garamond" w:hAnsi="Garamond"/>
          <w:color w:val="000000" w:themeColor="text1"/>
          <w:lang w:val="sq-AL"/>
        </w:rPr>
        <w:t>)</w:t>
      </w:r>
      <w:r w:rsidRPr="0036019C">
        <w:rPr>
          <w:rFonts w:ascii="Garamond" w:hAnsi="Garamond"/>
          <w:color w:val="000000" w:themeColor="text1"/>
          <w:lang w:val="sq-AL"/>
        </w:rPr>
        <w:t>16</w:t>
      </w:r>
      <w:r w:rsidRPr="0036019C">
        <w:rPr>
          <w:rFonts w:ascii="Garamond" w:hAnsi="Garamond"/>
          <w:color w:val="000000" w:themeColor="text1"/>
          <w:vertAlign w:val="superscript"/>
          <w:lang w:val="sq-AL"/>
        </w:rPr>
        <w:t>3</w:t>
      </w:r>
      <w:r w:rsidRPr="0036019C">
        <w:rPr>
          <w:rFonts w:ascii="Garamond" w:hAnsi="Garamond"/>
          <w:color w:val="000000" w:themeColor="text1"/>
          <w:lang w:val="sq-AL"/>
        </w:rPr>
        <w:t xml:space="preserve">. Duke forcuar pavarësinë gjyqësore, duke përmirësuar transparencën institucionale dhe duke rritur përpjekjet për ndërtimin e kapaciteteve, </w:t>
      </w:r>
      <w:r w:rsidR="00C347BB" w:rsidRPr="0036019C">
        <w:rPr>
          <w:rFonts w:ascii="Garamond" w:hAnsi="Garamond"/>
          <w:color w:val="000000" w:themeColor="text1"/>
          <w:lang w:val="sq-AL"/>
        </w:rPr>
        <w:t xml:space="preserve">veprimi </w:t>
      </w:r>
      <w:r w:rsidRPr="0036019C">
        <w:rPr>
          <w:rFonts w:ascii="Garamond" w:hAnsi="Garamond"/>
          <w:color w:val="000000" w:themeColor="text1"/>
          <w:lang w:val="sq-AL"/>
        </w:rPr>
        <w:t xml:space="preserve">përputhet me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ën 2030 për Zhvillim të Qëndrueshëm. </w:t>
      </w:r>
    </w:p>
    <w:p w14:paraId="06361322" w14:textId="77777777" w:rsidR="00B06BDA" w:rsidRPr="0036019C" w:rsidRDefault="00B06BDA" w:rsidP="00B06BDA">
      <w:pPr>
        <w:ind w:firstLine="284"/>
        <w:jc w:val="both"/>
        <w:rPr>
          <w:rFonts w:ascii="Garamond" w:hAnsi="Garamond"/>
          <w:i/>
          <w:iCs/>
          <w:color w:val="000000" w:themeColor="text1"/>
          <w:lang w:val="sq-AL"/>
        </w:rPr>
      </w:pPr>
      <w:r w:rsidRPr="0036019C">
        <w:rPr>
          <w:rFonts w:ascii="Garamond" w:hAnsi="Garamond"/>
          <w:i/>
          <w:iCs/>
          <w:color w:val="000000" w:themeColor="text1"/>
          <w:lang w:val="sq-AL"/>
        </w:rPr>
        <w:t>Të drejtat themelore</w:t>
      </w:r>
    </w:p>
    <w:p w14:paraId="6388B081" w14:textId="1798532E"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Angazhimi i Shqipërisë ndaj të drejtave themelore është një shtyllë kyçe e politikës së saj të brendshme dhe kusht themelor për integrimin në BE. Ky angazhim është përfshirë në Kushtetutën e Shqipërisë, konventat ndërkombëtare të të drejtave të njeriut të ratifikuara nga Shqipëria, si dhe në ligjet dhe dokumentet strategjike kombëtare lidhur me integrimin në BE. Veprimi kontribuon në zbatimin e Planit Kombëtar për Integrimin Evropian 2024-2026, i cili i jep përparësi mbrojtjes dhe promovimit të të drejtave themelore në përputhje me detyrimet ndërkombëtare sipas sistemit të OKB-së,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-në e BE-së dhe standardet e Këshillit të Evropës, duke garantuar që Kartat Evropiane të të Drejtave Themelore të zbatohen plotësisht në Shqipëri pas anëtarësimit në BE. </w:t>
      </w:r>
    </w:p>
    <w:p w14:paraId="0DE824B3" w14:textId="178FD7A8"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Veprimi është</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në përputhje me Udhërrëfyesin për Sundimin e Ligjit të Shqipërisë 2024</w:t>
      </w:r>
      <w:r w:rsidR="00C347BB">
        <w:rPr>
          <w:rFonts w:ascii="Garamond" w:hAnsi="Garamond"/>
          <w:color w:val="000000" w:themeColor="text1"/>
          <w:lang w:val="sq-AL"/>
        </w:rPr>
        <w:t>–</w:t>
      </w:r>
      <w:r w:rsidRPr="0036019C">
        <w:rPr>
          <w:rFonts w:ascii="Garamond" w:hAnsi="Garamond"/>
          <w:color w:val="000000" w:themeColor="text1"/>
          <w:lang w:val="sq-AL"/>
        </w:rPr>
        <w:t xml:space="preserve">2030 që kërkon përafrim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-në e BE-së, forcimin e institucioneve të të drejtave të njeriut dhe përmirësimin e mekanizmave të mbledhjes së të dhënave. Ai synon prioritetet politike të Komisionit Evropian për periudhën </w:t>
      </w:r>
      <w:r w:rsidR="00D20604">
        <w:rPr>
          <w:rFonts w:ascii="Garamond" w:hAnsi="Garamond"/>
          <w:color w:val="000000" w:themeColor="text1"/>
          <w:lang w:val="sq-AL"/>
        </w:rPr>
        <w:t>2025–2027</w:t>
      </w:r>
      <w:r w:rsidRPr="0036019C">
        <w:rPr>
          <w:rFonts w:ascii="Garamond" w:hAnsi="Garamond"/>
          <w:color w:val="000000" w:themeColor="text1"/>
          <w:lang w:val="sq-AL"/>
        </w:rPr>
        <w:t>, të pasqyruara në kuadrin programues IPA III 2021</w:t>
      </w:r>
      <w:r w:rsidR="00C347BB">
        <w:rPr>
          <w:rFonts w:ascii="Garamond" w:hAnsi="Garamond"/>
          <w:color w:val="000000" w:themeColor="text1"/>
          <w:lang w:val="sq-AL"/>
        </w:rPr>
        <w:t>–</w:t>
      </w:r>
      <w:r w:rsidRPr="0036019C">
        <w:rPr>
          <w:rFonts w:ascii="Garamond" w:hAnsi="Garamond"/>
          <w:color w:val="000000" w:themeColor="text1"/>
          <w:lang w:val="sq-AL"/>
        </w:rPr>
        <w:t xml:space="preserve">2027, të cilat theksojnë përmirësimin e mbrojtjes së të drejtave të njeriut dhe raportimit në kontekstin e procesit të anëtarësimit të Shqipërisë në BE. </w:t>
      </w:r>
    </w:p>
    <w:p w14:paraId="1DD4A6B8" w14:textId="4A23E2D4"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Veprimi do të mbështesë kët</w:t>
      </w:r>
      <w:r w:rsidR="00E406EE">
        <w:rPr>
          <w:rFonts w:ascii="Garamond" w:hAnsi="Garamond"/>
          <w:color w:val="000000" w:themeColor="text1"/>
          <w:lang w:val="sq-AL"/>
        </w:rPr>
        <w:t>a</w:t>
      </w:r>
      <w:r w:rsidRPr="0036019C">
        <w:rPr>
          <w:rFonts w:ascii="Garamond" w:hAnsi="Garamond"/>
          <w:color w:val="000000" w:themeColor="text1"/>
          <w:lang w:val="sq-AL"/>
        </w:rPr>
        <w:t xml:space="preserve"> objektiva, duke siguruar përafrimin ligjor me standardet e BE-së dhe ato ndërkombëtare, duke përfshirë të drejtat mbi pronën, zbatimin e rekomandimeve të organeve përkatëse të monitorimit dhe forcimin e arritjeve e të Shqipërisë në respektimin dhe zbatimin praktik të të drejtave themelore. Fushat e veçanta të fokusit përfshijnë mbrojtjen e të dhënave, lirinë e shprehjes, pluralizmin mediatik, </w:t>
      </w:r>
      <w:r w:rsidR="0070324F">
        <w:rPr>
          <w:rFonts w:ascii="Garamond" w:hAnsi="Garamond"/>
          <w:color w:val="000000" w:themeColor="text1"/>
          <w:lang w:val="sq-AL"/>
        </w:rPr>
        <w:t>anti</w:t>
      </w:r>
      <w:r w:rsidRPr="0036019C">
        <w:rPr>
          <w:rFonts w:ascii="Garamond" w:hAnsi="Garamond"/>
          <w:color w:val="000000" w:themeColor="text1"/>
          <w:lang w:val="sq-AL"/>
        </w:rPr>
        <w:t xml:space="preserve">diskriminimin, barazinë gjinore, të drejtat e fëmijëve, të drejtat mbi pronën, të drejtat procedurale dhe të drejtat e viktimave të krimit. Në përputhje me </w:t>
      </w:r>
      <w:r w:rsidR="000F72F0" w:rsidRPr="0036019C">
        <w:rPr>
          <w:rFonts w:ascii="Garamond" w:hAnsi="Garamond"/>
          <w:color w:val="000000" w:themeColor="text1"/>
          <w:lang w:val="sq-AL"/>
        </w:rPr>
        <w:t>Agjend</w:t>
      </w:r>
      <w:r w:rsidRPr="0036019C">
        <w:rPr>
          <w:rFonts w:ascii="Garamond" w:hAnsi="Garamond"/>
          <w:color w:val="000000" w:themeColor="text1"/>
          <w:lang w:val="sq-AL"/>
        </w:rPr>
        <w:t>ën për Zhvillim të Qëndrueshëm 2030</w:t>
      </w:r>
      <w:r w:rsidRPr="0036019C">
        <w:rPr>
          <w:rStyle w:val="FootnoteReference"/>
          <w:rFonts w:ascii="Garamond" w:hAnsi="Garamond"/>
          <w:color w:val="000000" w:themeColor="text1"/>
          <w:lang w:val="sq-AL"/>
        </w:rPr>
        <w:footnoteReference w:id="5"/>
      </w:r>
      <w:r w:rsidRPr="0036019C">
        <w:rPr>
          <w:rFonts w:ascii="Garamond" w:hAnsi="Garamond"/>
          <w:color w:val="000000" w:themeColor="text1"/>
          <w:lang w:val="sq-AL"/>
        </w:rPr>
        <w:t xml:space="preserve">, </w:t>
      </w:r>
      <w:r w:rsidR="00C347BB" w:rsidRPr="0036019C">
        <w:rPr>
          <w:rFonts w:ascii="Garamond" w:hAnsi="Garamond"/>
          <w:color w:val="000000" w:themeColor="text1"/>
          <w:lang w:val="sq-AL"/>
        </w:rPr>
        <w:t xml:space="preserve">veprimi </w:t>
      </w:r>
      <w:r w:rsidRPr="0036019C">
        <w:rPr>
          <w:rFonts w:ascii="Garamond" w:hAnsi="Garamond"/>
          <w:color w:val="000000" w:themeColor="text1"/>
          <w:lang w:val="sq-AL"/>
        </w:rPr>
        <w:t>kontribuon gjithashtu në OZhQ 16.6 (zhvillimin e institucioneve të përgjegjshme dhe transparente), OZhQ 5 (Barazia Gjinore) dhe OZhQ 10 (Ulja e Pabarazive).</w:t>
      </w:r>
    </w:p>
    <w:p w14:paraId="020CA376" w14:textId="77777777" w:rsidR="00B06BDA" w:rsidRPr="0036019C" w:rsidRDefault="00B06BDA" w:rsidP="00B06BDA">
      <w:pPr>
        <w:ind w:firstLine="284"/>
        <w:rPr>
          <w:rFonts w:ascii="Garamond" w:hAnsi="Garamond"/>
          <w:color w:val="000000" w:themeColor="text1"/>
          <w:lang w:val="sq-AL"/>
        </w:rPr>
      </w:pPr>
      <w:r w:rsidRPr="0036019C">
        <w:rPr>
          <w:rFonts w:ascii="Garamond" w:hAnsi="Garamond"/>
          <w:i/>
          <w:iCs/>
          <w:color w:val="000000" w:themeColor="text1"/>
          <w:lang w:val="sq-AL"/>
        </w:rPr>
        <w:t>Zbatimi i ligjit</w:t>
      </w:r>
    </w:p>
    <w:p w14:paraId="39E78556" w14:textId="0940A778"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Veprimi i propozuar mbështet objektivin e përgjithshëm të </w:t>
      </w:r>
      <w:r w:rsidR="00A208E8" w:rsidRPr="0036019C">
        <w:rPr>
          <w:rFonts w:ascii="Garamond" w:hAnsi="Garamond"/>
          <w:color w:val="000000" w:themeColor="text1"/>
          <w:lang w:val="sq-AL"/>
        </w:rPr>
        <w:t xml:space="preserve">dritares </w:t>
      </w:r>
      <w:r w:rsidRPr="0036019C">
        <w:rPr>
          <w:rFonts w:ascii="Garamond" w:hAnsi="Garamond"/>
          <w:color w:val="000000" w:themeColor="text1"/>
          <w:lang w:val="sq-AL"/>
        </w:rPr>
        <w:t xml:space="preserve">1 të IPA-s, me fokus të veçantë në </w:t>
      </w:r>
      <w:r w:rsidR="00A208E8" w:rsidRPr="0036019C">
        <w:rPr>
          <w:rFonts w:ascii="Garamond" w:hAnsi="Garamond"/>
          <w:color w:val="000000" w:themeColor="text1"/>
          <w:lang w:val="sq-AL"/>
        </w:rPr>
        <w:t xml:space="preserve">prioritetin tematik </w:t>
      </w:r>
      <w:r w:rsidRPr="0036019C">
        <w:rPr>
          <w:rFonts w:ascii="Garamond" w:hAnsi="Garamond"/>
          <w:color w:val="000000" w:themeColor="text1"/>
          <w:lang w:val="sq-AL"/>
        </w:rPr>
        <w:t>3: Lufta kundër Krimit të Organizuar dhe Siguria. Raporti i Vlerësimit të Komisionit Evropian për Shqipërinë (korrik 2023) thekson përparimin e dukshëm dhe sfidat e vazhdueshme në forcimin e shtetit të së drejtës</w:t>
      </w:r>
      <w:r w:rsidR="00D91DF9">
        <w:rPr>
          <w:rFonts w:ascii="Garamond" w:hAnsi="Garamond"/>
          <w:color w:val="000000" w:themeColor="text1"/>
          <w:lang w:val="sq-AL"/>
        </w:rPr>
        <w:t>/</w:t>
      </w:r>
      <w:r w:rsidRPr="0036019C">
        <w:rPr>
          <w:rFonts w:ascii="Garamond" w:hAnsi="Garamond"/>
          <w:color w:val="000000" w:themeColor="text1"/>
          <w:lang w:val="sq-AL"/>
        </w:rPr>
        <w:t>sundimit të ligjit dhe luftën kundër krimit të organizuar dhe korrupsionit.</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Në përgjithësi, veprimi synon të intensifikojë përpjekjet për të luftuar rrjetet e krimit të organizuar, korrupsionin në nivele të larta dhe pastrimin e parave, duke forcuar aftësitë e inteligjencës, duke zhvilluar trajnime të rregullta dhe duke rritur operacionet e përbashkëta, në përputhje me prioritetet dhe masat e “Strategjisë për Luftën kundër Krimit të Organizuar dhe Krimeve të Rënda 2021</w:t>
      </w:r>
      <w:r w:rsidR="00A208E8">
        <w:rPr>
          <w:rFonts w:ascii="Garamond" w:hAnsi="Garamond"/>
          <w:color w:val="000000" w:themeColor="text1"/>
          <w:lang w:val="sq-AL"/>
        </w:rPr>
        <w:t>–</w:t>
      </w:r>
      <w:r w:rsidRPr="0036019C">
        <w:rPr>
          <w:rFonts w:ascii="Garamond" w:hAnsi="Garamond"/>
          <w:color w:val="000000" w:themeColor="text1"/>
          <w:lang w:val="sq-AL"/>
        </w:rPr>
        <w:t>2025” dhe “Strategjisë Kombëtare për Parandalimin e Pastrimit të Parave dhe Financimit të Terrorizmit 2024</w:t>
      </w:r>
      <w:r w:rsidR="00A208E8">
        <w:rPr>
          <w:rFonts w:ascii="Garamond" w:hAnsi="Garamond"/>
          <w:color w:val="000000" w:themeColor="text1"/>
          <w:lang w:val="sq-AL"/>
        </w:rPr>
        <w:t>–</w:t>
      </w:r>
      <w:r w:rsidRPr="0036019C">
        <w:rPr>
          <w:rFonts w:ascii="Garamond" w:hAnsi="Garamond"/>
          <w:color w:val="000000" w:themeColor="text1"/>
          <w:lang w:val="sq-AL"/>
        </w:rPr>
        <w:t xml:space="preserve">2030". </w:t>
      </w:r>
    </w:p>
    <w:p w14:paraId="01F3192D" w14:textId="257F7449"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Këto nisma janë plotësuese të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ës së Reformës së Shqipërisë (2024)”, e cila thekson nevojën për të forcuar luftën kundër krimit të organizuar dhe kornizave </w:t>
      </w:r>
      <w:r w:rsidR="0070324F">
        <w:rPr>
          <w:rFonts w:ascii="Garamond" w:hAnsi="Garamond"/>
          <w:color w:val="000000" w:themeColor="text1"/>
          <w:lang w:val="sq-AL"/>
        </w:rPr>
        <w:t>anti</w:t>
      </w:r>
      <w:r w:rsidRPr="0036019C">
        <w:rPr>
          <w:rFonts w:ascii="Garamond" w:hAnsi="Garamond"/>
          <w:color w:val="000000" w:themeColor="text1"/>
          <w:lang w:val="sq-AL"/>
        </w:rPr>
        <w:t xml:space="preserve">korrupsion. Veprimi synon të krijojë një sistem të qëndrueshëm dhe të besueshëm kundër pastrimit të parave dhe të lehtësojë zbatimin efektiv dhe në kohë të Planit të Veprimit të Vlerësimit Kombëtar të Riskut (NRA/VKR) për vitet 2024-2027. Për më tepër, veprimi mbështet pjesëmarrjen aktive të Shqipërisë në EMPACT </w:t>
      </w:r>
      <w:r w:rsidRPr="00A208E8">
        <w:rPr>
          <w:rFonts w:ascii="Garamond" w:hAnsi="Garamond"/>
          <w:i/>
          <w:iCs/>
          <w:color w:val="000000" w:themeColor="text1"/>
          <w:lang w:val="sq-AL"/>
        </w:rPr>
        <w:t>(</w:t>
      </w:r>
      <w:r w:rsidRPr="0036019C">
        <w:rPr>
          <w:rStyle w:val="Emphasis"/>
          <w:rFonts w:ascii="Garamond" w:hAnsi="Garamond"/>
          <w:color w:val="000000" w:themeColor="text1"/>
          <w:lang w:val="sq-AL"/>
        </w:rPr>
        <w:t>Platforma Evropiane Multidisiplinore kundër Kërcënimeve Kriminale</w:t>
      </w:r>
      <w:r w:rsidRPr="0036019C">
        <w:rPr>
          <w:rFonts w:ascii="Garamond" w:hAnsi="Garamond"/>
          <w:color w:val="000000" w:themeColor="text1"/>
          <w:lang w:val="sq-AL"/>
        </w:rPr>
        <w:t xml:space="preserve">) dhe bashkëpunimin e ngushtë me EUROJUST </w:t>
      </w:r>
      <w:r w:rsidRPr="0036019C">
        <w:rPr>
          <w:rFonts w:ascii="Garamond" w:hAnsi="Garamond"/>
          <w:i/>
          <w:iCs/>
          <w:color w:val="000000" w:themeColor="text1"/>
          <w:lang w:val="sq-AL"/>
        </w:rPr>
        <w:t>(Agjencia e Bashkimit Evropian për Bashkëpunim Gjyqësor në Çështjet Penale)</w:t>
      </w:r>
      <w:r w:rsidRPr="0036019C">
        <w:rPr>
          <w:rFonts w:ascii="Garamond" w:hAnsi="Garamond"/>
          <w:color w:val="000000" w:themeColor="text1"/>
          <w:lang w:val="sq-AL"/>
        </w:rPr>
        <w:t xml:space="preserve">, EUROPOL </w:t>
      </w:r>
      <w:r w:rsidRPr="0036019C">
        <w:rPr>
          <w:rFonts w:ascii="Garamond" w:hAnsi="Garamond"/>
          <w:i/>
          <w:iCs/>
          <w:color w:val="000000" w:themeColor="text1"/>
          <w:lang w:val="sq-AL"/>
        </w:rPr>
        <w:t>(Agjencia e Bashkimit Evropian për Zbatimin e Ligji)</w:t>
      </w:r>
      <w:r w:rsidRPr="0036019C">
        <w:rPr>
          <w:rFonts w:ascii="Garamond" w:hAnsi="Garamond"/>
          <w:color w:val="000000" w:themeColor="text1"/>
          <w:lang w:val="sq-AL"/>
        </w:rPr>
        <w:t xml:space="preserve"> dhe ENFAST </w:t>
      </w:r>
      <w:r w:rsidRPr="0036019C">
        <w:rPr>
          <w:rFonts w:ascii="Garamond" w:hAnsi="Garamond"/>
          <w:i/>
          <w:iCs/>
          <w:color w:val="000000" w:themeColor="text1"/>
          <w:lang w:val="sq-AL"/>
        </w:rPr>
        <w:t>(Rrjeti Evropian i Ekipeve Kërkuese Aktive të të Arratisurve)</w:t>
      </w:r>
      <w:r w:rsidRPr="0036019C">
        <w:rPr>
          <w:rFonts w:ascii="Garamond" w:hAnsi="Garamond"/>
          <w:color w:val="000000" w:themeColor="text1"/>
          <w:lang w:val="sq-AL"/>
        </w:rPr>
        <w:t>, EPPO</w:t>
      </w:r>
      <w:r w:rsidRPr="0036019C">
        <w:rPr>
          <w:rFonts w:ascii="Garamond" w:hAnsi="Garamond"/>
          <w:i/>
          <w:iCs/>
          <w:color w:val="000000" w:themeColor="text1"/>
          <w:lang w:val="sq-AL"/>
        </w:rPr>
        <w:t xml:space="preserve"> (</w:t>
      </w:r>
      <w:r w:rsidRPr="0036019C">
        <w:rPr>
          <w:rFonts w:ascii="Garamond" w:hAnsi="Garamond"/>
          <w:color w:val="000000" w:themeColor="text1"/>
          <w:lang w:val="sq-AL"/>
        </w:rPr>
        <w:t>Zyra</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 xml:space="preserve">e Prokurorit Publik Evropian), </w:t>
      </w:r>
      <w:r w:rsidRPr="0036019C">
        <w:rPr>
          <w:rFonts w:ascii="Garamond" w:hAnsi="Garamond"/>
          <w:color w:val="000000" w:themeColor="text1"/>
          <w:lang w:val="sq-AL"/>
        </w:rPr>
        <w:lastRenderedPageBreak/>
        <w:t xml:space="preserve">OLAF </w:t>
      </w:r>
      <w:r w:rsidRPr="0036019C">
        <w:rPr>
          <w:rFonts w:ascii="Garamond" w:hAnsi="Garamond"/>
          <w:i/>
          <w:iCs/>
          <w:color w:val="000000" w:themeColor="text1"/>
          <w:lang w:val="sq-AL"/>
        </w:rPr>
        <w:t>(Zyra Evropiane Kundër Mashtrimit)</w:t>
      </w:r>
      <w:r w:rsidRPr="0036019C">
        <w:rPr>
          <w:rFonts w:ascii="Garamond" w:hAnsi="Garamond"/>
          <w:color w:val="000000" w:themeColor="text1"/>
          <w:lang w:val="sq-AL"/>
        </w:rPr>
        <w:t xml:space="preserve"> dhe INTERPOL </w:t>
      </w:r>
      <w:r w:rsidRPr="0036019C">
        <w:rPr>
          <w:rFonts w:ascii="Garamond" w:hAnsi="Garamond"/>
          <w:i/>
          <w:iCs/>
          <w:color w:val="000000" w:themeColor="text1"/>
          <w:lang w:val="sq-AL"/>
        </w:rPr>
        <w:t>(Organizata Ndërkombëtare e Policisë Kriminale)</w:t>
      </w:r>
      <w:r w:rsidRPr="0036019C">
        <w:rPr>
          <w:rFonts w:ascii="Garamond" w:hAnsi="Garamond"/>
          <w:color w:val="000000" w:themeColor="text1"/>
          <w:lang w:val="sq-AL"/>
        </w:rPr>
        <w:t xml:space="preserve">. Në përfundim, veprimi synon të mbështesë hetimin dhe ndjekjen penale të krimit mjedisor në përputhje me Direktivën e re të BE-së për Krimin Mjedisor. Këto prioritete i përgjigjen drejtpërdrejt komunikimit të Komisionit Evropian të vitit 2023 mbi Politikën e Zgjerimit të BE-së, e cila thekson nevojën që vendet kandidate të provojnë një arritje të fuqishme të hetimeve proaktive, ndjekjeve penale dhe vendimeve përfundimtare në çështjet e korrupsionit, krimit të organizuar dhe pastrimit të parave. </w:t>
      </w:r>
    </w:p>
    <w:p w14:paraId="66199129" w14:textId="77777777" w:rsidR="00B06BDA" w:rsidRPr="0036019C" w:rsidRDefault="00B06BDA" w:rsidP="00B06BDA">
      <w:pPr>
        <w:ind w:firstLine="284"/>
        <w:rPr>
          <w:rFonts w:ascii="Garamond" w:hAnsi="Garamond"/>
          <w:i/>
          <w:iCs/>
          <w:color w:val="000000" w:themeColor="text1"/>
          <w:lang w:val="sq-AL"/>
        </w:rPr>
      </w:pPr>
      <w:r w:rsidRPr="0036019C">
        <w:rPr>
          <w:rFonts w:ascii="Garamond" w:hAnsi="Garamond"/>
          <w:i/>
          <w:iCs/>
          <w:color w:val="000000" w:themeColor="text1"/>
          <w:lang w:val="sq-AL"/>
        </w:rPr>
        <w:t>Demokracia</w:t>
      </w:r>
    </w:p>
    <w:p w14:paraId="7DE2CC7A" w14:textId="78CFF020"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Objektivi kryesor i angazhimit të Bashkimit Evropian në Ballkanin Perëndimor është përgatitja e vendeve kandidate për të përmbushur kërkesat e anëtarësimit, duke përfshirë mbështetjen e funksionimit të institucioneve demokratike. Ky </w:t>
      </w:r>
      <w:r w:rsidR="00C347BB" w:rsidRPr="0036019C">
        <w:rPr>
          <w:rFonts w:ascii="Garamond" w:hAnsi="Garamond"/>
          <w:color w:val="000000" w:themeColor="text1"/>
          <w:lang w:val="sq-AL"/>
        </w:rPr>
        <w:t xml:space="preserve">veprim </w:t>
      </w:r>
      <w:r w:rsidRPr="0036019C">
        <w:rPr>
          <w:rFonts w:ascii="Garamond" w:hAnsi="Garamond"/>
          <w:color w:val="000000" w:themeColor="text1"/>
          <w:lang w:val="sq-AL"/>
        </w:rPr>
        <w:t>përqendrohet konkretisht në</w:t>
      </w:r>
      <w:r w:rsidR="00C347BB">
        <w:rPr>
          <w:rFonts w:ascii="Garamond" w:hAnsi="Garamond"/>
          <w:color w:val="000000" w:themeColor="text1"/>
          <w:lang w:val="sq-AL"/>
        </w:rPr>
        <w:t>:</w:t>
      </w:r>
      <w:r w:rsidRPr="0036019C">
        <w:rPr>
          <w:rFonts w:ascii="Garamond" w:hAnsi="Garamond"/>
          <w:color w:val="000000" w:themeColor="text1"/>
          <w:lang w:val="sq-AL"/>
        </w:rPr>
        <w:t xml:space="preserve"> i</w:t>
      </w:r>
      <w:r w:rsidR="00C347BB">
        <w:rPr>
          <w:rFonts w:ascii="Garamond" w:hAnsi="Garamond"/>
          <w:color w:val="000000" w:themeColor="text1"/>
          <w:lang w:val="sq-AL"/>
        </w:rPr>
        <w:t>.</w:t>
      </w:r>
      <w:r w:rsidRPr="0036019C">
        <w:rPr>
          <w:rFonts w:ascii="Garamond" w:hAnsi="Garamond"/>
          <w:color w:val="000000" w:themeColor="text1"/>
          <w:lang w:val="sq-AL"/>
        </w:rPr>
        <w:t xml:space="preserve"> procesin zgjedhor, duke përfshirë funksionimin e administratës zgjedhore, median në fushatën zgjedhore dhe financimin e partive politike dhe fushatave zgjedhore; dhe ii</w:t>
      </w:r>
      <w:r w:rsidR="00C347BB">
        <w:rPr>
          <w:rFonts w:ascii="Garamond" w:hAnsi="Garamond"/>
          <w:color w:val="000000" w:themeColor="text1"/>
          <w:lang w:val="sq-AL"/>
        </w:rPr>
        <w:t>.</w:t>
      </w:r>
      <w:r w:rsidRPr="0036019C">
        <w:rPr>
          <w:rFonts w:ascii="Garamond" w:hAnsi="Garamond"/>
          <w:color w:val="000000" w:themeColor="text1"/>
          <w:lang w:val="sq-AL"/>
        </w:rPr>
        <w:t xml:space="preserve"> funksionimin e parlamenteve në një sistem demokratik. Në veçanti, do të fokusohet në garantimin që institucionet demokratike të jenë të pajisura me burime të mjaftueshme dhe të funksionojnë në mënyrë efektive në përputhje me parimet kushtetuese, qeverisjen e mirë dhe rekomandimet e Komisionit të Venecias. Në këtë drejtim, veprimi do të kontribuojë në forcimin e funksioneve mbikëqyrëse parlamentare të Shqipërisë, përmirësimin e dialogut politik dhe rritjen e rolit të institucioneve demokratike.</w:t>
      </w:r>
    </w:p>
    <w:p w14:paraId="00CB5B76" w14:textId="33FBFCCC"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Ky </w:t>
      </w:r>
      <w:r w:rsidR="00C347BB" w:rsidRPr="0036019C">
        <w:rPr>
          <w:rFonts w:ascii="Garamond" w:hAnsi="Garamond"/>
          <w:color w:val="000000" w:themeColor="text1"/>
          <w:lang w:val="sq-AL"/>
        </w:rPr>
        <w:t xml:space="preserve">veprim </w:t>
      </w:r>
      <w:r w:rsidRPr="0036019C">
        <w:rPr>
          <w:rFonts w:ascii="Garamond" w:hAnsi="Garamond"/>
          <w:color w:val="000000" w:themeColor="text1"/>
          <w:lang w:val="sq-AL"/>
        </w:rPr>
        <w:t xml:space="preserve">mbështet Planin Kombëtar të Shqipërisë për Integrimin Evropian 2024-2026, duke kontribuar njëkohësisht në zbatimin e ndryshimeve ligjore të marsit 2023 që forcuan rolin e Parlamentit në procesin e integrimit në BE. Ai përparon qëllimet e Udhërrëfyesit të Dytë për Funksionimin e Institucioneve Demokratike duke promovuar zgjedhje të lira dhe të ndershme, pluralizmin e medias dhe transparencën e partive politike, ndërkohë që rrit transparencën parlamentare, llogaridhënien (horizontale dhe vertikale), integritetin dhe mbikëqyrjen e institucioneve të pavarura. Gjithashtu, ky </w:t>
      </w:r>
      <w:r w:rsidR="00C347BB" w:rsidRPr="0036019C">
        <w:rPr>
          <w:rFonts w:ascii="Garamond" w:hAnsi="Garamond"/>
          <w:color w:val="000000" w:themeColor="text1"/>
          <w:lang w:val="sq-AL"/>
        </w:rPr>
        <w:t xml:space="preserve">veprim </w:t>
      </w:r>
      <w:r w:rsidRPr="0036019C">
        <w:rPr>
          <w:rFonts w:ascii="Garamond" w:hAnsi="Garamond"/>
          <w:color w:val="000000" w:themeColor="text1"/>
          <w:lang w:val="sq-AL"/>
        </w:rPr>
        <w:t xml:space="preserve">mbështet </w:t>
      </w:r>
      <w:r w:rsidR="00C347BB" w:rsidRPr="0036019C">
        <w:rPr>
          <w:rFonts w:ascii="Garamond" w:hAnsi="Garamond"/>
          <w:color w:val="000000" w:themeColor="text1"/>
          <w:lang w:val="sq-AL"/>
        </w:rPr>
        <w:t xml:space="preserve">Udhërrëfyesin </w:t>
      </w:r>
      <w:r w:rsidRPr="0036019C">
        <w:rPr>
          <w:rFonts w:ascii="Garamond" w:hAnsi="Garamond"/>
          <w:color w:val="000000" w:themeColor="text1"/>
          <w:lang w:val="sq-AL"/>
        </w:rPr>
        <w:t>e Shtetit të së Drejtës</w:t>
      </w:r>
      <w:r w:rsidR="00D91DF9">
        <w:rPr>
          <w:rFonts w:ascii="Garamond" w:hAnsi="Garamond"/>
          <w:color w:val="000000" w:themeColor="text1"/>
          <w:lang w:val="sq-AL"/>
        </w:rPr>
        <w:t>/</w:t>
      </w:r>
      <w:r w:rsidRPr="0036019C">
        <w:rPr>
          <w:rFonts w:ascii="Garamond" w:hAnsi="Garamond"/>
          <w:color w:val="000000" w:themeColor="text1"/>
          <w:lang w:val="sq-AL"/>
        </w:rPr>
        <w:t xml:space="preserve">Sundimit të Ligjit dhe </w:t>
      </w:r>
      <w:r w:rsidR="000F72F0" w:rsidRPr="0036019C">
        <w:rPr>
          <w:rFonts w:ascii="Garamond" w:hAnsi="Garamond"/>
          <w:color w:val="000000" w:themeColor="text1"/>
          <w:lang w:val="sq-AL"/>
        </w:rPr>
        <w:t>Agjend</w:t>
      </w:r>
      <w:r w:rsidRPr="0036019C">
        <w:rPr>
          <w:rFonts w:ascii="Garamond" w:hAnsi="Garamond"/>
          <w:color w:val="000000" w:themeColor="text1"/>
          <w:lang w:val="sq-AL"/>
        </w:rPr>
        <w:t>ën Kombëtare të Reformës duke forcuar lirinë e medias, përmirësuar kapacitetin e Autoritetit të Mediave Audiovizive dhe duke garantuar autonomi rregullatore për të përafruar standardet kombëtare të medias me ato evropiane.</w:t>
      </w:r>
    </w:p>
    <w:p w14:paraId="14806A27" w14:textId="7A456913" w:rsidR="00B06BDA" w:rsidRPr="0036019C" w:rsidRDefault="00B06BDA" w:rsidP="00B06BDA">
      <w:pPr>
        <w:ind w:firstLine="284"/>
        <w:jc w:val="both"/>
        <w:rPr>
          <w:rFonts w:ascii="Garamond" w:hAnsi="Garamond"/>
          <w:color w:val="000000" w:themeColor="text1"/>
          <w:lang w:val="sq-AL"/>
        </w:rPr>
      </w:pPr>
      <w:r w:rsidRPr="0036019C">
        <w:rPr>
          <w:rFonts w:ascii="Garamond" w:hAnsi="Garamond"/>
          <w:b/>
          <w:bCs/>
          <w:color w:val="000000" w:themeColor="text1"/>
          <w:lang w:val="sq-AL"/>
        </w:rPr>
        <w:t xml:space="preserve">Fusha e </w:t>
      </w:r>
      <w:r w:rsidR="00A208E8" w:rsidRPr="0036019C">
        <w:rPr>
          <w:rFonts w:ascii="Garamond" w:hAnsi="Garamond"/>
          <w:b/>
          <w:bCs/>
          <w:color w:val="000000" w:themeColor="text1"/>
          <w:lang w:val="sq-AL"/>
        </w:rPr>
        <w:t xml:space="preserve">Mbështetjes </w:t>
      </w:r>
      <w:r w:rsidRPr="0036019C">
        <w:rPr>
          <w:rFonts w:ascii="Garamond" w:hAnsi="Garamond"/>
          <w:b/>
          <w:bCs/>
          <w:color w:val="000000" w:themeColor="text1"/>
          <w:lang w:val="sq-AL"/>
        </w:rPr>
        <w:t xml:space="preserve">#2: Qeverisje e Mirë, Përafrimi me </w:t>
      </w:r>
      <w:r w:rsidR="000F72F0" w:rsidRPr="0036019C">
        <w:rPr>
          <w:rFonts w:ascii="Garamond" w:hAnsi="Garamond"/>
          <w:b/>
          <w:bCs/>
          <w:i/>
          <w:iCs/>
          <w:color w:val="000000" w:themeColor="text1"/>
          <w:lang w:val="sq-AL"/>
        </w:rPr>
        <w:t>acquis</w:t>
      </w:r>
      <w:r w:rsidRPr="0036019C">
        <w:rPr>
          <w:rFonts w:ascii="Garamond" w:hAnsi="Garamond"/>
          <w:b/>
          <w:bCs/>
          <w:color w:val="000000" w:themeColor="text1"/>
          <w:lang w:val="sq-AL"/>
        </w:rPr>
        <w:t>-në e BE-së, Marrëdhënie të mira Fqinjësore dhe Komunikimi Strategjik</w:t>
      </w:r>
    </w:p>
    <w:p w14:paraId="1D751B0F" w14:textId="132152CC"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Veprimet e propozuara mbështesin objektivin e përgjithshëm të </w:t>
      </w:r>
      <w:r w:rsidR="00A208E8" w:rsidRPr="0036019C">
        <w:rPr>
          <w:rFonts w:ascii="Garamond" w:hAnsi="Garamond"/>
          <w:color w:val="000000" w:themeColor="text1"/>
          <w:lang w:val="sq-AL"/>
        </w:rPr>
        <w:t xml:space="preserve">dritares </w:t>
      </w:r>
      <w:r w:rsidRPr="0036019C">
        <w:rPr>
          <w:rFonts w:ascii="Garamond" w:hAnsi="Garamond"/>
          <w:color w:val="000000" w:themeColor="text1"/>
          <w:lang w:val="sq-AL"/>
        </w:rPr>
        <w:t>2 të IPA-s</w:t>
      </w:r>
      <w:r w:rsidR="00A208E8">
        <w:rPr>
          <w:rFonts w:ascii="Garamond" w:hAnsi="Garamond"/>
          <w:color w:val="000000" w:themeColor="text1"/>
          <w:lang w:val="sq-AL"/>
        </w:rPr>
        <w:t>ë</w:t>
      </w:r>
      <w:r w:rsidRPr="0036019C">
        <w:rPr>
          <w:rFonts w:ascii="Garamond" w:hAnsi="Garamond"/>
          <w:color w:val="000000" w:themeColor="text1"/>
          <w:lang w:val="sq-AL"/>
        </w:rPr>
        <w:t xml:space="preserve">: Qeverisja e Mirë dhe Reforma e Administratës Publike, duke siguruar kapacitet institucional efektiv dhe menaxhim të qëndrueshëm financiar publik; si dhe duke mbështetur kapacitetin e administratës publike shqiptare për integrimin në BE. </w:t>
      </w:r>
    </w:p>
    <w:p w14:paraId="309BD8F7" w14:textId="2EC51D8B" w:rsidR="00B06BDA" w:rsidRPr="0036019C" w:rsidRDefault="00B06BDA" w:rsidP="00B06BDA">
      <w:pPr>
        <w:ind w:firstLine="284"/>
        <w:rPr>
          <w:rFonts w:ascii="Garamond" w:hAnsi="Garamond"/>
          <w:color w:val="000000" w:themeColor="text1"/>
          <w:lang w:val="sq-AL"/>
        </w:rPr>
      </w:pPr>
      <w:r w:rsidRPr="0036019C">
        <w:rPr>
          <w:rFonts w:ascii="Garamond" w:hAnsi="Garamond"/>
          <w:color w:val="000000" w:themeColor="text1"/>
          <w:lang w:val="sq-AL"/>
        </w:rPr>
        <w:t xml:space="preserve">Reforma e </w:t>
      </w:r>
      <w:r w:rsidR="00A208E8" w:rsidRPr="0036019C">
        <w:rPr>
          <w:rFonts w:ascii="Garamond" w:hAnsi="Garamond"/>
          <w:color w:val="000000" w:themeColor="text1"/>
          <w:lang w:val="sq-AL"/>
        </w:rPr>
        <w:t>administratës publike, shërbimi civil, menaxhimi i burimeve njerëzore</w:t>
      </w:r>
    </w:p>
    <w:p w14:paraId="65DF5B00"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Reforma e Administratës Publike (RAP) mbetet prioritet kryesor i qeverisë shqiptare, duke shërbyer si instrument i rëndësishëm për përmirësimin e ofrimit të shërbimeve publike dhe për përmbushjen e kërkesave të integrimit në BE. Kjo mbështetje është në përputhje me metodologjinë e avancuar të zgjerimit të Komisionit Evropian, ku reforma e administratës publike përfshihet në grupin 1, grupin e themelorëve, dhe për këtë arsye konsiderohet thelbësore për zbatimin e politikave dhe legjislacionit të BE-së.</w:t>
      </w:r>
    </w:p>
    <w:p w14:paraId="44B2FA56" w14:textId="32CD311E"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Sipas Qëndrimit të Përbashkët të Bashkimit Evropian për Grupin 1, Shqipëria ka bërë përparim të moderuar në kuadrin e Reformës së Administratës Publike (RAP). Strategjia e RAP (e parashikuar të miratohet më vonë në vitin 2025) synon të ndërtojë një administratë publike efikase, profesionale, të paanshme dhe të përgjegjshme, përfshirë dhe nivelin lokal, për t’</w:t>
      </w:r>
      <w:r w:rsidR="007146B6">
        <w:rPr>
          <w:rFonts w:ascii="Garamond" w:hAnsi="Garamond"/>
          <w:color w:val="000000" w:themeColor="text1"/>
          <w:lang w:val="sq-AL"/>
        </w:rPr>
        <w:t>u</w:t>
      </w:r>
      <w:r w:rsidRPr="0036019C">
        <w:rPr>
          <w:rFonts w:ascii="Garamond" w:hAnsi="Garamond"/>
          <w:color w:val="000000" w:themeColor="text1"/>
          <w:lang w:val="sq-AL"/>
        </w:rPr>
        <w:t xml:space="preserve"> shërbyer më mirë qytetarëve dhe bizneseve. Këto ambicie pasqyrohen</w:t>
      </w:r>
      <w:r w:rsidR="00A208E8">
        <w:rPr>
          <w:rFonts w:ascii="Garamond" w:hAnsi="Garamond"/>
          <w:color w:val="000000" w:themeColor="text1"/>
          <w:lang w:val="sq-AL"/>
        </w:rPr>
        <w:t>,</w:t>
      </w:r>
      <w:r w:rsidRPr="0036019C">
        <w:rPr>
          <w:rFonts w:ascii="Garamond" w:hAnsi="Garamond"/>
          <w:color w:val="000000" w:themeColor="text1"/>
          <w:lang w:val="sq-AL"/>
        </w:rPr>
        <w:t xml:space="preserve"> gjithashtu</w:t>
      </w:r>
      <w:r w:rsidR="00A208E8">
        <w:rPr>
          <w:rFonts w:ascii="Garamond" w:hAnsi="Garamond"/>
          <w:color w:val="000000" w:themeColor="text1"/>
          <w:lang w:val="sq-AL"/>
        </w:rPr>
        <w:t>,</w:t>
      </w:r>
      <w:r w:rsidRPr="0036019C">
        <w:rPr>
          <w:rFonts w:ascii="Garamond" w:hAnsi="Garamond"/>
          <w:color w:val="000000" w:themeColor="text1"/>
          <w:lang w:val="sq-AL"/>
        </w:rPr>
        <w:t xml:space="preserve"> në </w:t>
      </w:r>
      <w:r w:rsidR="00A208E8" w:rsidRPr="0036019C">
        <w:rPr>
          <w:rFonts w:ascii="Garamond" w:hAnsi="Garamond"/>
          <w:color w:val="000000" w:themeColor="text1"/>
          <w:lang w:val="sq-AL"/>
        </w:rPr>
        <w:t xml:space="preserve">udhërrëfyesin </w:t>
      </w:r>
      <w:r w:rsidRPr="0036019C">
        <w:rPr>
          <w:rFonts w:ascii="Garamond" w:hAnsi="Garamond"/>
          <w:color w:val="000000" w:themeColor="text1"/>
          <w:lang w:val="sq-AL"/>
        </w:rPr>
        <w:t>e RAP</w:t>
      </w:r>
      <w:r w:rsidR="00A208E8">
        <w:rPr>
          <w:rFonts w:ascii="Garamond" w:hAnsi="Garamond"/>
          <w:color w:val="000000" w:themeColor="text1"/>
          <w:lang w:val="sq-AL"/>
        </w:rPr>
        <w:t>-së</w:t>
      </w:r>
      <w:r w:rsidRPr="0036019C">
        <w:rPr>
          <w:rFonts w:ascii="Garamond" w:hAnsi="Garamond"/>
          <w:color w:val="000000" w:themeColor="text1"/>
          <w:lang w:val="sq-AL"/>
        </w:rPr>
        <w:t xml:space="preserve"> të miratuar në kuadër të negociatave për anëtarësim. </w:t>
      </w:r>
    </w:p>
    <w:p w14:paraId="213A839F" w14:textId="67FA8DA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Ky </w:t>
      </w:r>
      <w:r w:rsidR="00A208E8" w:rsidRPr="0036019C">
        <w:rPr>
          <w:rFonts w:ascii="Garamond" w:hAnsi="Garamond"/>
          <w:color w:val="000000" w:themeColor="text1"/>
          <w:lang w:val="sq-AL"/>
        </w:rPr>
        <w:t xml:space="preserve">veprim </w:t>
      </w:r>
      <w:r w:rsidRPr="0036019C">
        <w:rPr>
          <w:rFonts w:ascii="Garamond" w:hAnsi="Garamond"/>
          <w:color w:val="000000" w:themeColor="text1"/>
          <w:lang w:val="sq-AL"/>
        </w:rPr>
        <w:t>mbështet drejtpërdrejt kët</w:t>
      </w:r>
      <w:r w:rsidR="00E406EE">
        <w:rPr>
          <w:rFonts w:ascii="Garamond" w:hAnsi="Garamond"/>
          <w:color w:val="000000" w:themeColor="text1"/>
          <w:lang w:val="sq-AL"/>
        </w:rPr>
        <w:t>a</w:t>
      </w:r>
      <w:r w:rsidRPr="0036019C">
        <w:rPr>
          <w:rFonts w:ascii="Garamond" w:hAnsi="Garamond"/>
          <w:color w:val="000000" w:themeColor="text1"/>
          <w:lang w:val="sq-AL"/>
        </w:rPr>
        <w:t xml:space="preserve"> objektiva</w:t>
      </w:r>
      <w:r w:rsidR="00E406EE">
        <w:rPr>
          <w:rFonts w:ascii="Garamond" w:hAnsi="Garamond"/>
          <w:color w:val="000000" w:themeColor="text1"/>
          <w:lang w:val="sq-AL"/>
        </w:rPr>
        <w:t>,</w:t>
      </w:r>
      <w:r w:rsidRPr="0036019C">
        <w:rPr>
          <w:rFonts w:ascii="Garamond" w:hAnsi="Garamond"/>
          <w:color w:val="000000" w:themeColor="text1"/>
          <w:lang w:val="sq-AL"/>
        </w:rPr>
        <w:t xml:space="preserve"> duke forcuar kuadrin institucional, duke mbështetur një shërbim civil profesional dhe të bazuar në meritë, duke rritur transparencën dhe efikasitetin e menaxhimit të burimeve njerëzore në administratën publike; dhe duke ofruar </w:t>
      </w:r>
      <w:r w:rsidRPr="0036019C">
        <w:rPr>
          <w:rFonts w:ascii="Garamond" w:hAnsi="Garamond"/>
          <w:color w:val="000000" w:themeColor="text1"/>
          <w:lang w:val="sq-AL"/>
        </w:rPr>
        <w:lastRenderedPageBreak/>
        <w:t>mbështetje për forcimin e reformave administrative në sektorët kyç, me fokus të veçantë në sektorët e c</w:t>
      </w:r>
      <w:r w:rsidR="000F72F0" w:rsidRPr="0036019C">
        <w:rPr>
          <w:rFonts w:ascii="Garamond" w:hAnsi="Garamond"/>
          <w:color w:val="000000" w:themeColor="text1"/>
          <w:lang w:val="sq-AL"/>
        </w:rPr>
        <w:t>e</w:t>
      </w:r>
      <w:r w:rsidRPr="0036019C">
        <w:rPr>
          <w:rFonts w:ascii="Garamond" w:hAnsi="Garamond"/>
          <w:color w:val="000000" w:themeColor="text1"/>
          <w:lang w:val="sq-AL"/>
        </w:rPr>
        <w:t>nueshëm ndaj korrupsionit.</w:t>
      </w:r>
    </w:p>
    <w:p w14:paraId="5CD81E16" w14:textId="5DD6D0E8" w:rsidR="00B06BDA" w:rsidRPr="0036019C" w:rsidRDefault="00B06BDA" w:rsidP="00B06BDA">
      <w:pPr>
        <w:ind w:firstLine="284"/>
        <w:jc w:val="both"/>
        <w:rPr>
          <w:rFonts w:ascii="Garamond" w:hAnsi="Garamond"/>
          <w:color w:val="000000" w:themeColor="text1"/>
          <w:lang w:val="sq-AL"/>
        </w:rPr>
      </w:pPr>
      <w:r w:rsidRPr="0036019C">
        <w:rPr>
          <w:rFonts w:ascii="Garamond" w:hAnsi="Garamond"/>
          <w:i/>
          <w:iCs/>
          <w:color w:val="000000" w:themeColor="text1"/>
          <w:lang w:val="sq-AL"/>
        </w:rPr>
        <w:t xml:space="preserve">Qeverisje </w:t>
      </w:r>
      <w:r w:rsidR="00A208E8" w:rsidRPr="0036019C">
        <w:rPr>
          <w:rFonts w:ascii="Garamond" w:hAnsi="Garamond"/>
          <w:i/>
          <w:iCs/>
          <w:color w:val="000000" w:themeColor="text1"/>
          <w:lang w:val="sq-AL"/>
        </w:rPr>
        <w:t>vendore dhe shumënivelëshe</w:t>
      </w:r>
    </w:p>
    <w:p w14:paraId="6A071C17"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Kuadri legjislativ i Shqipërisë për qeverisjen shumënivelëshe është në përputhje me standardet evropiane, siç pasqyrohet në ratifikimin e Kartës Evropiane të Vetëqeverisjes Vendore. </w:t>
      </w:r>
    </w:p>
    <w:p w14:paraId="2DCD7FFD" w14:textId="5E538956"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Ky </w:t>
      </w:r>
      <w:r w:rsidR="00C347BB" w:rsidRPr="0036019C">
        <w:rPr>
          <w:rFonts w:ascii="Garamond" w:hAnsi="Garamond"/>
          <w:color w:val="000000" w:themeColor="text1"/>
          <w:lang w:val="sq-AL"/>
        </w:rPr>
        <w:t>v</w:t>
      </w:r>
      <w:r w:rsidRPr="0036019C">
        <w:rPr>
          <w:rFonts w:ascii="Garamond" w:hAnsi="Garamond"/>
          <w:color w:val="000000" w:themeColor="text1"/>
          <w:lang w:val="sq-AL"/>
        </w:rPr>
        <w:t>eprim kontribuon në zbatimin e Strategjisë Kombëtare për Decentralizimin dhe Qeverisjen Vendore, Kornizës Strategjike Kombëtare për Reformën e Administratës Publike dhe Udhërrëfyesit për PAR 2023</w:t>
      </w:r>
      <w:r w:rsidR="0036019C">
        <w:rPr>
          <w:rFonts w:ascii="Garamond" w:hAnsi="Garamond"/>
          <w:color w:val="000000" w:themeColor="text1"/>
          <w:lang w:val="sq-AL"/>
        </w:rPr>
        <w:t>–</w:t>
      </w:r>
      <w:r w:rsidRPr="0036019C">
        <w:rPr>
          <w:rFonts w:ascii="Garamond" w:hAnsi="Garamond"/>
          <w:color w:val="000000" w:themeColor="text1"/>
          <w:lang w:val="sq-AL"/>
        </w:rPr>
        <w:t xml:space="preserve">2030. Ai adreson prioritetet kryesore në kuadër të </w:t>
      </w:r>
      <w:r w:rsidR="00A208E8" w:rsidRPr="0036019C">
        <w:rPr>
          <w:rFonts w:ascii="Garamond" w:hAnsi="Garamond"/>
          <w:color w:val="000000" w:themeColor="text1"/>
          <w:lang w:val="sq-AL"/>
        </w:rPr>
        <w:t xml:space="preserve">dritares </w:t>
      </w:r>
      <w:r w:rsidRPr="0036019C">
        <w:rPr>
          <w:rFonts w:ascii="Garamond" w:hAnsi="Garamond"/>
          <w:color w:val="000000" w:themeColor="text1"/>
          <w:lang w:val="sq-AL"/>
        </w:rPr>
        <w:t>2 të Kuadrit</w:t>
      </w:r>
      <w:r w:rsidR="0036019C">
        <w:rPr>
          <w:rFonts w:ascii="Garamond" w:hAnsi="Garamond"/>
          <w:color w:val="000000" w:themeColor="text1"/>
          <w:lang w:val="sq-AL"/>
        </w:rPr>
        <w:t xml:space="preserve"> </w:t>
      </w:r>
      <w:r w:rsidRPr="0036019C">
        <w:rPr>
          <w:rFonts w:ascii="Garamond" w:hAnsi="Garamond"/>
          <w:color w:val="000000" w:themeColor="text1"/>
          <w:lang w:val="sq-AL"/>
        </w:rPr>
        <w:t xml:space="preserve">Programues IPA III, konkretisht </w:t>
      </w:r>
      <w:r w:rsidR="00A208E8" w:rsidRPr="0036019C">
        <w:rPr>
          <w:rFonts w:ascii="Garamond" w:hAnsi="Garamond"/>
          <w:color w:val="000000" w:themeColor="text1"/>
          <w:lang w:val="sq-AL"/>
        </w:rPr>
        <w:t>prioritetin tematik 1: qeverisja e mirë dhe prioritetin tematik</w:t>
      </w:r>
      <w:r w:rsidRPr="0036019C">
        <w:rPr>
          <w:rFonts w:ascii="Garamond" w:hAnsi="Garamond"/>
          <w:color w:val="000000" w:themeColor="text1"/>
          <w:lang w:val="sq-AL"/>
        </w:rPr>
        <w:t xml:space="preserve"> 2: Kapaciteti </w:t>
      </w:r>
      <w:r w:rsidR="00A208E8" w:rsidRPr="0036019C">
        <w:rPr>
          <w:rFonts w:ascii="Garamond" w:hAnsi="Garamond"/>
          <w:color w:val="000000" w:themeColor="text1"/>
          <w:lang w:val="sq-AL"/>
        </w:rPr>
        <w:t xml:space="preserve">administrativ dhe përputhshmëria </w:t>
      </w:r>
      <w:r w:rsidRPr="0036019C">
        <w:rPr>
          <w:rFonts w:ascii="Garamond" w:hAnsi="Garamond"/>
          <w:color w:val="000000" w:themeColor="text1"/>
          <w:lang w:val="sq-AL"/>
        </w:rPr>
        <w:t xml:space="preserve">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-në e BE-së.</w:t>
      </w:r>
    </w:p>
    <w:p w14:paraId="3FB3DA63" w14:textId="4A844E06"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Duke investuar në kapacitetet e administratës publike në nivel të qeverisjes vendore, </w:t>
      </w:r>
      <w:r w:rsidR="00C347BB" w:rsidRPr="0036019C">
        <w:rPr>
          <w:rFonts w:ascii="Garamond" w:hAnsi="Garamond"/>
          <w:color w:val="000000" w:themeColor="text1"/>
          <w:lang w:val="sq-AL"/>
        </w:rPr>
        <w:t>v</w:t>
      </w:r>
      <w:r w:rsidRPr="0036019C">
        <w:rPr>
          <w:rFonts w:ascii="Garamond" w:hAnsi="Garamond"/>
          <w:color w:val="000000" w:themeColor="text1"/>
          <w:lang w:val="sq-AL"/>
        </w:rPr>
        <w:t>eprimi synon të ndërtojë ekspertizën e nevojshme për zbatimin efektiv të politikave sektoriale dhe legjislacionit të miratuar. Ai</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siguron plotësueshmëri ndërsektoriale me iniciativat e ndërtimit të kapaciteteve administrative në kuadër të </w:t>
      </w:r>
      <w:r w:rsidR="00A208E8" w:rsidRPr="0036019C">
        <w:rPr>
          <w:rFonts w:ascii="Garamond" w:hAnsi="Garamond"/>
          <w:color w:val="000000" w:themeColor="text1"/>
          <w:lang w:val="sq-AL"/>
        </w:rPr>
        <w:t xml:space="preserve">dritareve </w:t>
      </w:r>
      <w:r w:rsidRPr="0036019C">
        <w:rPr>
          <w:rFonts w:ascii="Garamond" w:hAnsi="Garamond"/>
          <w:color w:val="000000" w:themeColor="text1"/>
          <w:lang w:val="sq-AL"/>
        </w:rPr>
        <w:t>të tjera IPA, duke përforcuar një qasje të të gjithë qeverisë ndaj përmirësimeve të qeverisjes dhe ofrimit të shërbimeve.</w:t>
      </w:r>
    </w:p>
    <w:p w14:paraId="71CDDAC2" w14:textId="5747FBF9" w:rsidR="00B06BDA" w:rsidRPr="0036019C" w:rsidRDefault="00B06BDA" w:rsidP="00B06BDA">
      <w:pPr>
        <w:ind w:firstLine="284"/>
        <w:rPr>
          <w:rFonts w:ascii="Garamond" w:hAnsi="Garamond"/>
          <w:i/>
          <w:iCs/>
          <w:color w:val="000000" w:themeColor="text1"/>
          <w:lang w:val="sq-AL"/>
        </w:rPr>
      </w:pPr>
      <w:r w:rsidRPr="0036019C">
        <w:rPr>
          <w:rFonts w:ascii="Garamond" w:hAnsi="Garamond"/>
          <w:i/>
          <w:iCs/>
          <w:color w:val="000000" w:themeColor="text1"/>
          <w:lang w:val="sq-AL"/>
        </w:rPr>
        <w:t xml:space="preserve">Menaxhimi i </w:t>
      </w:r>
      <w:r w:rsidR="00A208E8" w:rsidRPr="0036019C">
        <w:rPr>
          <w:rFonts w:ascii="Garamond" w:hAnsi="Garamond"/>
          <w:i/>
          <w:iCs/>
          <w:color w:val="000000" w:themeColor="text1"/>
          <w:lang w:val="sq-AL"/>
        </w:rPr>
        <w:t xml:space="preserve">financave publike </w:t>
      </w:r>
      <w:r w:rsidRPr="0036019C">
        <w:rPr>
          <w:rFonts w:ascii="Garamond" w:hAnsi="Garamond"/>
          <w:i/>
          <w:iCs/>
          <w:color w:val="000000" w:themeColor="text1"/>
          <w:lang w:val="sq-AL"/>
        </w:rPr>
        <w:t xml:space="preserve">(MFP), </w:t>
      </w:r>
      <w:r w:rsidR="00A208E8" w:rsidRPr="0036019C">
        <w:rPr>
          <w:rFonts w:ascii="Garamond" w:hAnsi="Garamond"/>
          <w:i/>
          <w:iCs/>
          <w:color w:val="000000" w:themeColor="text1"/>
          <w:lang w:val="sq-AL"/>
        </w:rPr>
        <w:t>prokurimi publik, auditimi i jashtëm dhe statistikat</w:t>
      </w:r>
    </w:p>
    <w:p w14:paraId="014E39AB" w14:textId="77777777" w:rsidR="00B06BDA" w:rsidRPr="0036019C" w:rsidRDefault="00B06BDA" w:rsidP="00B06BDA">
      <w:pPr>
        <w:pStyle w:val="ListParagraph"/>
        <w:spacing w:after="0" w:line="240" w:lineRule="auto"/>
        <w:ind w:left="0" w:firstLine="284"/>
        <w:jc w:val="both"/>
        <w:rPr>
          <w:rFonts w:ascii="Garamond" w:hAnsi="Garamond" w:cs="Times New Roman"/>
          <w:color w:val="000000" w:themeColor="text1"/>
        </w:rPr>
      </w:pPr>
      <w:r w:rsidRPr="0036019C">
        <w:rPr>
          <w:rFonts w:ascii="Garamond" w:hAnsi="Garamond" w:cs="Times New Roman"/>
          <w:color w:val="000000" w:themeColor="text1"/>
        </w:rPr>
        <w:t>Veprimi do të mbështesë reformat e vazhdueshme në fushat e menaxhimit të financave publike, prokurimit publik, mobilizimit të të ardhurave të brendshme, auditimit të jashtëm dhe statistikave. Këto masa janë në përputhje me Kornizën Programuese IPA III dhe synojnë të arrijnë qëndrueshmëri fiskale, menaxhim efikas të financave publike, menaxhim të përmirësuar të burimeve publike dhe transparencë të përmirësuar.</w:t>
      </w:r>
    </w:p>
    <w:p w14:paraId="76602190" w14:textId="60DB55F8" w:rsidR="00B06BDA" w:rsidRPr="0036019C" w:rsidRDefault="00B06BDA" w:rsidP="00B06BDA">
      <w:pPr>
        <w:pStyle w:val="ListParagraph"/>
        <w:spacing w:after="0" w:line="240" w:lineRule="auto"/>
        <w:ind w:left="0" w:firstLine="284"/>
        <w:jc w:val="both"/>
        <w:rPr>
          <w:rFonts w:ascii="Garamond" w:hAnsi="Garamond" w:cs="Times New Roman"/>
          <w:color w:val="000000" w:themeColor="text1"/>
        </w:rPr>
      </w:pPr>
      <w:r w:rsidRPr="0036019C">
        <w:rPr>
          <w:rFonts w:ascii="Garamond" w:hAnsi="Garamond" w:cs="Times New Roman"/>
          <w:color w:val="000000" w:themeColor="text1"/>
        </w:rPr>
        <w:t>Veprimi është në përputhje me Udhërrëfyesin për Reformën e Administratës Publike, e cila përfshin masa mbi Menaxhimin e Financave Publike (MFP). Udhërrëfyesi thekson rëndësinë e menaxhimit transparent dhe të qëndrueshëm të financave publike për arritjen e objektivave politike, duke siguruar sisteme efektive kontrolli, prokurimi dhe mbikëqyrjeje. Ky veprim është</w:t>
      </w:r>
      <w:r w:rsidR="00C347BB">
        <w:rPr>
          <w:rFonts w:ascii="Garamond" w:hAnsi="Garamond" w:cs="Times New Roman"/>
          <w:color w:val="000000" w:themeColor="text1"/>
        </w:rPr>
        <w:t>,</w:t>
      </w:r>
      <w:r w:rsidRPr="0036019C">
        <w:rPr>
          <w:rFonts w:ascii="Garamond" w:hAnsi="Garamond" w:cs="Times New Roman"/>
          <w:color w:val="000000" w:themeColor="text1"/>
        </w:rPr>
        <w:t xml:space="preserve"> gjithashtu</w:t>
      </w:r>
      <w:r w:rsidR="00C347BB">
        <w:rPr>
          <w:rFonts w:ascii="Garamond" w:hAnsi="Garamond" w:cs="Times New Roman"/>
          <w:color w:val="000000" w:themeColor="text1"/>
        </w:rPr>
        <w:t>,</w:t>
      </w:r>
      <w:r w:rsidRPr="0036019C">
        <w:rPr>
          <w:rFonts w:ascii="Garamond" w:hAnsi="Garamond" w:cs="Times New Roman"/>
          <w:color w:val="000000" w:themeColor="text1"/>
        </w:rPr>
        <w:t xml:space="preserve"> në përputhje me Strategjinë për Menaxhimin e Financave Publike (2023</w:t>
      </w:r>
      <w:r w:rsidR="00E406EE">
        <w:rPr>
          <w:rFonts w:ascii="Garamond" w:hAnsi="Garamond" w:cs="Times New Roman"/>
          <w:color w:val="000000" w:themeColor="text1"/>
        </w:rPr>
        <w:t>–</w:t>
      </w:r>
      <w:r w:rsidRPr="0036019C">
        <w:rPr>
          <w:rFonts w:ascii="Garamond" w:hAnsi="Garamond" w:cs="Times New Roman"/>
          <w:color w:val="000000" w:themeColor="text1"/>
        </w:rPr>
        <w:t xml:space="preserve">2030) të miratuar nga Qeveria. </w:t>
      </w:r>
    </w:p>
    <w:p w14:paraId="1EF9F3C6" w14:textId="0B0F6E93" w:rsidR="00B06BDA" w:rsidRPr="0036019C" w:rsidRDefault="00B06BDA" w:rsidP="00B06BDA">
      <w:pPr>
        <w:pStyle w:val="ListParagraph"/>
        <w:spacing w:after="0" w:line="240" w:lineRule="auto"/>
        <w:ind w:left="0" w:firstLine="284"/>
        <w:jc w:val="both"/>
        <w:rPr>
          <w:rFonts w:ascii="Garamond" w:hAnsi="Garamond" w:cs="Times New Roman"/>
          <w:color w:val="000000" w:themeColor="text1"/>
        </w:rPr>
      </w:pPr>
      <w:r w:rsidRPr="0036019C">
        <w:rPr>
          <w:rFonts w:ascii="Garamond" w:hAnsi="Garamond" w:cs="Times New Roman"/>
          <w:color w:val="000000" w:themeColor="text1"/>
        </w:rPr>
        <w:t>Veprimi</w:t>
      </w:r>
      <w:r w:rsidR="007129A2">
        <w:rPr>
          <w:rFonts w:ascii="Garamond" w:hAnsi="Garamond" w:cs="Times New Roman"/>
          <w:color w:val="000000" w:themeColor="text1"/>
        </w:rPr>
        <w:t>,</w:t>
      </w:r>
      <w:r w:rsidRPr="0036019C">
        <w:rPr>
          <w:rFonts w:ascii="Garamond" w:hAnsi="Garamond" w:cs="Times New Roman"/>
          <w:color w:val="000000" w:themeColor="text1"/>
        </w:rPr>
        <w:t xml:space="preserve"> gjithashtu</w:t>
      </w:r>
      <w:r w:rsidR="007129A2">
        <w:rPr>
          <w:rFonts w:ascii="Garamond" w:hAnsi="Garamond" w:cs="Times New Roman"/>
          <w:color w:val="000000" w:themeColor="text1"/>
        </w:rPr>
        <w:t>,</w:t>
      </w:r>
      <w:r w:rsidRPr="0036019C">
        <w:rPr>
          <w:rFonts w:ascii="Garamond" w:hAnsi="Garamond" w:cs="Times New Roman"/>
          <w:color w:val="000000" w:themeColor="text1"/>
        </w:rPr>
        <w:t xml:space="preserve"> përputhet me Strategjinë Afatmesme të të Ardhurave të miratuar së fundmi, e cila synon të rrisë të ardhurat fiskale përmes përmirësimit të masave të politikës tatimore, si dhe reformave në administratën tatimore dhe doganore. Në fushat e taksimit, do t’i kushtohet vëmendje e veçantë përputhjes me </w:t>
      </w:r>
      <w:r w:rsidR="000F72F0" w:rsidRPr="0036019C">
        <w:rPr>
          <w:rFonts w:ascii="Garamond" w:hAnsi="Garamond" w:cs="Times New Roman"/>
          <w:i/>
          <w:iCs/>
          <w:color w:val="000000" w:themeColor="text1"/>
        </w:rPr>
        <w:t>acquis</w:t>
      </w:r>
      <w:r w:rsidRPr="0036019C">
        <w:rPr>
          <w:rFonts w:ascii="Garamond" w:hAnsi="Garamond" w:cs="Times New Roman"/>
          <w:color w:val="000000" w:themeColor="text1"/>
        </w:rPr>
        <w:t xml:space="preserve">-në e BE-së dhe detyrimeve ndërkombëtare tatimore. </w:t>
      </w:r>
    </w:p>
    <w:p w14:paraId="6D6C7C7E" w14:textId="3EE9CD04" w:rsidR="00B06BDA" w:rsidRPr="0036019C" w:rsidRDefault="00B06BDA" w:rsidP="00B06BDA">
      <w:pPr>
        <w:pStyle w:val="ListParagraph"/>
        <w:spacing w:after="0" w:line="240" w:lineRule="auto"/>
        <w:ind w:left="0" w:firstLine="284"/>
        <w:jc w:val="both"/>
        <w:rPr>
          <w:rFonts w:ascii="Garamond" w:hAnsi="Garamond" w:cs="Times New Roman"/>
          <w:color w:val="000000" w:themeColor="text1"/>
        </w:rPr>
      </w:pPr>
      <w:r w:rsidRPr="0036019C">
        <w:rPr>
          <w:rFonts w:ascii="Garamond" w:hAnsi="Garamond" w:cs="Times New Roman"/>
          <w:color w:val="000000" w:themeColor="text1"/>
        </w:rPr>
        <w:t xml:space="preserve">Veprimi do të mbështesë gjithashtu reformat e vazhdueshme në fushën e prokurimeve publike, siç kërkohet për anëtarësimin në BE dhe siç parashikohet në Strategjinë e Prokurimeve Publike të Qeverisë (2024-2030). Brenda fushës së prokurimit, do t’i kushtohet vëmendje e veçantë promovimit të prokurimit të gjelbër dhe social, në përputhje me </w:t>
      </w:r>
      <w:r w:rsidR="000F72F0" w:rsidRPr="0036019C">
        <w:rPr>
          <w:rFonts w:ascii="Garamond" w:hAnsi="Garamond" w:cs="Times New Roman"/>
          <w:color w:val="000000" w:themeColor="text1"/>
        </w:rPr>
        <w:t>Agjend</w:t>
      </w:r>
      <w:r w:rsidRPr="0036019C">
        <w:rPr>
          <w:rFonts w:ascii="Garamond" w:hAnsi="Garamond" w:cs="Times New Roman"/>
          <w:color w:val="000000" w:themeColor="text1"/>
        </w:rPr>
        <w:t>ën e Gjelbër për Ballkanin Perëndimor, si dhe mbështetjes së reformave që lidhen me strategjitë më të zgjeruara kundër korrupsionit.</w:t>
      </w:r>
    </w:p>
    <w:p w14:paraId="32A212B6" w14:textId="7D282050" w:rsidR="00B06BDA" w:rsidRPr="0036019C" w:rsidRDefault="00B06BDA" w:rsidP="00B06BDA">
      <w:pPr>
        <w:pStyle w:val="ListParagraph"/>
        <w:spacing w:after="0" w:line="240" w:lineRule="auto"/>
        <w:ind w:left="0" w:firstLine="284"/>
        <w:jc w:val="both"/>
        <w:rPr>
          <w:rFonts w:ascii="Garamond" w:hAnsi="Garamond" w:cs="Times New Roman"/>
          <w:color w:val="000000" w:themeColor="text1"/>
        </w:rPr>
      </w:pPr>
      <w:r w:rsidRPr="0036019C">
        <w:rPr>
          <w:rFonts w:ascii="Garamond" w:hAnsi="Garamond" w:cs="Times New Roman"/>
          <w:color w:val="000000" w:themeColor="text1"/>
        </w:rPr>
        <w:t xml:space="preserve">Kuadri Programues IPA III identifikon përmirësimin e kapaciteteve të auditimit të jashtëm si prioritet në kuadër të </w:t>
      </w:r>
      <w:r w:rsidR="00A208E8" w:rsidRPr="0036019C">
        <w:rPr>
          <w:rFonts w:ascii="Garamond" w:hAnsi="Garamond" w:cs="Times New Roman"/>
          <w:color w:val="000000" w:themeColor="text1"/>
        </w:rPr>
        <w:t xml:space="preserve">përparësisë tematike </w:t>
      </w:r>
      <w:r w:rsidRPr="0036019C">
        <w:rPr>
          <w:rFonts w:ascii="Garamond" w:hAnsi="Garamond" w:cs="Times New Roman"/>
          <w:color w:val="000000" w:themeColor="text1"/>
        </w:rPr>
        <w:t xml:space="preserve">1: Qeverisja e mirë; dhe veprimi do të përfshijë mbështetje të dedikuar për Institucionin e Lartë të Auditimit. Ky veprim do të mbështesë reformat mbi auditimin e jashtëm, të përfshira në Strategjinë për Menaxhimin e Financave Publike dhe në strategjinë e miratuar nga Institucioni i Lartë i Auditimit të Shqipërisë. Masat kryesore përfshijnë forcimin e kuadrit rregullator, përmirësimin e metodologjive të auditimit dhe investimin në burimet njerëzore për të rritur efektivitetin e auditimit dhe komunikimin e gjetjeve të auditimit; ndërsa garantohet përputhja e vazhdueshme dhe e avancuar me standardet INTOSAI </w:t>
      </w:r>
      <w:r w:rsidRPr="0036019C">
        <w:rPr>
          <w:rFonts w:ascii="Garamond" w:hAnsi="Garamond" w:cs="Times New Roman"/>
          <w:i/>
          <w:iCs/>
          <w:color w:val="000000" w:themeColor="text1"/>
        </w:rPr>
        <w:t>(Organizata Ndërkombëtare e Institucioneve të Larta të Auditimit)</w:t>
      </w:r>
      <w:r w:rsidRPr="0036019C">
        <w:rPr>
          <w:rFonts w:ascii="Garamond" w:hAnsi="Garamond" w:cs="Times New Roman"/>
          <w:color w:val="000000" w:themeColor="text1"/>
        </w:rPr>
        <w:t xml:space="preserve"> dhe ISSAI </w:t>
      </w:r>
      <w:r w:rsidRPr="0036019C">
        <w:rPr>
          <w:rFonts w:ascii="Garamond" w:hAnsi="Garamond" w:cs="Times New Roman"/>
          <w:i/>
          <w:iCs/>
          <w:color w:val="000000" w:themeColor="text1"/>
        </w:rPr>
        <w:t>(Standardet Ndërkombëtare të Institucioneve të Larta të Auditimit)</w:t>
      </w:r>
      <w:r w:rsidRPr="0036019C">
        <w:rPr>
          <w:rFonts w:ascii="Garamond" w:hAnsi="Garamond" w:cs="Times New Roman"/>
          <w:color w:val="000000" w:themeColor="text1"/>
        </w:rPr>
        <w:t>.</w:t>
      </w:r>
    </w:p>
    <w:p w14:paraId="43DD6E31" w14:textId="2005D11A" w:rsidR="00B06BDA" w:rsidRPr="0036019C" w:rsidRDefault="00B06BDA" w:rsidP="00B06BDA">
      <w:pPr>
        <w:pStyle w:val="ListParagraph"/>
        <w:spacing w:after="0" w:line="240" w:lineRule="auto"/>
        <w:ind w:left="0" w:firstLine="284"/>
        <w:jc w:val="both"/>
        <w:rPr>
          <w:rFonts w:ascii="Garamond" w:hAnsi="Garamond" w:cs="Times New Roman"/>
          <w:color w:val="000000" w:themeColor="text1"/>
        </w:rPr>
      </w:pPr>
      <w:r w:rsidRPr="0036019C">
        <w:rPr>
          <w:rFonts w:ascii="Garamond" w:hAnsi="Garamond" w:cs="Times New Roman"/>
          <w:color w:val="000000" w:themeColor="text1"/>
        </w:rPr>
        <w:t xml:space="preserve">Së fundi, veprimi do të mbështesë fushën e statistikave. Përfundimet e Përbashkëta të Dialogut Ekonomik dhe Financiar 2024 ndërmjet BE-së dhe Ballkanit Perëndimor theksojnë rëndësinë e përputhjes së mëtejshme, duke nënvizuar modernizimin e proceseve statistikore, përmirësimin e mbledhjes dhe sigurisë së të dhënave, si dhe përmirësimin e infrastrukturës </w:t>
      </w:r>
      <w:r w:rsidR="007129A2">
        <w:rPr>
          <w:rFonts w:ascii="Garamond" w:hAnsi="Garamond" w:cs="Times New Roman"/>
          <w:color w:val="000000" w:themeColor="text1"/>
        </w:rPr>
        <w:t>digjital</w:t>
      </w:r>
      <w:r w:rsidRPr="0036019C">
        <w:rPr>
          <w:rFonts w:ascii="Garamond" w:hAnsi="Garamond" w:cs="Times New Roman"/>
          <w:color w:val="000000" w:themeColor="text1"/>
        </w:rPr>
        <w:t xml:space="preserve">e për të siguruar </w:t>
      </w:r>
      <w:r w:rsidRPr="0036019C">
        <w:rPr>
          <w:rFonts w:ascii="Garamond" w:hAnsi="Garamond" w:cs="Times New Roman"/>
          <w:color w:val="000000" w:themeColor="text1"/>
        </w:rPr>
        <w:lastRenderedPageBreak/>
        <w:t xml:space="preserve">raportim statistikor të besueshëm. Përputhja e metodologjive statistikore me Rregulloren e ESA (Sistemit Evropian të Llogarive) në fuqi është thelbësore për llogaritjen e treguesve kryesorë ekonomikë si GDP/PBB dhe GNI/BNP, duke mbështetur kështu përputhshmërinë e Shqipërisë me kërkesat e sistemit statistikor të BE-së. Veprimi do të mbështesë masat dhe reformat e përfshira në Programin e Statistikave Zyrtare të Shqipërisë 2022-2026 dhe pasuesin e tij, si dhe masat e kërkuara për anëtarësimin në BE (Kapitulli 18 – Statistika), me fokus të rëndësishëm në statistikat makroekonomike dhe financat publike; përmirësimin e menaxhimit dhe sigurisë së të dhënave dhe sigurisë kibernetike. </w:t>
      </w:r>
    </w:p>
    <w:p w14:paraId="4839B493" w14:textId="77777777" w:rsidR="00B06BDA" w:rsidRPr="0036019C" w:rsidRDefault="00B06BDA" w:rsidP="00B06BDA">
      <w:pPr>
        <w:ind w:firstLine="284"/>
        <w:rPr>
          <w:rFonts w:ascii="Garamond" w:hAnsi="Garamond"/>
          <w:i/>
          <w:iCs/>
          <w:color w:val="000000" w:themeColor="text1"/>
          <w:lang w:val="sq-AL"/>
        </w:rPr>
      </w:pPr>
      <w:r w:rsidRPr="0036019C">
        <w:rPr>
          <w:rFonts w:ascii="Garamond" w:hAnsi="Garamond"/>
          <w:i/>
          <w:iCs/>
          <w:color w:val="000000" w:themeColor="text1"/>
          <w:lang w:val="sq-AL"/>
        </w:rPr>
        <w:t xml:space="preserve">EUIF Instrumenti Lehtësues për Integrimin Evropian </w:t>
      </w:r>
    </w:p>
    <w:p w14:paraId="68D1453D" w14:textId="04A31D0A"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Qëllimi kryesor i këtij </w:t>
      </w:r>
      <w:r w:rsidR="00C347BB" w:rsidRPr="0036019C">
        <w:rPr>
          <w:rFonts w:ascii="Garamond" w:hAnsi="Garamond"/>
          <w:color w:val="000000" w:themeColor="text1"/>
          <w:lang w:val="sq-AL"/>
        </w:rPr>
        <w:t xml:space="preserve">veprimi </w:t>
      </w:r>
      <w:r w:rsidRPr="0036019C">
        <w:rPr>
          <w:rFonts w:ascii="Garamond" w:hAnsi="Garamond"/>
          <w:color w:val="000000" w:themeColor="text1"/>
          <w:lang w:val="sq-AL"/>
        </w:rPr>
        <w:t xml:space="preserve">është të forcojë kapacitetin dhe llogaridhënien e administratës publike shqiptare në përgatitjet për anëtarësimin në BE. Në përputhje me Kuadrin Programues IPA III, ky objektiv është një prioritet ndërsektorial dhe plotëson ndërtimin e kapacitetit administrativ në kuadër të </w:t>
      </w:r>
      <w:r w:rsidR="00E406EE" w:rsidRPr="0036019C">
        <w:rPr>
          <w:rFonts w:ascii="Garamond" w:hAnsi="Garamond"/>
          <w:color w:val="000000" w:themeColor="text1"/>
          <w:lang w:val="sq-AL"/>
        </w:rPr>
        <w:t xml:space="preserve">dritareve </w:t>
      </w:r>
      <w:r w:rsidRPr="0036019C">
        <w:rPr>
          <w:rFonts w:ascii="Garamond" w:hAnsi="Garamond"/>
          <w:color w:val="000000" w:themeColor="text1"/>
          <w:lang w:val="sq-AL"/>
        </w:rPr>
        <w:t xml:space="preserve">të tjera në përputhje me qasjen sektoriale. Veprimi mbështet objektivat e </w:t>
      </w:r>
      <w:r w:rsidR="00E406EE" w:rsidRPr="0036019C">
        <w:rPr>
          <w:rFonts w:ascii="Garamond" w:hAnsi="Garamond"/>
          <w:color w:val="000000" w:themeColor="text1"/>
          <w:lang w:val="sq-AL"/>
        </w:rPr>
        <w:t>prioritetit te</w:t>
      </w:r>
      <w:r w:rsidRPr="0036019C">
        <w:rPr>
          <w:rFonts w:ascii="Garamond" w:hAnsi="Garamond"/>
          <w:color w:val="000000" w:themeColor="text1"/>
          <w:lang w:val="sq-AL"/>
        </w:rPr>
        <w:t xml:space="preserve">matik 2 të </w:t>
      </w:r>
      <w:r w:rsidR="00E406EE" w:rsidRPr="0036019C">
        <w:rPr>
          <w:rFonts w:ascii="Garamond" w:hAnsi="Garamond"/>
          <w:color w:val="000000" w:themeColor="text1"/>
          <w:lang w:val="sq-AL"/>
        </w:rPr>
        <w:t xml:space="preserve">dritares </w:t>
      </w:r>
      <w:r w:rsidRPr="0036019C">
        <w:rPr>
          <w:rFonts w:ascii="Garamond" w:hAnsi="Garamond"/>
          <w:color w:val="000000" w:themeColor="text1"/>
          <w:lang w:val="sq-AL"/>
        </w:rPr>
        <w:t xml:space="preserve">2 të IPA-s, e cila fokusohet në forcimin e kapacitetit administrativ të vendit dhe përputhjen e politikave dhe legjislacionit të tij me kërkesat e BE-së, si dhe përmbushjen e detyrimeve të anëtarësimit në BE. </w:t>
      </w:r>
    </w:p>
    <w:p w14:paraId="3F5A2D32" w14:textId="4969B616"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Mbështetja do të kontribuojë në përmirësimin e kapacitetit për të drejtuar procesin e reformës, duke përfshirë përmes koordinimit të zbatimit të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ës së Reformës dhe përputhjes dhe zbatimit të mëtejshëm të kërkesave të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-së së BE-së. Ky </w:t>
      </w:r>
      <w:r w:rsidR="00C347BB" w:rsidRPr="0036019C">
        <w:rPr>
          <w:rFonts w:ascii="Garamond" w:hAnsi="Garamond"/>
          <w:color w:val="000000" w:themeColor="text1"/>
          <w:lang w:val="sq-AL"/>
        </w:rPr>
        <w:t>veprim</w:t>
      </w:r>
      <w:r w:rsidR="00C347BB">
        <w:rPr>
          <w:rFonts w:ascii="Garamond" w:hAnsi="Garamond"/>
          <w:color w:val="000000" w:themeColor="text1"/>
          <w:lang w:val="sq-AL"/>
        </w:rPr>
        <w:t>,</w:t>
      </w:r>
      <w:r w:rsidR="00C347BB" w:rsidRPr="0036019C">
        <w:rPr>
          <w:rFonts w:ascii="Garamond" w:hAnsi="Garamond"/>
          <w:color w:val="000000" w:themeColor="text1"/>
          <w:lang w:val="sq-AL"/>
        </w:rPr>
        <w:t xml:space="preserve"> </w:t>
      </w:r>
      <w:r w:rsidRPr="0036019C">
        <w:rPr>
          <w:rFonts w:ascii="Garamond" w:hAnsi="Garamond"/>
          <w:color w:val="000000" w:themeColor="text1"/>
          <w:lang w:val="sq-AL"/>
        </w:rPr>
        <w:t>gjithashtu</w:t>
      </w:r>
      <w:r w:rsidR="00C347BB">
        <w:rPr>
          <w:rFonts w:ascii="Garamond" w:hAnsi="Garamond"/>
          <w:color w:val="000000" w:themeColor="text1"/>
          <w:lang w:val="sq-AL"/>
        </w:rPr>
        <w:t>,</w:t>
      </w:r>
      <w:r w:rsidRPr="0036019C">
        <w:rPr>
          <w:rFonts w:ascii="Garamond" w:hAnsi="Garamond"/>
          <w:color w:val="000000" w:themeColor="text1"/>
          <w:lang w:val="sq-AL"/>
        </w:rPr>
        <w:t xml:space="preserve"> mbështet </w:t>
      </w:r>
      <w:r w:rsidR="00A208E8" w:rsidRPr="0036019C">
        <w:rPr>
          <w:rFonts w:ascii="Garamond" w:hAnsi="Garamond"/>
          <w:color w:val="000000" w:themeColor="text1"/>
          <w:lang w:val="sq-AL"/>
        </w:rPr>
        <w:t xml:space="preserve">prioritetin tematik </w:t>
      </w:r>
      <w:r w:rsidRPr="0036019C">
        <w:rPr>
          <w:rFonts w:ascii="Garamond" w:hAnsi="Garamond"/>
          <w:color w:val="000000" w:themeColor="text1"/>
          <w:lang w:val="sq-AL"/>
        </w:rPr>
        <w:t xml:space="preserve">1 të </w:t>
      </w:r>
      <w:r w:rsidR="00A208E8" w:rsidRPr="0036019C">
        <w:rPr>
          <w:rFonts w:ascii="Garamond" w:hAnsi="Garamond"/>
          <w:color w:val="000000" w:themeColor="text1"/>
          <w:lang w:val="sq-AL"/>
        </w:rPr>
        <w:t xml:space="preserve">dritares </w:t>
      </w:r>
      <w:r w:rsidRPr="0036019C">
        <w:rPr>
          <w:rFonts w:ascii="Garamond" w:hAnsi="Garamond"/>
          <w:color w:val="000000" w:themeColor="text1"/>
          <w:lang w:val="sq-AL"/>
        </w:rPr>
        <w:t xml:space="preserve">2 të IPA-s që fokusohet në qeverisjen e mirë dhe horizontalisht në dritaret e tjera të IPA III, duke kontribuar kështu në procesin e përgjithshëm të integrimit. </w:t>
      </w:r>
      <w:r w:rsidRPr="0036019C">
        <w:rPr>
          <w:rStyle w:val="Strong"/>
          <w:rFonts w:ascii="Garamond" w:hAnsi="Garamond"/>
          <w:color w:val="000000" w:themeColor="text1"/>
          <w:lang w:val="sq-AL"/>
        </w:rPr>
        <w:t xml:space="preserve">EUIF/ILIE </w:t>
      </w:r>
      <w:r w:rsidRPr="0036019C">
        <w:rPr>
          <w:rStyle w:val="Strong"/>
          <w:rFonts w:ascii="Garamond" w:hAnsi="Garamond"/>
          <w:i/>
          <w:iCs/>
          <w:color w:val="000000" w:themeColor="text1"/>
          <w:lang w:val="sq-AL"/>
        </w:rPr>
        <w:t xml:space="preserve">(Instrumenti Lehtësues për Integrimin Evropian) </w:t>
      </w:r>
      <w:r w:rsidRPr="0036019C">
        <w:rPr>
          <w:rFonts w:ascii="Garamond" w:hAnsi="Garamond"/>
          <w:color w:val="000000" w:themeColor="text1"/>
          <w:lang w:val="sq-AL"/>
        </w:rPr>
        <w:t>mbështet</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zbatimin e IPA III, përgatitjet në kuadër të Kapitullit 22 të negociatave të anëtarësimit dhe ofrimin e mbështetjes për veprime me shkallë të vogël, duke qenë një mjet financiar fleksibël i aftë që të mobilizojë shpejt burime për nevoja emergjente për të mbështetur integrimin.</w:t>
      </w:r>
    </w:p>
    <w:p w14:paraId="0184B08F" w14:textId="21AEDBFB"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 xml:space="preserve">Fusha e mbështetjes #3: </w:t>
      </w:r>
      <w:r w:rsidR="000F72F0" w:rsidRPr="0036019C">
        <w:rPr>
          <w:rFonts w:ascii="Garamond" w:hAnsi="Garamond"/>
          <w:b/>
          <w:bCs/>
          <w:color w:val="000000" w:themeColor="text1"/>
          <w:lang w:val="sq-AL"/>
        </w:rPr>
        <w:t>Agjend</w:t>
      </w:r>
      <w:r w:rsidRPr="0036019C">
        <w:rPr>
          <w:rFonts w:ascii="Garamond" w:hAnsi="Garamond"/>
          <w:b/>
          <w:bCs/>
          <w:color w:val="000000" w:themeColor="text1"/>
          <w:lang w:val="sq-AL"/>
        </w:rPr>
        <w:t>a e gjelbër dhe lidhshmëria e qëndrueshme &amp; Konkurrueshmëria dhe rritja gjithëpërfshirëse</w:t>
      </w:r>
    </w:p>
    <w:p w14:paraId="5A7605CF" w14:textId="4F506F44" w:rsidR="00B06BDA" w:rsidRPr="0036019C" w:rsidRDefault="00B06BDA" w:rsidP="00B06BDA">
      <w:pPr>
        <w:tabs>
          <w:tab w:val="left" w:pos="2160"/>
        </w:tabs>
        <w:ind w:firstLine="284"/>
        <w:jc w:val="both"/>
        <w:rPr>
          <w:rFonts w:ascii="Garamond" w:hAnsi="Garamond"/>
          <w:color w:val="000000" w:themeColor="text1"/>
          <w:lang w:val="sq-AL"/>
        </w:rPr>
      </w:pPr>
      <w:r w:rsidRPr="0036019C">
        <w:rPr>
          <w:rFonts w:ascii="Garamond" w:hAnsi="Garamond"/>
          <w:color w:val="000000" w:themeColor="text1"/>
          <w:lang w:val="sq-AL"/>
        </w:rPr>
        <w:t>Veprimi i propozuar paraqitet si pasojë e Ligjit për Lëndët e Para Kritike (CRMA) të Bashkimit Evropian</w:t>
      </w:r>
      <w:r w:rsidRPr="0036019C">
        <w:rPr>
          <w:rFonts w:ascii="Garamond" w:hAnsi="Garamond"/>
          <w:b/>
          <w:bCs/>
          <w:color w:val="000000" w:themeColor="text1"/>
          <w:vertAlign w:val="superscript"/>
          <w:lang w:val="sq-AL"/>
        </w:rPr>
        <w:footnoteReference w:id="6"/>
      </w:r>
      <w:r w:rsidRPr="0036019C">
        <w:rPr>
          <w:rFonts w:ascii="Garamond" w:hAnsi="Garamond"/>
          <w:b/>
          <w:bCs/>
          <w:color w:val="000000" w:themeColor="text1"/>
          <w:lang w:val="sq-AL"/>
        </w:rPr>
        <w:t xml:space="preserve"> </w:t>
      </w:r>
      <w:r w:rsidRPr="0036019C">
        <w:rPr>
          <w:rFonts w:ascii="Garamond" w:hAnsi="Garamond"/>
          <w:color w:val="000000" w:themeColor="text1"/>
          <w:lang w:val="sq-AL"/>
        </w:rPr>
        <w:t>i cili krijon një kornizë për sigurimin e një furnizimi të sigurt dhe të qëndrueshëm të lëndëve të para kritike. Plani i Veprimit për Lëndët e Para Kritike</w:t>
      </w:r>
      <w:r w:rsidRPr="0036019C">
        <w:rPr>
          <w:rFonts w:ascii="Garamond" w:hAnsi="Garamond"/>
          <w:color w:val="000000" w:themeColor="text1"/>
          <w:vertAlign w:val="superscript"/>
          <w:lang w:val="sq-AL"/>
        </w:rPr>
        <w:t xml:space="preserve"> </w:t>
      </w:r>
      <w:r w:rsidRPr="0036019C">
        <w:rPr>
          <w:rFonts w:ascii="Garamond" w:hAnsi="Garamond"/>
          <w:b/>
          <w:bCs/>
          <w:color w:val="000000" w:themeColor="text1"/>
          <w:vertAlign w:val="superscript"/>
          <w:lang w:val="sq-AL"/>
        </w:rPr>
        <w:footnoteReference w:id="7"/>
      </w:r>
      <w:r w:rsidRPr="0036019C">
        <w:rPr>
          <w:rFonts w:ascii="Garamond" w:hAnsi="Garamond"/>
          <w:b/>
          <w:bCs/>
          <w:color w:val="000000" w:themeColor="text1"/>
          <w:lang w:val="sq-AL"/>
        </w:rPr>
        <w:t xml:space="preserve"> </w:t>
      </w:r>
      <w:r w:rsidRPr="0036019C">
        <w:rPr>
          <w:rFonts w:ascii="Garamond" w:hAnsi="Garamond"/>
          <w:color w:val="000000" w:themeColor="text1"/>
          <w:lang w:val="sq-AL"/>
        </w:rPr>
        <w:t xml:space="preserve">përcakton qartë objektivin e BE-së për të angazhuar vendet me burime të pasura, përfshirë Ballkanin Perëndimor, duke njohur rëndësinë e integrimit të Ballkanit Perëndimor në zinxhirët e furnizimit të BE-së. Objektivat e </w:t>
      </w:r>
      <w:r w:rsidR="00E406EE" w:rsidRPr="0036019C">
        <w:rPr>
          <w:rFonts w:ascii="Garamond" w:hAnsi="Garamond"/>
          <w:color w:val="000000" w:themeColor="text1"/>
          <w:lang w:val="sq-AL"/>
        </w:rPr>
        <w:t xml:space="preserve">veprimit </w:t>
      </w:r>
      <w:r w:rsidRPr="0036019C">
        <w:rPr>
          <w:rFonts w:ascii="Garamond" w:hAnsi="Garamond"/>
          <w:color w:val="000000" w:themeColor="text1"/>
          <w:lang w:val="sq-AL"/>
        </w:rPr>
        <w:t>janë në përputhje me Kuadrin Programues IPA III</w:t>
      </w:r>
      <w:r w:rsidRPr="0036019C">
        <w:rPr>
          <w:rFonts w:ascii="Garamond" w:hAnsi="Garamond"/>
          <w:b/>
          <w:bCs/>
          <w:color w:val="000000" w:themeColor="text1"/>
          <w:vertAlign w:val="superscript"/>
          <w:lang w:val="sq-AL"/>
        </w:rPr>
        <w:footnoteReference w:id="8"/>
      </w:r>
      <w:r w:rsidRPr="0036019C">
        <w:rPr>
          <w:rFonts w:ascii="Garamond" w:hAnsi="Garamond"/>
          <w:color w:val="000000" w:themeColor="text1"/>
          <w:vertAlign w:val="subscript"/>
          <w:lang w:val="sq-AL"/>
        </w:rPr>
        <w:t>,</w:t>
      </w:r>
      <w:r w:rsidRPr="0036019C">
        <w:rPr>
          <w:rFonts w:ascii="Garamond" w:hAnsi="Garamond"/>
          <w:color w:val="000000" w:themeColor="text1"/>
          <w:lang w:val="sq-AL"/>
        </w:rPr>
        <w:t xml:space="preserve"> veçanërisht në kuadër të </w:t>
      </w:r>
      <w:r w:rsidR="00A208E8" w:rsidRPr="0036019C">
        <w:rPr>
          <w:rFonts w:ascii="Garamond" w:hAnsi="Garamond"/>
          <w:color w:val="000000" w:themeColor="text1"/>
          <w:lang w:val="sq-AL"/>
        </w:rPr>
        <w:t xml:space="preserve">dritares </w:t>
      </w:r>
      <w:r w:rsidRPr="0036019C">
        <w:rPr>
          <w:rFonts w:ascii="Garamond" w:hAnsi="Garamond"/>
          <w:color w:val="000000" w:themeColor="text1"/>
          <w:lang w:val="sq-AL"/>
        </w:rPr>
        <w:t xml:space="preserve">4, </w:t>
      </w:r>
      <w:r w:rsidR="00A208E8" w:rsidRPr="0036019C">
        <w:rPr>
          <w:rFonts w:ascii="Garamond" w:hAnsi="Garamond"/>
          <w:color w:val="000000" w:themeColor="text1"/>
          <w:lang w:val="sq-AL"/>
        </w:rPr>
        <w:t>prioritetit te</w:t>
      </w:r>
      <w:r w:rsidRPr="0036019C">
        <w:rPr>
          <w:rFonts w:ascii="Garamond" w:hAnsi="Garamond"/>
          <w:color w:val="000000" w:themeColor="text1"/>
          <w:lang w:val="sq-AL"/>
        </w:rPr>
        <w:t>matik 2: Zhvillimi i sektorit privat, tregtia, kërkimi dhe inovacioni, ku qëllimi është përmirësimi i mjedisit të biznesit, ekosistemit të inovacionit dhe klimës së investimeve të përfituesve, duke promovuar integrimin me zinxhirët industrialë të vlerës së BE-së. Objektivat e veprimit janë</w:t>
      </w:r>
      <w:r w:rsidR="00E406EE">
        <w:rPr>
          <w:rFonts w:ascii="Garamond" w:hAnsi="Garamond"/>
          <w:color w:val="000000" w:themeColor="text1"/>
          <w:lang w:val="sq-AL"/>
        </w:rPr>
        <w:t>,</w:t>
      </w:r>
      <w:r w:rsidRPr="0036019C">
        <w:rPr>
          <w:rFonts w:ascii="Garamond" w:hAnsi="Garamond"/>
          <w:color w:val="000000" w:themeColor="text1"/>
          <w:lang w:val="sq-AL"/>
        </w:rPr>
        <w:t xml:space="preserve"> gjithashtu</w:t>
      </w:r>
      <w:r w:rsidR="00E406EE">
        <w:rPr>
          <w:rFonts w:ascii="Garamond" w:hAnsi="Garamond"/>
          <w:color w:val="000000" w:themeColor="text1"/>
          <w:lang w:val="sq-AL"/>
        </w:rPr>
        <w:t>,</w:t>
      </w:r>
      <w:r w:rsidRPr="0036019C">
        <w:rPr>
          <w:rFonts w:ascii="Garamond" w:hAnsi="Garamond"/>
          <w:color w:val="000000" w:themeColor="text1"/>
          <w:lang w:val="sq-AL"/>
        </w:rPr>
        <w:t xml:space="preserve"> në përputhje me </w:t>
      </w:r>
      <w:r w:rsidR="00A208E8" w:rsidRPr="0036019C">
        <w:rPr>
          <w:rFonts w:ascii="Garamond" w:hAnsi="Garamond"/>
          <w:color w:val="000000" w:themeColor="text1"/>
          <w:lang w:val="sq-AL"/>
        </w:rPr>
        <w:t xml:space="preserve">dritaren </w:t>
      </w:r>
      <w:r w:rsidRPr="0036019C">
        <w:rPr>
          <w:rFonts w:ascii="Garamond" w:hAnsi="Garamond"/>
          <w:color w:val="000000" w:themeColor="text1"/>
          <w:lang w:val="sq-AL"/>
        </w:rPr>
        <w:t>3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a e gjelbër dhe lidhshmëria e qëndrueshme”, </w:t>
      </w:r>
      <w:r w:rsidR="00E406EE" w:rsidRPr="0036019C">
        <w:rPr>
          <w:rFonts w:ascii="Garamond" w:hAnsi="Garamond"/>
          <w:color w:val="000000" w:themeColor="text1"/>
          <w:lang w:val="sq-AL"/>
        </w:rPr>
        <w:t xml:space="preserve">prioriteti tematik </w:t>
      </w:r>
      <w:r w:rsidRPr="0036019C">
        <w:rPr>
          <w:rFonts w:ascii="Garamond" w:hAnsi="Garamond"/>
          <w:color w:val="000000" w:themeColor="text1"/>
          <w:lang w:val="sq-AL"/>
        </w:rPr>
        <w:t>I: Mjedisi dhe ndryshimet klimatike, duke u fokusuar</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në rikthimin e degradimit mjedisor, uljen e niveleve të ndotjes industriale dhe kimike, si dhe asgjësimin e duhur të mbetjeve të rrezikshme dhe të nxjerra nga minierat. </w:t>
      </w:r>
    </w:p>
    <w:p w14:paraId="7CC9C850" w14:textId="7501AF15"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Do t’i jepet vëmendje e veçantë prodhimit dhe përdorimit të qëndrueshëm të lëndëve të para kritike të nevojshme për ekonominë e gjelbër dhe neutrale ndaj klimës, në përputhje me parimet e ekonomisë së gjelbër dhe të qarkullimit. Veprimi plotëson Planin e ri të Rritjes për Ballkanin </w:t>
      </w:r>
      <w:r w:rsidRPr="0036019C">
        <w:rPr>
          <w:rFonts w:ascii="Garamond" w:hAnsi="Garamond"/>
          <w:color w:val="000000" w:themeColor="text1"/>
          <w:lang w:val="sq-AL"/>
        </w:rPr>
        <w:lastRenderedPageBreak/>
        <w:t>Perëndimor dhe objektivin e tij për të integruar rajonin në zinxhirët industrialë të furnizimit të BE-së</w:t>
      </w:r>
      <w:r w:rsidRPr="00C347BB">
        <w:rPr>
          <w:rFonts w:ascii="Garamond" w:hAnsi="Garamond"/>
          <w:color w:val="000000" w:themeColor="text1"/>
          <w:vertAlign w:val="superscript"/>
          <w:lang w:val="sq-AL"/>
        </w:rPr>
        <w:footnoteReference w:id="9"/>
      </w:r>
      <w:r w:rsidRPr="00C347BB">
        <w:rPr>
          <w:rFonts w:ascii="Garamond" w:hAnsi="Garamond"/>
          <w:color w:val="000000" w:themeColor="text1"/>
          <w:lang w:val="sq-AL"/>
        </w:rPr>
        <w:t>.</w:t>
      </w:r>
      <w:r w:rsidRPr="0036019C">
        <w:rPr>
          <w:rFonts w:ascii="Garamond" w:hAnsi="Garamond"/>
          <w:color w:val="000000" w:themeColor="text1"/>
          <w:lang w:val="sq-AL"/>
        </w:rPr>
        <w:t xml:space="preserve"> Veprimi është</w:t>
      </w:r>
      <w:r w:rsidR="00A208E8">
        <w:rPr>
          <w:rFonts w:ascii="Garamond" w:hAnsi="Garamond"/>
          <w:color w:val="000000" w:themeColor="text1"/>
          <w:lang w:val="sq-AL"/>
        </w:rPr>
        <w:t>,</w:t>
      </w:r>
      <w:r w:rsidRPr="0036019C">
        <w:rPr>
          <w:rFonts w:ascii="Garamond" w:hAnsi="Garamond"/>
          <w:color w:val="000000" w:themeColor="text1"/>
          <w:lang w:val="sq-AL"/>
        </w:rPr>
        <w:t xml:space="preserve"> gjithashtu</w:t>
      </w:r>
      <w:r w:rsidR="00A208E8">
        <w:rPr>
          <w:rFonts w:ascii="Garamond" w:hAnsi="Garamond"/>
          <w:color w:val="000000" w:themeColor="text1"/>
          <w:lang w:val="sq-AL"/>
        </w:rPr>
        <w:t>,</w:t>
      </w:r>
      <w:r w:rsidRPr="0036019C">
        <w:rPr>
          <w:rFonts w:ascii="Garamond" w:hAnsi="Garamond"/>
          <w:color w:val="000000" w:themeColor="text1"/>
          <w:lang w:val="sq-AL"/>
        </w:rPr>
        <w:t xml:space="preserve"> në përputhje të plotë me Planin Ekonomik dhe të Investimeve për Ballkanin Perëndimor</w:t>
      </w:r>
      <w:r w:rsidRPr="0036019C">
        <w:rPr>
          <w:rFonts w:ascii="Garamond" w:hAnsi="Garamond"/>
          <w:color w:val="000000" w:themeColor="text1"/>
          <w:vertAlign w:val="superscript"/>
          <w:lang w:val="sq-AL"/>
        </w:rPr>
        <w:footnoteReference w:id="10"/>
      </w:r>
      <w:r w:rsidRPr="0036019C">
        <w:rPr>
          <w:rFonts w:ascii="Garamond" w:hAnsi="Garamond"/>
          <w:color w:val="000000" w:themeColor="text1"/>
          <w:lang w:val="sq-AL"/>
        </w:rPr>
        <w:t xml:space="preserve">, ku një nga objektivat është “…të lehtësojë integrimin e zinxhirëve të vlerave industriale të qëndrueshme midis Ballkanit Perëndimor dhe BE-së, veçanërisht duke mbështetur prodhimin dhe përpunimin e qëndrueshëm të lëndëve të para, përfshirë lëndët kritike, duke siguruar tregti dhe investime të paanshme, në përputhje me standardet sociale, mjedisore dhe të transparencës të BE-së”. </w:t>
      </w:r>
    </w:p>
    <w:p w14:paraId="6416A2DD" w14:textId="3765B8D4"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Për më tepër, </w:t>
      </w:r>
      <w:r w:rsidR="00C347BB" w:rsidRPr="0036019C">
        <w:rPr>
          <w:rFonts w:ascii="Garamond" w:hAnsi="Garamond"/>
          <w:color w:val="000000" w:themeColor="text1"/>
          <w:lang w:val="sq-AL"/>
        </w:rPr>
        <w:t>vepri</w:t>
      </w:r>
      <w:r w:rsidRPr="0036019C">
        <w:rPr>
          <w:rFonts w:ascii="Garamond" w:hAnsi="Garamond"/>
          <w:color w:val="000000" w:themeColor="text1"/>
          <w:lang w:val="sq-AL"/>
        </w:rPr>
        <w:t xml:space="preserve">mi përputhet plotësisht me </w:t>
      </w:r>
      <w:r w:rsidR="000F72F0" w:rsidRPr="0036019C">
        <w:rPr>
          <w:rFonts w:ascii="Garamond" w:hAnsi="Garamond"/>
          <w:color w:val="000000" w:themeColor="text1"/>
          <w:lang w:val="sq-AL"/>
        </w:rPr>
        <w:t>Agjend</w:t>
      </w:r>
      <w:r w:rsidRPr="0036019C">
        <w:rPr>
          <w:rFonts w:ascii="Garamond" w:hAnsi="Garamond"/>
          <w:color w:val="000000" w:themeColor="text1"/>
          <w:lang w:val="sq-AL"/>
        </w:rPr>
        <w:t>ën e Gjelbër për Ballkanin Perëndimor</w:t>
      </w:r>
      <w:r w:rsidRPr="0036019C">
        <w:rPr>
          <w:rStyle w:val="FootnoteReference"/>
          <w:rFonts w:ascii="Garamond" w:hAnsi="Garamond"/>
          <w:color w:val="000000" w:themeColor="text1"/>
          <w:lang w:val="sq-AL"/>
        </w:rPr>
        <w:footnoteReference w:id="11"/>
      </w:r>
      <w:r w:rsidRPr="0036019C">
        <w:rPr>
          <w:rFonts w:ascii="Garamond" w:hAnsi="Garamond"/>
          <w:color w:val="000000" w:themeColor="text1"/>
          <w:lang w:val="sq-AL"/>
        </w:rPr>
        <w:t>, e cila, në lidhje me ekonominë qarkore, përcakton objektivin për të synuar një model ku vlera dhe burimet ruhen sa më gjatë në ekonomi dhe gjenerimi i mbetjeve minimizohet</w:t>
      </w:r>
      <w:r w:rsidRPr="0036019C">
        <w:rPr>
          <w:rFonts w:ascii="Garamond" w:hAnsi="Garamond"/>
          <w:b/>
          <w:bCs/>
          <w:color w:val="000000" w:themeColor="text1"/>
          <w:vertAlign w:val="superscript"/>
          <w:lang w:val="sq-AL"/>
        </w:rPr>
        <w:footnoteReference w:id="12"/>
      </w:r>
      <w:r w:rsidRPr="0036019C">
        <w:rPr>
          <w:rFonts w:ascii="Garamond" w:hAnsi="Garamond"/>
          <w:b/>
          <w:bCs/>
          <w:color w:val="000000" w:themeColor="text1"/>
          <w:lang w:val="sq-AL"/>
        </w:rPr>
        <w:t>,</w:t>
      </w:r>
      <w:r w:rsidRPr="0036019C">
        <w:rPr>
          <w:rFonts w:ascii="Garamond" w:hAnsi="Garamond"/>
          <w:color w:val="000000" w:themeColor="text1"/>
          <w:lang w:val="sq-AL"/>
        </w:rPr>
        <w:t xml:space="preserve"> duke marrë parasysh se vendet e Ballkanit Perëndimor konsiderohen një nga zonat e ardhshme potenciale të furnizimit me minerale të Evropës.</w:t>
      </w:r>
    </w:p>
    <w:p w14:paraId="5372F796" w14:textId="2418B1D0" w:rsidR="00B06BDA" w:rsidRPr="0036019C" w:rsidRDefault="00B06BDA" w:rsidP="00125622">
      <w:pPr>
        <w:pStyle w:val="TEKSTIIIII"/>
        <w:rPr>
          <w:b/>
        </w:rPr>
      </w:pPr>
      <w:r w:rsidRPr="0036019C">
        <w:rPr>
          <w:b/>
        </w:rPr>
        <w:t>2.2 Konteksti dhe analiza e problemit</w:t>
      </w:r>
    </w:p>
    <w:p w14:paraId="7C9126A1" w14:textId="77777777" w:rsidR="00B06BDA" w:rsidRPr="0036019C" w:rsidRDefault="00B06BDA" w:rsidP="00B06BDA">
      <w:pPr>
        <w:ind w:firstLine="284"/>
        <w:rPr>
          <w:rFonts w:ascii="Garamond" w:hAnsi="Garamond"/>
          <w:b/>
          <w:bCs/>
          <w:color w:val="000000" w:themeColor="text1"/>
          <w:lang w:val="sq-AL"/>
        </w:rPr>
      </w:pPr>
      <w:r w:rsidRPr="0036019C">
        <w:rPr>
          <w:rFonts w:ascii="Garamond" w:hAnsi="Garamond"/>
          <w:b/>
          <w:bCs/>
          <w:color w:val="000000" w:themeColor="text1"/>
          <w:lang w:val="sq-AL"/>
        </w:rPr>
        <w:t>Fusha e Mbështetjes #1: Sundimi i ligjit, të drejtat themelore dhe demokracia</w:t>
      </w:r>
    </w:p>
    <w:p w14:paraId="6783F954" w14:textId="77777777" w:rsidR="00B06BDA" w:rsidRPr="0036019C" w:rsidRDefault="00B06BDA" w:rsidP="00B06BDA">
      <w:pPr>
        <w:ind w:firstLine="284"/>
        <w:rPr>
          <w:rFonts w:ascii="Garamond" w:hAnsi="Garamond"/>
          <w:i/>
          <w:iCs/>
          <w:color w:val="000000" w:themeColor="text1"/>
          <w:lang w:val="sq-AL"/>
        </w:rPr>
      </w:pPr>
      <w:r w:rsidRPr="0036019C">
        <w:rPr>
          <w:rFonts w:ascii="Garamond" w:hAnsi="Garamond"/>
          <w:i/>
          <w:iCs/>
          <w:color w:val="000000" w:themeColor="text1"/>
          <w:lang w:val="sq-AL"/>
        </w:rPr>
        <w:t>Sundimi i ligjit-Reforma e Sektorit të Drejtësisë</w:t>
      </w:r>
    </w:p>
    <w:p w14:paraId="4D00FBAF" w14:textId="77777777"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 xml:space="preserve">Reforma e drejtësisë e vitit 2016 në Shqipëri mbetet një nga arritjet më të rëndësishme të vendit drejt forcimit të sundimit të ligjit, pavarësisë gjyqësore dhe përputhjes me standardet evropiane. U nis një proces i gjerë ristrukturimi, me qëllim krijimin e strukturave të reja të qeverisjes për të përmirësuar pavarësinë dhe llogaridhënien dhe për të garantuar menaxhim efektiv të sistemit të drejtësisë. Ndër zhvillimet më kritike institucionale pas reformës, ishte krijimi i Këshillit të Lartë Gjyqësor (KLGj) dhe Këshillit të Lartë të Prokurorisë (KLP). Këto organe u themeluan në vitin 2018 për të garantuar vetëqeverisjen e gjykatave dhe prokurorive, duke përfshirë menaxhimin e pavarur të karrierës gjyqësore, procesin e vlerësimit, ngritjes në detyrë dhe shkarkimit. Për më tepër, Inspektori i Lartë i Drejtësisë (ILD) u themelua në vitin 2020 si institucioni i vetëm përgjegjës për hetimet disiplinore ndaj magjistratëve dhe anëtarëve të Këshillave si pjesë e Gjykatës së Lartë, përfshirë strukturat e SPAK-ut. </w:t>
      </w:r>
    </w:p>
    <w:p w14:paraId="39C43F31" w14:textId="372B51B3"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Procesi i vetingut ka luajtur rol thelbësor në rindërtimin e sistemit gjyqësor, duke garantuar integritetin dhe transparencën dhe aktualisht ndodhet në fazat përfundimtare. Reflektimi mbi rezultatet e tij dhe praktikat më të mira janë të domosdoshme në një kontekst ku ruajtja e nivelit të lartë të llogaridhënies në drejtësi është një qëllim kryesor i reformës së drejtësisë. Ndërsa Gjykata e Lartë aktualisht është e plotësuar me 19 gjyqtarë, vendet e lira në gjyqësor vazhdojnë të mbeten, duke ndikuar në efikasitetin e gjykatave në të gjitha nivelet. Në vitin 2023, vetëm 60.5% e gjyqtarëve ishin në detyrë aktivë dhe Gjykata e Apelit, Tiranë, funksiononte me më pak se 50% të kapacitetit të saj. Mungesa e magjistratëve i ka ngarkuar Shkollës</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 xml:space="preserve">së Magjistraturës përgjegjësi shtesë, e cila ka qenë e detyruar të rrisë pranimin nga 7-12 kandidatë në vit në të paktën 88 për të përmbushur kërkesat e sistemit gjyqësor. </w:t>
      </w:r>
    </w:p>
    <w:p w14:paraId="38B913BE" w14:textId="77777777"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 xml:space="preserve">Një Udhërrëfyes gjyqësor u zbatua midis shkurtit dhe korrikut 2023 për të optimizuar burimet dhe për të përmirësuar efikasitetin. Kjo reformë bashkoi gjashtë gjykata apeli në një Gjykatë të vetme Apeli në Tiranë dhe uli numrin e gjykatave të shkallës së parë nga 22 në 13. Në të njëjtën kohë, ajo uli Gjykatat Administrative të Shkallës së Parë nga 6 në dy, duke ruajtur vetëm një Gjykatë Administrative Apeli. Ndërsa organet e vetingut po i afrohen fundit të mandatit të tyre, përgjegjësia </w:t>
      </w:r>
      <w:r w:rsidRPr="0036019C">
        <w:rPr>
          <w:rFonts w:ascii="Garamond" w:hAnsi="Garamond"/>
          <w:color w:val="000000" w:themeColor="text1"/>
          <w:lang w:val="sq-AL"/>
        </w:rPr>
        <w:lastRenderedPageBreak/>
        <w:t>për mbikëqyrjen gjyqësore po kalon te Këshilli i Lartë Gjyqësor (KLGJ), Këshilli i Lartë i Prokurorisë (KLP) dhe Inspektori i Lartë i Drejtësisë (ILD).</w:t>
      </w:r>
    </w:p>
    <w:p w14:paraId="2F372ACE" w14:textId="49DDCA95"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Këto institucione kërkojnë mbështetje të vazhdueshme për të siguruar që të përparojnë më tej në zbatimin e reformës, të ruajnë nivelin më të lartë të integritetit dhe të vazhdojnë zbatimin e standardeve të larta etike dhe të transparencës, të përcaktuara gjatë procesit të vetingut. Inspektori i Lartë i Drejtësisë (ILD), i cili është përgjegjës për mbikëqyrjen disiplinore, përballet me kufizime në kapacitete, veçanërisht në plotësimin e pozicioneve kyçe. Prokuroria e Posaçme (ZPP) ka bërë përparim të konsiderueshëm në trajtimin e rasteve të profilit të lartë të korrupsionit dhe krimit të organizuar. Megjithatë, dobësitë institucionale vazhdojnë, duke pasur parasysh zgjerimin e kapaciteteve hetimore të Zyrës Kombëtare të Hetimit (ZKH).</w:t>
      </w:r>
    </w:p>
    <w:p w14:paraId="7271DEF3" w14:textId="54EB8E52"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 xml:space="preserve">Ministria e Drejtësisë (MD) luan rol thelbësor në koordinimin e reformave gjyqësore, përafrimin e legjislacionit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-në e BE-së, koordinimin e politikave, si dhe garantimin e funksionimit të duhur të çështjeve gjyqësore përkatëse, si ndihma juridike falas, shërbimet e provës ose profesionet e lira juridike, veçanërisht përdorimi alternativ i zgjidhjes së mosmarrëveshjeve. Megjithatë, mbeten ende pak sfida në lidhje me përmirësimin e hartimit ligjor, planifikimin strategjik, kapacitetet e raportimit dhe komunikimin strategjik mbi reforma të ndryshme, zgjerimin e shërbimeve juridike falas dhe cilësinë e profesioneve juridike falas, duke përfshirë reformat që lidhen me drejtësinë penale. </w:t>
      </w:r>
    </w:p>
    <w:p w14:paraId="1583005F" w14:textId="77777777"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Efikasiteti gjyqësor mbetet një çështje thelbësore, e ndikuar kryesisht nga burimet njerëzore, lehtësirat, menaxhimi i burimeve njerëzore të kufizuara, mungesa e politikave të qeverisjes së koordinuara mirë, cilësia e trajnimeve dhe vendimmarrja në kohë dhe me ndikim nga të gjitha institucionet përkatëse. Si e tillë, kjo rezulton në një akumulim çështjesh të trajtuara me vonesë në të gjitha gjykatat, kohëzgjatje të procedurave, vonesë në publikimin e vendimeve të arsyetuara, cilësi të vendimeve, akses të kufizuar efektiv në informacion dhe dobësim të shërbimeve gjyqësore.</w:t>
      </w:r>
    </w:p>
    <w:p w14:paraId="5DB20C29"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Inspektori i Lartë i Drejtësisë, i cili është përgjegjës për kryerjen e hetimeve disiplinore, përballet me sfida të lidhura me burimet njerëzore dhe me nevojën për standardizim më të avancuar të procedurave dhe metodave, të cilat mundësojnë një vlerësim të hollësishëm të një çështje specifike, përfshirë verifikime të rregullta të të dhënave të deklarimeve të pasurisë. Për më tepër, administratës gjyqësore i mungon një sistem i integruar për menaxhimin e çështjeve, kryetarë gjykatash në të gjitha nivelet, përveç Gjykatës së Lartë, si dhe një udhërrëfyes për politika të koordinuara që do të përmirësonin cilësinë e menaxhimit dhe vendimmarrjes së gjykatave. Ky udhërrëfyes gjithëpërfshirës dhe zbatimi i tij kërkon një koordinim të përmirësuar midis të gjitha palëve përkatëse, por kryesisht midis Këshillit të Lartë Gjyqësor (KLGj), Këshillit të Lartë të Prokurorisë (KLP), Inspektorit të Lartë të Drejtësisë (ILD) dhe Shkollës së Magjistraturës (ShM).</w:t>
      </w:r>
    </w:p>
    <w:p w14:paraId="12895DF5" w14:textId="572D6E22"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Sipas dispozitave ligjore pas reformës së drejtësisë, raportimi i rregullt dhe mbledhja e të dhënave janë aktualisht një praktikë e zakonshme në të gjitha institucionet e drejtësisë, veçanërisht për shkak të detyrimit të tyre vjetor për të raportuar në parlament. Mungesa e një sistemi të integruar për menaxhimin e çështjeve, si dhe e një akti unik dhe gjithëpërfshirës rregullator për statistikat gjyqësore, bën që të dhënat e raportuara të mos jenë plotësisht të besueshme, pasi nuk lejojnë një analizë gjithëpërfshirëse dhe hartim politikash mbi këtë bazë në të gjitha nivelet. Si rezultat, roli i Ministrisë së Drejtësisë në koordinimin e politikave të sektorit të drejtësisë dobësohet</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nga kapaciteti i kufizuar analitik, boshllëqet në koordinimin me donatorët dhe komunikimi publik joefektiv, të cilat të gjitha dëmtojnë përpjekjet për ndërtimin e besimit në sistemin e drejtësisë. </w:t>
      </w:r>
    </w:p>
    <w:p w14:paraId="2FC15FC8" w14:textId="2A2428F0"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Sistemet e drejtësisë për të miturit dhe lirimit me kusht kanë kaluar</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nëpër reforma, por mbeten sfida në zbatimin e tyre. Korniza e drejtësisë për të miturit në Shqipëri përputhet me standardet ndërkombëtare, megjithatë vazhdojnë boshllëqet në sigurimin e një procesi ligjor të përshtatshëm për fëmijët dhe zbatimin e politikave të duhura dhe të koordinuara në të gjitha nivelet. Sistemi i lirimit me kusht, i cili luan një rol thelbësor në dënimet alternative, pengohet nga praktikat administrative të vjetruara, përfshirë mungesën e proceseve dhe dokumenteve të digjitalizuara, mungesën e burimeve njerëzore, trajnimeve dhe alokimeve buxhetore. Ndërsa </w:t>
      </w:r>
      <w:r w:rsidRPr="0036019C">
        <w:rPr>
          <w:rFonts w:ascii="Garamond" w:hAnsi="Garamond"/>
          <w:color w:val="000000" w:themeColor="text1"/>
          <w:lang w:val="sq-AL"/>
        </w:rPr>
        <w:lastRenderedPageBreak/>
        <w:t xml:space="preserve">aktualisht arkiva e lirimit me kusht është tërësisht në </w:t>
      </w:r>
      <w:r w:rsidR="0070324F" w:rsidRPr="0036019C">
        <w:rPr>
          <w:rFonts w:ascii="Garamond" w:hAnsi="Garamond"/>
          <w:color w:val="000000" w:themeColor="text1"/>
          <w:lang w:val="sq-AL"/>
        </w:rPr>
        <w:t>dokumente</w:t>
      </w:r>
      <w:r w:rsidRPr="0036019C">
        <w:rPr>
          <w:rFonts w:ascii="Garamond" w:hAnsi="Garamond"/>
          <w:color w:val="000000" w:themeColor="text1"/>
          <w:lang w:val="sq-AL"/>
        </w:rPr>
        <w:t xml:space="preserve"> shkresore, mungesa e burimeve njerëzore dhe e hartimit të politikave krijon një sistem që nuk është plotësisht efektiv dhe paraqet rreziqe sigurie.</w:t>
      </w:r>
    </w:p>
    <w:p w14:paraId="288459FE" w14:textId="77777777"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Edukimi ligjor kryhet nëpërmjet arsimit fillor në Fakultetin e Drejtësisë dhe arsimit të specializuar vetëm për gjyqtarët, prokurorët dhe këshilltarët ligjorë në Shkollën e Magjistraturës. Shkolla e Magjistraturës është pika e vetme e hyrjes në sistemin gjyqësor dhe si e tillë përbën pjesë themelore të cilësisë dhe integritetit të sistemit të drejtësisë. Ajo ofron trajnim fillestar për tre vjet për të gjithë gjyqtarët dhe prokurorët, si dhe trajnim të vazhdueshëm gjatë gjithë karrierës së gjyqtarëve dhe prokurorëve. Roli dhe kompetencat e Shkollës së Magjistraturës janë rritur që nga miratimi i reformës në drejtësi dhe si të tilla kanë sjellë nevojën për të rishikuar burimet e saj njerëzore, menaxhimin e brendshëm, cilësinë e trajnimeve që përshtaten me një realitet më dinamik në gjyqësor dhe pasqyrojnë sfidat e tij, duke nxitur trajnime të bazuara në aftësi dhe reflektim mbi provimin e pranimit.</w:t>
      </w:r>
    </w:p>
    <w:p w14:paraId="787D330C" w14:textId="77777777" w:rsidR="00B06BDA" w:rsidRPr="0036019C" w:rsidRDefault="00B06BDA" w:rsidP="00B06BDA">
      <w:pPr>
        <w:ind w:firstLine="284"/>
        <w:rPr>
          <w:rFonts w:ascii="Garamond" w:hAnsi="Garamond"/>
          <w:i/>
          <w:iCs/>
          <w:color w:val="000000" w:themeColor="text1"/>
          <w:lang w:val="sq-AL"/>
        </w:rPr>
      </w:pPr>
      <w:r w:rsidRPr="0036019C">
        <w:rPr>
          <w:rFonts w:ascii="Garamond" w:hAnsi="Garamond"/>
          <w:i/>
          <w:iCs/>
          <w:color w:val="000000" w:themeColor="text1"/>
          <w:lang w:val="sq-AL"/>
        </w:rPr>
        <w:t>Të drejtat themelore</w:t>
      </w:r>
    </w:p>
    <w:p w14:paraId="761C4207" w14:textId="7288F847"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 xml:space="preserve">Në Planin Kombëtar për Integrimin Evropian 2024-2026, Qeveria e Shqipërisë deklaroi angazhimin e saj të plotë për mbrojtjen dhe promovimin e të drejtave themelore të njeriut dhe për përputhshmërinë me detyrimet ndërkombëtare sipas sistemit të OKB-së,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-së së BE-së dhe standardeve të Këshillit të Evropës. Masa specifike për mbrojtjen dhe promovimin e të dhënave personale, lirinë e shprehjes, përfshirë lirinë dhe pluralizmin e mediave, antidiskriminimin, barazinë gjinore dhe të drejtat e grave, të drejtat e fëmijëve, të drejtat e pronës, të drejtat procedurale dhe të drejtat e viktimave të krimit janë të përcaktuara qartë në këtë dokument.</w:t>
      </w:r>
    </w:p>
    <w:p w14:paraId="351DEB53" w14:textId="58142478" w:rsidR="00B06BDA" w:rsidRPr="0036019C" w:rsidRDefault="00B06BDA" w:rsidP="00B06BDA">
      <w:pPr>
        <w:tabs>
          <w:tab w:val="num" w:pos="720"/>
        </w:tabs>
        <w:ind w:firstLine="284"/>
        <w:jc w:val="both"/>
        <w:rPr>
          <w:rFonts w:ascii="Garamond" w:hAnsi="Garamond"/>
          <w:color w:val="000000" w:themeColor="text1"/>
          <w:lang w:val="sq-AL"/>
        </w:rPr>
      </w:pPr>
      <w:r w:rsidRPr="0036019C">
        <w:rPr>
          <w:rFonts w:ascii="Garamond" w:hAnsi="Garamond"/>
          <w:color w:val="000000" w:themeColor="text1"/>
          <w:lang w:val="sq-AL"/>
        </w:rPr>
        <w:t xml:space="preserve">Për më tepër, </w:t>
      </w:r>
      <w:r w:rsidR="00A208E8" w:rsidRPr="0036019C">
        <w:rPr>
          <w:rFonts w:ascii="Garamond" w:hAnsi="Garamond"/>
          <w:color w:val="000000" w:themeColor="text1"/>
          <w:lang w:val="sq-AL"/>
        </w:rPr>
        <w:t>Udh</w:t>
      </w:r>
      <w:r w:rsidR="00A208E8" w:rsidRPr="0036019C">
        <w:rPr>
          <w:rFonts w:ascii="Garamond" w:eastAsia="Segoe UI Symbol" w:hAnsi="Garamond"/>
          <w:color w:val="000000" w:themeColor="text1"/>
          <w:lang w:val="sq-AL"/>
        </w:rPr>
        <w:t xml:space="preserve">ërrëfyesi </w:t>
      </w:r>
      <w:r w:rsidRPr="0036019C">
        <w:rPr>
          <w:rFonts w:ascii="Garamond" w:eastAsia="Segoe UI Symbol" w:hAnsi="Garamond"/>
          <w:color w:val="000000" w:themeColor="text1"/>
          <w:lang w:val="sq-AL"/>
        </w:rPr>
        <w:t>për Sundimin e Ligjit</w:t>
      </w:r>
      <w:r w:rsidRPr="00A208E8">
        <w:rPr>
          <w:rFonts w:ascii="Garamond" w:hAnsi="Garamond"/>
          <w:color w:val="000000" w:themeColor="text1"/>
          <w:vertAlign w:val="superscript"/>
          <w:lang w:val="sq-AL"/>
        </w:rPr>
        <w:footnoteReference w:id="13"/>
      </w:r>
      <w:r w:rsidRPr="0036019C">
        <w:rPr>
          <w:rFonts w:ascii="Garamond" w:hAnsi="Garamond"/>
          <w:color w:val="000000" w:themeColor="text1"/>
          <w:lang w:val="sq-AL"/>
        </w:rPr>
        <w:t xml:space="preserve"> përcakton prioritetet për vazhdimin e përafrimit të kuadrit ligjor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 të BE-së, forcimin e kapaciteteve të institucioneve të të drejtave të njeriut dhe mundësimin e mbledhjes së të dhënave në fushën e të drejtave themelore, si dhe përmirësimin e mëtejshëm të të drejtave të personave të dënuar, të ndaluar ose të paraburgosur. Raporti Vjetor për Shqipërinë 2023 dhe raporti i shqyrtimit për Klasterin 1 mbi Bazat, ndonëse pranojnë se kuadri ligjor i Shqipërisë përbën një bazë të përgjithshme të mirë për mbrojtjen e të drejtave themelore, arritën në përfundimin se përpjekjet duhet të intensifikohen në nivel zbatimi. Raporti theksoi se Shqipëria “duhet të zhvillojë një sistem gjithëpërfshirës monitorimi dhe mbledhjeje të të dhënave për të vlerësuar nivelin e zbatimit të legjislacionit, politikave dhe strategjive të të drejtave të njeriut”</w:t>
      </w:r>
      <w:r w:rsidRPr="0036019C">
        <w:rPr>
          <w:rFonts w:ascii="Garamond" w:hAnsi="Garamond"/>
          <w:color w:val="000000" w:themeColor="text1"/>
          <w:vertAlign w:val="superscript"/>
          <w:lang w:val="sq-AL"/>
        </w:rPr>
        <w:footnoteReference w:id="14"/>
      </w:r>
      <w:r w:rsidRPr="0036019C">
        <w:rPr>
          <w:rFonts w:ascii="Garamond" w:hAnsi="Garamond"/>
          <w:color w:val="000000" w:themeColor="text1"/>
          <w:lang w:val="sq-AL"/>
        </w:rPr>
        <w:t xml:space="preserve">. </w:t>
      </w:r>
    </w:p>
    <w:p w14:paraId="57D98E77" w14:textId="5A25B9F0" w:rsidR="00B06BDA" w:rsidRPr="0036019C" w:rsidRDefault="00B06BDA" w:rsidP="00B06BDA">
      <w:pPr>
        <w:tabs>
          <w:tab w:val="num" w:pos="720"/>
        </w:tabs>
        <w:ind w:firstLine="284"/>
        <w:jc w:val="both"/>
        <w:rPr>
          <w:rFonts w:ascii="Garamond" w:hAnsi="Garamond"/>
          <w:color w:val="000000" w:themeColor="text1"/>
          <w:lang w:val="sq-AL"/>
        </w:rPr>
      </w:pPr>
      <w:bookmarkStart w:id="1" w:name="_Hlk178667963"/>
      <w:r w:rsidRPr="0036019C">
        <w:rPr>
          <w:rFonts w:ascii="Garamond" w:hAnsi="Garamond"/>
          <w:color w:val="000000" w:themeColor="text1"/>
          <w:lang w:val="sq-AL"/>
        </w:rPr>
        <w:t xml:space="preserve">Në fushën e të drejtave themelore, Ministria e Drejtësisë është institucioni kryesor përgjegjës për raportimin në Komisionin Evropian në kuadër të Kapitullit 23 “Drejtësia dhe të Drejtat Themelore”, përfshirë edhe në Agjencinë e Bashkimit Evropian për të Drejtat Themelore (FRA). Aktorë të tjerë kryesorë shtetërorë janë: Ministria e Shëndetësisë dhe Mbrojtjes Sociale si organi publik kryesor përgjegjës për hartimin e politikave mbi çështje të ndryshme të barazisë gjinore, të drejtave të fëmijëve, të drejtave të personave me aftësi të kufizuara dhe të drejtave të pakicave, si dhe për detyrat e raportimit mbi zbatimin e Konventave të ndryshme (CEDAW </w:t>
      </w:r>
      <w:r w:rsidRPr="0036019C">
        <w:rPr>
          <w:rFonts w:ascii="Garamond" w:hAnsi="Garamond"/>
          <w:i/>
          <w:iCs/>
          <w:color w:val="000000" w:themeColor="text1"/>
          <w:lang w:val="sq-AL"/>
        </w:rPr>
        <w:t>(Konventa për Eliminimin e të gjitha Formave të Diskriminimit ndaj Grave),</w:t>
      </w:r>
      <w:r w:rsidRPr="0036019C">
        <w:rPr>
          <w:rFonts w:ascii="Garamond" w:hAnsi="Garamond"/>
          <w:color w:val="000000" w:themeColor="text1"/>
          <w:lang w:val="sq-AL"/>
        </w:rPr>
        <w:t xml:space="preserve"> Konventa e Stambollit, mbi të Drejtat e Fëmijës etj</w:t>
      </w:r>
      <w:r w:rsidR="0070324F">
        <w:rPr>
          <w:rFonts w:ascii="Garamond" w:hAnsi="Garamond"/>
          <w:color w:val="000000" w:themeColor="text1"/>
          <w:lang w:val="sq-AL"/>
        </w:rPr>
        <w:t>.</w:t>
      </w:r>
      <w:r w:rsidRPr="0036019C">
        <w:rPr>
          <w:rFonts w:ascii="Garamond" w:hAnsi="Garamond"/>
          <w:color w:val="000000" w:themeColor="text1"/>
          <w:lang w:val="sq-AL"/>
        </w:rPr>
        <w:t>); Ministria e Arsimit dhe Sportit; Ministria përgjegjëse për punësimin dhe Ministria e Brendshme. Parlamenti Shqiptar, INSTAT, Avokati i Popullit (Institucioni Kombëtar për të Drejtat e Njeriut-NHRI), organet rregullatore të pavarura, shoqatat e autoriteteve vendore dhe Këshillat Kombëtarë të ndryshëm të angazhuar në dialog politik, si dhe organizatat e shoqërisë civile, janë</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aktorë të rëndësishëm.</w:t>
      </w:r>
    </w:p>
    <w:bookmarkEnd w:id="1"/>
    <w:p w14:paraId="503B57BA" w14:textId="77777777" w:rsidR="00B06BDA" w:rsidRPr="0036019C" w:rsidRDefault="00B06BDA" w:rsidP="00B06BDA">
      <w:pPr>
        <w:ind w:firstLine="284"/>
        <w:rPr>
          <w:rFonts w:ascii="Garamond" w:hAnsi="Garamond"/>
          <w:i/>
          <w:iCs/>
          <w:color w:val="000000" w:themeColor="text1"/>
          <w:lang w:val="sq-AL"/>
        </w:rPr>
      </w:pPr>
      <w:r w:rsidRPr="0036019C">
        <w:rPr>
          <w:rFonts w:ascii="Garamond" w:hAnsi="Garamond"/>
          <w:i/>
          <w:iCs/>
          <w:color w:val="000000" w:themeColor="text1"/>
          <w:lang w:val="sq-AL"/>
        </w:rPr>
        <w:t>Zbatimi i ligjit</w:t>
      </w:r>
    </w:p>
    <w:p w14:paraId="0FA15503" w14:textId="6EA8E97F"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Angazhimi i Qeverisë së Shqipërisë për forcimin e sundimit të ligjit është detajuar në Udhërrëfyesin për Sundimin e Ligjit 2024</w:t>
      </w:r>
      <w:r w:rsidR="0070324F">
        <w:rPr>
          <w:rFonts w:ascii="Garamond" w:hAnsi="Garamond"/>
          <w:color w:val="000000" w:themeColor="text1"/>
          <w:lang w:val="sq-AL"/>
        </w:rPr>
        <w:t>–</w:t>
      </w:r>
      <w:r w:rsidRPr="0036019C">
        <w:rPr>
          <w:rFonts w:ascii="Garamond" w:hAnsi="Garamond"/>
          <w:color w:val="000000" w:themeColor="text1"/>
          <w:lang w:val="sq-AL"/>
        </w:rPr>
        <w:t>2030, i cili u miratua në dhjetor 2023</w:t>
      </w:r>
      <w:r w:rsidRPr="00C347BB">
        <w:rPr>
          <w:rFonts w:ascii="Garamond" w:hAnsi="Garamond"/>
          <w:color w:val="000000" w:themeColor="text1"/>
          <w:vertAlign w:val="superscript"/>
          <w:lang w:val="sq-AL"/>
        </w:rPr>
        <w:footnoteReference w:id="15"/>
      </w:r>
      <w:r w:rsidRPr="0036019C">
        <w:rPr>
          <w:rFonts w:ascii="Garamond" w:hAnsi="Garamond"/>
          <w:color w:val="000000" w:themeColor="text1"/>
          <w:lang w:val="sq-AL"/>
        </w:rPr>
        <w:t xml:space="preserve"> dhe përcakton </w:t>
      </w:r>
      <w:r w:rsidRPr="0036019C">
        <w:rPr>
          <w:rFonts w:ascii="Garamond" w:hAnsi="Garamond"/>
          <w:color w:val="000000" w:themeColor="text1"/>
          <w:lang w:val="sq-AL"/>
        </w:rPr>
        <w:lastRenderedPageBreak/>
        <w:t xml:space="preserve">reforma ambicioze, përfshirë luftën kundër mashtrimit, parandalimin e pastrimit të parave, korrupsionit dhe krimit të organizuar. </w:t>
      </w:r>
    </w:p>
    <w:p w14:paraId="3B4710C8" w14:textId="66502631"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Kuadri ligjor bazohet kryesisht në Kushtetutën, Kodin Penal dhe Kodin e Procedurës Penale, së bashku me legjislacion specifik, si </w:t>
      </w:r>
      <w:r w:rsidR="0070324F" w:rsidRPr="0036019C">
        <w:rPr>
          <w:rFonts w:ascii="Garamond" w:hAnsi="Garamond"/>
          <w:color w:val="000000" w:themeColor="text1"/>
          <w:lang w:val="sq-AL"/>
        </w:rPr>
        <w:t>ligji nr</w:t>
      </w:r>
      <w:r w:rsidRPr="0036019C">
        <w:rPr>
          <w:rFonts w:ascii="Garamond" w:hAnsi="Garamond"/>
          <w:color w:val="000000" w:themeColor="text1"/>
          <w:lang w:val="sq-AL"/>
        </w:rPr>
        <w:t>. 10 192, datë 3.12.2009</w:t>
      </w:r>
      <w:r w:rsidR="0070324F">
        <w:rPr>
          <w:rFonts w:ascii="Garamond" w:hAnsi="Garamond"/>
          <w:color w:val="000000" w:themeColor="text1"/>
          <w:lang w:val="sq-AL"/>
        </w:rPr>
        <w:t>,</w:t>
      </w:r>
      <w:r w:rsidRPr="0036019C">
        <w:rPr>
          <w:rFonts w:ascii="Garamond" w:hAnsi="Garamond"/>
          <w:color w:val="000000" w:themeColor="text1"/>
          <w:lang w:val="sq-AL"/>
        </w:rPr>
        <w:t xml:space="preserve"> “Për parandalimin dhe goditjen e krimit të organizuar dhe trafikimit nëpërmjet masave parandaluese kundër pasurive” (Ligji </w:t>
      </w:r>
      <w:r w:rsidR="0070324F">
        <w:rPr>
          <w:rFonts w:ascii="Garamond" w:hAnsi="Garamond"/>
          <w:color w:val="000000" w:themeColor="text1"/>
          <w:lang w:val="sq-AL"/>
        </w:rPr>
        <w:t>Anti</w:t>
      </w:r>
      <w:r w:rsidRPr="0036019C">
        <w:rPr>
          <w:rFonts w:ascii="Garamond" w:hAnsi="Garamond"/>
          <w:color w:val="000000" w:themeColor="text1"/>
          <w:lang w:val="sq-AL"/>
        </w:rPr>
        <w:t>Mafia). “Strategjia për Luftën Kundër Krimit të Organizuar dhe Krimeve të Rënda 2021-2025” përcakton objektiva specifikisht për luftën kundër lëndëve narkotike, krimit ekonomik dhe pastrimit të parave. Shqipëria ka miratuar</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një “Strategji Kombëtare për Parandalimin e Pastrimit të Parave dhe Financimin e Terrorizmit 2024</w:t>
      </w:r>
      <w:r w:rsidR="003450F5">
        <w:rPr>
          <w:rFonts w:ascii="Garamond" w:hAnsi="Garamond"/>
          <w:color w:val="000000" w:themeColor="text1"/>
          <w:lang w:val="sq-AL"/>
        </w:rPr>
        <w:t>–</w:t>
      </w:r>
      <w:r w:rsidRPr="0036019C">
        <w:rPr>
          <w:rFonts w:ascii="Garamond" w:hAnsi="Garamond"/>
          <w:color w:val="000000" w:themeColor="text1"/>
          <w:lang w:val="sq-AL"/>
        </w:rPr>
        <w:t xml:space="preserve">2030”, zbatimi i së cilës koordinohet nga Njësia e Inteligjencës Financiare. Edhe pse Shqipëria u hoq nga lista e vendeve të monitoruara të FATF/GPVF (Grupi i Posaçëm i Veprimit Financiar) në 2024, përputhshmëria e vazhdueshme me standardet e BE-së dhe ato ndërkombëtare mbetet një prioritet. Vazhdon të ketë sfida në zbatimin e ligjeve për pastrimin e parave dhe zbatimin e plotë të regjistrit të pronarëve përfitues. Nevojiten përpjekje të mëtejshme për t’u përafruar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-n e BE-së mbi rikuperimin dhe sekuestrimin e pasurive dhe për të pasur një Zyrë plotësisht funksionale për Rikuperimin e Aseteve (ARO/ZRA).</w:t>
      </w:r>
    </w:p>
    <w:p w14:paraId="305BA771" w14:textId="61CE2BED" w:rsidR="00B06BDA" w:rsidRPr="0036019C" w:rsidRDefault="00B06BDA" w:rsidP="00B06BDA">
      <w:pPr>
        <w:pStyle w:val="NormalWeb"/>
        <w:spacing w:before="0" w:beforeAutospacing="0" w:after="0" w:afterAutospacing="0"/>
        <w:ind w:firstLine="284"/>
        <w:rPr>
          <w:rFonts w:ascii="Garamond" w:hAnsi="Garamond"/>
          <w:color w:val="000000" w:themeColor="text1"/>
          <w:lang w:val="sq-AL" w:eastAsia="en-US"/>
        </w:rPr>
      </w:pPr>
      <w:r w:rsidRPr="0036019C">
        <w:rPr>
          <w:rFonts w:ascii="Garamond" w:hAnsi="Garamond"/>
          <w:color w:val="000000" w:themeColor="text1"/>
          <w:lang w:val="sq-AL"/>
        </w:rPr>
        <w:t xml:space="preserve">Qeveria e Shqipërisë ka prioritizuar luftën kundër korrupsionit dhe krimit të organizuar në </w:t>
      </w:r>
      <w:r w:rsidR="000F72F0" w:rsidRPr="0036019C">
        <w:rPr>
          <w:rFonts w:ascii="Garamond" w:hAnsi="Garamond"/>
          <w:color w:val="000000" w:themeColor="text1"/>
          <w:lang w:val="sq-AL"/>
        </w:rPr>
        <w:t>agjend</w:t>
      </w:r>
      <w:r w:rsidRPr="0036019C">
        <w:rPr>
          <w:rFonts w:ascii="Garamond" w:hAnsi="Garamond"/>
          <w:color w:val="000000" w:themeColor="text1"/>
          <w:lang w:val="sq-AL"/>
        </w:rPr>
        <w:t>ën e saj kryesore politike</w:t>
      </w:r>
      <w:r w:rsidRPr="0036019C">
        <w:rPr>
          <w:rFonts w:ascii="Garamond" w:hAnsi="Garamond"/>
          <w:color w:val="000000" w:themeColor="text1"/>
          <w:lang w:val="sq-AL" w:eastAsia="en-US"/>
        </w:rPr>
        <w:t xml:space="preserve">; megjithatë, lufta efektive kundër krimit të organizuar dhe korrupsionit pengohet nga zbatimi i papërshtatshëm i kuadrit ligjor dhe rregullator ekzistues. </w:t>
      </w:r>
      <w:r w:rsidRPr="0036019C">
        <w:rPr>
          <w:rFonts w:ascii="Garamond" w:hAnsi="Garamond"/>
          <w:color w:val="000000" w:themeColor="text1"/>
          <w:lang w:val="sq-AL"/>
        </w:rPr>
        <w:t>Mekanizmat e raportimit dhe monitorimit të politikave dhe strategjive kombëtare janë të dobëta, çka ndikon negativisht në një proces vendimmarrjeje të bazuar mbi informacion të saktë</w:t>
      </w:r>
      <w:r w:rsidRPr="0036019C">
        <w:rPr>
          <w:rFonts w:ascii="Garamond" w:hAnsi="Garamond"/>
          <w:color w:val="000000" w:themeColor="text1"/>
          <w:lang w:val="sq-AL" w:eastAsia="en-US"/>
        </w:rPr>
        <w:t xml:space="preserve">. Mekanizmat e zbatimit për sekuestrimin parandalues, konfiskimin pa bazë dënimi dhe konfiskimin ndaj palëve të treta nuk janë zbatuar plotësisht. </w:t>
      </w:r>
      <w:r w:rsidRPr="0036019C">
        <w:rPr>
          <w:rFonts w:ascii="Garamond" w:hAnsi="Garamond"/>
          <w:color w:val="000000" w:themeColor="text1"/>
          <w:lang w:val="sq-AL"/>
        </w:rPr>
        <w:t>Kjo përfshin ndjekjen e qarkullimeve/lëvizjeve financiare që mbështesin organizatat kriminale, zbatimin e detyrimeve të transparencës sipas regjistrit të pronarëve përfitues, si dhe arritjen e rezultateve më të forta në ndjekjen dhe dënimin e rasteve të pastrimit të parave. Zbatimi i ligjit për krimet mjedisore në Shqipëri është i dobët për shkak të mangësive strukturore, financimit të kufizuar dhe mungesës së ekspertizës. Inspektimet dhe monitorimi mbeten të dobët, çka dobëson edhe më tej efektivitetin e zbatimit</w:t>
      </w:r>
      <w:r w:rsidRPr="0036019C">
        <w:rPr>
          <w:rFonts w:ascii="Garamond" w:hAnsi="Garamond"/>
          <w:color w:val="000000" w:themeColor="text1"/>
          <w:lang w:val="sq-AL" w:eastAsia="en-US"/>
        </w:rPr>
        <w:t>.</w:t>
      </w:r>
    </w:p>
    <w:p w14:paraId="47336B46" w14:textId="58153000"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Gjithashtu, Akademia e Sigurisë së Shqipërisë përballet me mungesë trajnerësh të specializuar dhe përdor kurrikula të vjetruara, të cilat pengojnë zhvillimin profesional të vazhdueshëm dhe specializimin e agjentëve të zbatimit të ligjit. Po ashtu, Shkolla e Magjistraturës duhet të sigurojë përditësimin e vazhdueshëm të kurrikulave, si dhe forcimin e ekspertizës së brendshme për të garantuar zhvillimin profesional të qëndrueshëm të prokurorëve dhe gjyqtarëve, përfshirë edhe fushat e krimit kibernetik dhe krimeve mjedisore. </w:t>
      </w:r>
    </w:p>
    <w:p w14:paraId="1AA73260" w14:textId="4E12ED5A"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 Shqipëri, institucione të shumta janë</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angazhuar në luftën kundër krimit të organizuar, përkatësisht Ministria e Brendshme (MB), Drejtoria e Përgjithshme e Policisë së Shtetit (ASP/DPPSH), Agjencia për Administrimin e Pronës së Sekuestruar dhe të Konfiskuar, Prokuroria e Posaçme Kundër Korrupsionit dhe Krimit të Organizuar (SPAK) dhe Prokuroria e Përgjithshme. Për më tepër, departamente specifike në ASP dhe Inspektorati Kombëtar për Kontrollin e Territorit janë të angazhuara në inspektimin dhe parandalimin e krimeve mjedisore. Ministria e Financave</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luan një rol vendimtar, veçanërisht përmes Njësisë së Inteligjencës Financiare (FIU/NjIF) dhe Administratës Doganore Shqiptare.</w:t>
      </w:r>
      <w:r w:rsidR="000F72F0" w:rsidRPr="0036019C">
        <w:rPr>
          <w:rFonts w:ascii="Garamond" w:hAnsi="Garamond"/>
          <w:color w:val="000000" w:themeColor="text1"/>
          <w:lang w:val="sq-AL"/>
        </w:rPr>
        <w:t xml:space="preserve"> </w:t>
      </w:r>
    </w:p>
    <w:p w14:paraId="1B444D77" w14:textId="77777777" w:rsidR="00B06BDA" w:rsidRPr="0036019C" w:rsidRDefault="00B06BDA" w:rsidP="00B06BDA">
      <w:pPr>
        <w:ind w:firstLine="284"/>
        <w:rPr>
          <w:rFonts w:ascii="Garamond" w:hAnsi="Garamond"/>
          <w:i/>
          <w:iCs/>
          <w:color w:val="000000" w:themeColor="text1"/>
          <w:lang w:val="sq-AL"/>
        </w:rPr>
      </w:pPr>
      <w:r w:rsidRPr="0036019C">
        <w:rPr>
          <w:rFonts w:ascii="Garamond" w:hAnsi="Garamond"/>
          <w:i/>
          <w:iCs/>
          <w:color w:val="000000" w:themeColor="text1"/>
          <w:lang w:val="sq-AL"/>
        </w:rPr>
        <w:t>Demokracia</w:t>
      </w:r>
    </w:p>
    <w:p w14:paraId="265C97BD" w14:textId="734083FA"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Raporti i shqyrtimit i Komisionit të Bashkimit Evropian për Klasterin 1 mbi Themeloret, duke vlerësuar funksionimin e Parlamentit Shqiptar (f.</w:t>
      </w:r>
      <w:r w:rsidR="0070324F">
        <w:rPr>
          <w:rFonts w:ascii="Garamond" w:hAnsi="Garamond"/>
          <w:color w:val="000000" w:themeColor="text1"/>
          <w:lang w:val="sq-AL"/>
        </w:rPr>
        <w:t xml:space="preserve"> </w:t>
      </w:r>
      <w:r w:rsidRPr="0036019C">
        <w:rPr>
          <w:rFonts w:ascii="Garamond" w:hAnsi="Garamond"/>
          <w:color w:val="000000" w:themeColor="text1"/>
          <w:lang w:val="sq-AL"/>
        </w:rPr>
        <w:t>10</w:t>
      </w:r>
      <w:r w:rsidR="0070324F">
        <w:rPr>
          <w:rFonts w:ascii="Garamond" w:hAnsi="Garamond"/>
          <w:color w:val="000000" w:themeColor="text1"/>
          <w:lang w:val="sq-AL"/>
        </w:rPr>
        <w:t>–</w:t>
      </w:r>
      <w:r w:rsidRPr="0036019C">
        <w:rPr>
          <w:rFonts w:ascii="Garamond" w:hAnsi="Garamond"/>
          <w:color w:val="000000" w:themeColor="text1"/>
          <w:lang w:val="sq-AL"/>
        </w:rPr>
        <w:t xml:space="preserve">17) në monitorimin e zbatimit të ligjeve, politikave, buxheteve publike, përmbushjen e marrëveshjeve ndërkombëtare dhe programeve qeveritare përmes komisioneve parlamentare, pyetjeve parlamentare dhe përdorimit të mjeteve parlamentare si seanca dëgjimore, hetime etj., shprehet se mbikëqyrja e ekzekutivit nga Kuvendi është e kufizuar. I njëjti përfundim nxirret edhe në lidhje me rolin mbikëqyrës të Kuvendit mbi punën e institucioneve të pavarura që kufizohet vetëm në shqyrtimin e raporteve të tyre vjetore. Gjithashtu, vlerësohet e nevojshme monitorimi sistematik i rekomandimeve të institucioneve të </w:t>
      </w:r>
      <w:r w:rsidRPr="0036019C">
        <w:rPr>
          <w:rFonts w:ascii="Garamond" w:hAnsi="Garamond"/>
          <w:color w:val="000000" w:themeColor="text1"/>
          <w:lang w:val="sq-AL"/>
        </w:rPr>
        <w:lastRenderedPageBreak/>
        <w:t>pavarura dhe ndjekja e tyre. Vlerësimet e ndikimit gjinor nuk kryhen rregullisht. Strategjia e Komisionit Qendror të Zgjedhjeve 2022</w:t>
      </w:r>
      <w:r w:rsidR="0070324F">
        <w:rPr>
          <w:rFonts w:ascii="Garamond" w:hAnsi="Garamond"/>
          <w:color w:val="000000" w:themeColor="text1"/>
          <w:lang w:val="sq-AL"/>
        </w:rPr>
        <w:t>–</w:t>
      </w:r>
      <w:r w:rsidRPr="0036019C">
        <w:rPr>
          <w:rFonts w:ascii="Garamond" w:hAnsi="Garamond"/>
          <w:color w:val="000000" w:themeColor="text1"/>
          <w:lang w:val="sq-AL"/>
        </w:rPr>
        <w:t xml:space="preserve">2026 përmend burime të pamjaftueshme, mungesën e stafit të mirë-trajnuar dhe menaxhimin e dobët strategjik si pengesa për efikasitetin zgjedhor, ndërsa janë miratuar dispozita ligjore për më shumë transparencë në financimin e partive politike. Mbeten shqetësime lidhur me përqendrimin e pronësisë së mediave, infiltrimin biznes-politikë dhe mungesën e masave mbrojtëse për rastet SLAPP </w:t>
      </w:r>
      <w:r w:rsidRPr="0036019C">
        <w:rPr>
          <w:rFonts w:ascii="Garamond" w:hAnsi="Garamond"/>
          <w:i/>
          <w:iCs/>
          <w:color w:val="000000" w:themeColor="text1"/>
          <w:lang w:val="sq-AL"/>
        </w:rPr>
        <w:t>(Paditë Strategjike Kundër Pjesëmarrjes Publike),</w:t>
      </w:r>
      <w:r w:rsidRPr="0036019C">
        <w:rPr>
          <w:rFonts w:ascii="Garamond" w:hAnsi="Garamond"/>
          <w:color w:val="000000" w:themeColor="text1"/>
          <w:lang w:val="sq-AL"/>
        </w:rPr>
        <w:t xml:space="preserve"> ndërsa kuadri kombëtar i mediave nuk përputhet me standardet e BE-së. Mediat e pavarura dhe grupet e gazetarëve</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kanë ngritur shqetësime mbi etikën në raportimin lidhur me çështjet gjinore. </w:t>
      </w:r>
    </w:p>
    <w:p w14:paraId="4935E867"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Aktorët kryesorë përfshijnë Parlamentin, Komisionin Qendror të Zgjedhjeve, Autoritetin e Mediave Audiovizive, organet rregullatore të pavarura dhe Aleancën e Grave Deputete. </w:t>
      </w:r>
    </w:p>
    <w:p w14:paraId="3421A0D8" w14:textId="519806B1"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 xml:space="preserve">Fusha e Mbështetjes #2: Qeverisje e mirë, përputhje me </w:t>
      </w:r>
      <w:r w:rsidR="000F72F0" w:rsidRPr="0036019C">
        <w:rPr>
          <w:rFonts w:ascii="Garamond" w:hAnsi="Garamond"/>
          <w:b/>
          <w:bCs/>
          <w:i/>
          <w:iCs/>
          <w:color w:val="000000" w:themeColor="text1"/>
          <w:lang w:val="sq-AL"/>
        </w:rPr>
        <w:t>acquis</w:t>
      </w:r>
      <w:r w:rsidRPr="0036019C">
        <w:rPr>
          <w:rFonts w:ascii="Garamond" w:hAnsi="Garamond"/>
          <w:b/>
          <w:bCs/>
          <w:color w:val="000000" w:themeColor="text1"/>
          <w:lang w:val="sq-AL"/>
        </w:rPr>
        <w:t>-n e BE-së, marrëdhënie të mira fqinjësore dhe komunikim strategjik</w:t>
      </w:r>
    </w:p>
    <w:p w14:paraId="092447C1" w14:textId="77777777" w:rsidR="00B06BDA" w:rsidRPr="0036019C" w:rsidRDefault="00B06BDA" w:rsidP="00B06BDA">
      <w:pPr>
        <w:pStyle w:val="NormalWeb"/>
        <w:spacing w:before="0" w:beforeAutospacing="0" w:after="0" w:afterAutospacing="0"/>
        <w:ind w:firstLine="284"/>
        <w:rPr>
          <w:rFonts w:ascii="Garamond" w:hAnsi="Garamond"/>
          <w:i/>
          <w:iCs/>
          <w:color w:val="000000" w:themeColor="text1"/>
          <w:lang w:val="sq-AL" w:eastAsia="en-US"/>
        </w:rPr>
      </w:pPr>
      <w:r w:rsidRPr="0036019C">
        <w:rPr>
          <w:rFonts w:ascii="Garamond" w:hAnsi="Garamond"/>
          <w:i/>
          <w:iCs/>
          <w:color w:val="000000" w:themeColor="text1"/>
          <w:lang w:val="sq-AL" w:eastAsia="en-US"/>
        </w:rPr>
        <w:t>Shërbimi Civil dhe Menaxhimi i Burimeve Njerëzore</w:t>
      </w:r>
    </w:p>
    <w:p w14:paraId="4FE15CF4" w14:textId="49FB0E7C"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 kuadër të integrimit në BE, Shqipëria miratoi Udhërrëfyesin për Reformën e Administratës Publike 2023-2030</w:t>
      </w:r>
      <w:r w:rsidRPr="0036019C">
        <w:rPr>
          <w:rFonts w:ascii="Garamond" w:hAnsi="Garamond"/>
          <w:b/>
          <w:bCs/>
          <w:color w:val="000000" w:themeColor="text1"/>
          <w:vertAlign w:val="superscript"/>
          <w:lang w:val="sq-AL"/>
        </w:rPr>
        <w:footnoteReference w:id="16"/>
      </w:r>
      <w:r w:rsidRPr="0036019C">
        <w:rPr>
          <w:rFonts w:ascii="Garamond" w:hAnsi="Garamond"/>
          <w:color w:val="000000" w:themeColor="text1"/>
          <w:lang w:val="sq-AL"/>
        </w:rPr>
        <w:t xml:space="preserve"> bazuar në Strategjinë ekzistuese për Reformën e Administratës Publike (PAR)</w:t>
      </w:r>
      <w:r w:rsidRPr="0036019C">
        <w:rPr>
          <w:rStyle w:val="FootnoteReference"/>
          <w:rFonts w:ascii="Garamond" w:hAnsi="Garamond"/>
          <w:color w:val="000000" w:themeColor="text1"/>
          <w:lang w:val="sq-AL"/>
        </w:rPr>
        <w:footnoteReference w:id="17"/>
      </w:r>
      <w:r w:rsidRPr="0036019C">
        <w:rPr>
          <w:rFonts w:ascii="Garamond" w:hAnsi="Garamond"/>
          <w:color w:val="000000" w:themeColor="text1"/>
          <w:lang w:val="sq-AL"/>
        </w:rPr>
        <w:t xml:space="preserve">, Strategjinë e Menaxhimit të Financave Publike (PFM/MFP), Strategjinë e Decentralizimit dhe Qeverisjes Vendore, Strategjinë Antikorrupsion dhe Strategjinë për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ën </w:t>
      </w:r>
      <w:r w:rsidR="007129A2">
        <w:rPr>
          <w:rFonts w:ascii="Garamond" w:hAnsi="Garamond"/>
          <w:color w:val="000000" w:themeColor="text1"/>
          <w:lang w:val="sq-AL"/>
        </w:rPr>
        <w:t>Digjital</w:t>
      </w:r>
      <w:r w:rsidRPr="0036019C">
        <w:rPr>
          <w:rFonts w:ascii="Garamond" w:hAnsi="Garamond"/>
          <w:color w:val="000000" w:themeColor="text1"/>
          <w:lang w:val="sq-AL"/>
        </w:rPr>
        <w:t xml:space="preserve">e. </w:t>
      </w:r>
    </w:p>
    <w:p w14:paraId="13B7CC11" w14:textId="09A88203"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 janar 2024 u krijua pozicioni i Ministrit të Shtetit për Administratën Publike dhe Antikorrupsionin</w:t>
      </w:r>
      <w:r w:rsidRPr="0070324F">
        <w:rPr>
          <w:rFonts w:ascii="Garamond" w:hAnsi="Garamond"/>
          <w:color w:val="000000" w:themeColor="text1"/>
          <w:vertAlign w:val="superscript"/>
          <w:lang w:val="sq-AL"/>
        </w:rPr>
        <w:footnoteReference w:id="18"/>
      </w:r>
      <w:r w:rsidRPr="0070324F">
        <w:rPr>
          <w:rFonts w:ascii="Garamond" w:hAnsi="Garamond"/>
          <w:color w:val="000000" w:themeColor="text1"/>
          <w:lang w:val="sq-AL"/>
        </w:rPr>
        <w:t>.</w:t>
      </w:r>
      <w:r w:rsidRPr="0036019C">
        <w:rPr>
          <w:rFonts w:ascii="Garamond" w:hAnsi="Garamond"/>
          <w:color w:val="000000" w:themeColor="text1"/>
          <w:lang w:val="sq-AL"/>
        </w:rPr>
        <w:t xml:space="preserve"> Ndërkohë që udhëheq njëkohësisht </w:t>
      </w:r>
      <w:r w:rsidR="000F72F0" w:rsidRPr="0036019C">
        <w:rPr>
          <w:rFonts w:ascii="Garamond" w:hAnsi="Garamond"/>
          <w:color w:val="000000" w:themeColor="text1"/>
          <w:lang w:val="sq-AL"/>
        </w:rPr>
        <w:t>agjend</w:t>
      </w:r>
      <w:r w:rsidRPr="0036019C">
        <w:rPr>
          <w:rFonts w:ascii="Garamond" w:hAnsi="Garamond"/>
          <w:color w:val="000000" w:themeColor="text1"/>
          <w:lang w:val="sq-AL"/>
        </w:rPr>
        <w:t>ën qeveritare për zbatimin e politikave mbi menaxhimin dhe ndërtimin e kapaciteteve të burimeve njerëzore në administratën publike, Ministri i Shtetit vepron</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si Koordinator Kombëtar Antikorrupsioni. Ligji për Shërbimin Civil </w:t>
      </w:r>
      <w:r w:rsidR="00C347BB" w:rsidRPr="0036019C">
        <w:rPr>
          <w:rFonts w:ascii="Garamond" w:hAnsi="Garamond"/>
          <w:color w:val="000000" w:themeColor="text1"/>
          <w:lang w:val="sq-AL"/>
        </w:rPr>
        <w:t>nr</w:t>
      </w:r>
      <w:r w:rsidRPr="0036019C">
        <w:rPr>
          <w:rFonts w:ascii="Garamond" w:hAnsi="Garamond"/>
          <w:color w:val="000000" w:themeColor="text1"/>
          <w:lang w:val="sq-AL"/>
        </w:rPr>
        <w:t xml:space="preserve">. 152/2013 parashikon se rekrutimi në shërbimin civil bazohet në parimet e mundësive të barabarta, meritës, aftësisë profesionale dhe mosdiskriminimit. Kritere dhe procedurat e mobilitetit janë të përcaktuara qartë nga ligji dhe garantojnë parimin e orientimit drejt performancës. Pas një reforme të fundit të pagave, po zbatohen programe të veçanta për të tërhequr dhe mbajtur në punë nëpunës civil të kualifikuar. Procesi koordinohet nga Departamenti i Administratës Publike (DPA/DAP). Rritja e profesionalizimit të nëpunësve civilë është një domosdoshmëri që theksohet edhe më shumë nga ndryshimet në administratën publike, si dhe nga ndryshimet legjislative dhe zhvillimet teknologjike, përfshirë aftësitë e veçanta që kërkohen me urgjencë në kuadër të procesit të anëtarësimit në BE. Kjo e bën të nevojshme hartimin e vazhdueshëm të programeve të përditësuara të mësimdhënies dhe zhvillimit për nëpunësit civilë, të cilat kombinojnë trajnimin me prani fizike me platformën </w:t>
      </w:r>
      <w:r w:rsidR="007129A2">
        <w:rPr>
          <w:rFonts w:ascii="Garamond" w:hAnsi="Garamond"/>
          <w:color w:val="000000" w:themeColor="text1"/>
          <w:lang w:val="sq-AL"/>
        </w:rPr>
        <w:t>digjital</w:t>
      </w:r>
      <w:r w:rsidRPr="0036019C">
        <w:rPr>
          <w:rFonts w:ascii="Garamond" w:hAnsi="Garamond"/>
          <w:color w:val="000000" w:themeColor="text1"/>
          <w:lang w:val="sq-AL"/>
        </w:rPr>
        <w:t xml:space="preserve">e të Shkollës Shqiptare të Administratës Publike (ASPA/SSHAP). Sistemi i informacionit për menaxhimin e burimeve njerëzore (HRMIS/SIMBNj) po plotësohet me të dhënat e nevojshme, megjithëse ndodhet ende në fazë të hershme; ai nuk mbulon ende të gjithë sektorin publik, nuk është plotësisht i përditësuar dhe ka ende nevojë të zgjerohet me funksionalitete shtesë. Qeveria po ndjek një proces të vazhdueshëm rishikimi të procedurave administrative, përfshirë </w:t>
      </w:r>
      <w:r w:rsidR="007129A2">
        <w:rPr>
          <w:rFonts w:ascii="Garamond" w:hAnsi="Garamond"/>
          <w:color w:val="000000" w:themeColor="text1"/>
          <w:lang w:val="sq-AL"/>
        </w:rPr>
        <w:t>digjital</w:t>
      </w:r>
      <w:r w:rsidRPr="0036019C">
        <w:rPr>
          <w:rFonts w:ascii="Garamond" w:hAnsi="Garamond"/>
          <w:color w:val="000000" w:themeColor="text1"/>
          <w:lang w:val="sq-AL"/>
        </w:rPr>
        <w:t xml:space="preserve">izimin, riprojektimin e proceseve të biznesit dhe zbatimin e procedurave të përbashkëta administrative. Gjithashtu, qeveria ka nisur një proces të vlerësimit të riskut për integritetin dhe hartimit të planeve të integritetit në institucionet qeveritare në nivel kombëtar dhe lokal, me qëllim adresimin e rreziqeve specifike në aspektin e integritetit dhe korrupsionit. Ky proces po zgjerohet gradualisht drejt më shumë institucioneve qeveritare, me një fokus të veçantë në sektorët e ndjeshëm (duke përfshirë-por pa u kufizuar vetëm në-kadastrën, tatimet, doganën dhe arsimin). Si rrjedhojë, veprimi mund të përfshijë mbështetje teknike për institucionet e zgjedhura qeveritare në zbatimin e disa prej reformave të parashikuara administrative, në përgjigje të vlerësimeve të rrezikut dhe planeve të integritetit, me fokus të veçantë në sektorët e ndjeshëm. </w:t>
      </w:r>
    </w:p>
    <w:p w14:paraId="0D1C7056" w14:textId="5620BA15"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Palët e interesuara të reformës janë Ministri i Shtetit për Administratën Publike dhe Antikorrupsionin, Departamenti i Administratës Publike, Shkolla Shqiptare e Administratës </w:t>
      </w:r>
      <w:r w:rsidRPr="0036019C">
        <w:rPr>
          <w:rFonts w:ascii="Garamond" w:hAnsi="Garamond"/>
          <w:color w:val="000000" w:themeColor="text1"/>
          <w:lang w:val="sq-AL"/>
        </w:rPr>
        <w:lastRenderedPageBreak/>
        <w:t xml:space="preserve">Publike, Komisioneri për Mbikëqyrjen e Shërbimit Civil, Ministri i Shtetit për Qeverisjen Vendore dhe nëpunësit civilë që do të përfitojnë nga transformimi </w:t>
      </w:r>
      <w:r w:rsidR="007129A2">
        <w:rPr>
          <w:rFonts w:ascii="Garamond" w:hAnsi="Garamond"/>
          <w:color w:val="000000" w:themeColor="text1"/>
          <w:lang w:val="sq-AL"/>
        </w:rPr>
        <w:t>digjital</w:t>
      </w:r>
      <w:r w:rsidRPr="0036019C">
        <w:rPr>
          <w:rFonts w:ascii="Garamond" w:hAnsi="Garamond"/>
          <w:color w:val="000000" w:themeColor="text1"/>
          <w:lang w:val="sq-AL"/>
        </w:rPr>
        <w:t xml:space="preserve"> i (HRM/MBNJ-së) në administratën publike shqiptare. Përveç kësaj, mbështetje mund t'u ofrohet subjekteve të zgjedhura qeveritare në bazë të reformave administrative në zbatimin e planeve të tyre të integritetit. </w:t>
      </w:r>
    </w:p>
    <w:p w14:paraId="170E43A6" w14:textId="7C6B9CD6" w:rsidR="00B06BDA" w:rsidRPr="0036019C" w:rsidRDefault="00B06BDA" w:rsidP="00B06BDA">
      <w:pPr>
        <w:ind w:firstLine="284"/>
        <w:jc w:val="both"/>
        <w:rPr>
          <w:rFonts w:ascii="Garamond" w:hAnsi="Garamond"/>
          <w:i/>
          <w:iCs/>
          <w:color w:val="000000" w:themeColor="text1"/>
          <w:lang w:val="sq-AL"/>
        </w:rPr>
      </w:pPr>
      <w:r w:rsidRPr="0036019C">
        <w:rPr>
          <w:rFonts w:ascii="Garamond" w:hAnsi="Garamond"/>
          <w:i/>
          <w:iCs/>
          <w:color w:val="000000" w:themeColor="text1"/>
          <w:lang w:val="sq-AL"/>
        </w:rPr>
        <w:t xml:space="preserve">Qeverisja vendore dhe </w:t>
      </w:r>
      <w:r w:rsidR="0070324F">
        <w:rPr>
          <w:rFonts w:ascii="Garamond" w:hAnsi="Garamond"/>
          <w:i/>
          <w:iCs/>
          <w:color w:val="000000" w:themeColor="text1"/>
          <w:lang w:val="sq-AL"/>
        </w:rPr>
        <w:t>shumë</w:t>
      </w:r>
      <w:r w:rsidRPr="0036019C">
        <w:rPr>
          <w:rFonts w:ascii="Garamond" w:hAnsi="Garamond"/>
          <w:i/>
          <w:iCs/>
          <w:color w:val="000000" w:themeColor="text1"/>
          <w:lang w:val="sq-AL"/>
        </w:rPr>
        <w:t>nivelëshe</w:t>
      </w:r>
    </w:p>
    <w:p w14:paraId="1945F7D2" w14:textId="3080ACF1"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Kuadri politik për decentralizimin dhe qeverisjen vendore përcaktohet nga Strategjia Ndërsektoriale për Decentralizimin dhe Qeverisjen Vendore 2023-2030. Kuadri legjislativ i Shqipërisë për qeverisjen </w:t>
      </w:r>
      <w:r w:rsidR="0070324F">
        <w:rPr>
          <w:rFonts w:ascii="Garamond" w:hAnsi="Garamond"/>
          <w:color w:val="000000" w:themeColor="text1"/>
          <w:lang w:val="sq-AL"/>
        </w:rPr>
        <w:t>shumë</w:t>
      </w:r>
      <w:r w:rsidRPr="0036019C">
        <w:rPr>
          <w:rFonts w:ascii="Garamond" w:hAnsi="Garamond"/>
          <w:color w:val="000000" w:themeColor="text1"/>
          <w:lang w:val="sq-AL"/>
        </w:rPr>
        <w:t>nivelëshe është në përputhje me standardet evropiane, mbështetur nga ratifikimi i Kartës Evropiane të Vetëqeverisjes Vendore. Këshilli Konsultativ i Vetëqeverisjes Qendrore dhe Vendore, i krijuar me Vendim të Këshillit të Ministrave në dhjetor 2016, shërben si platformë e institucionalizuar për konsultim dhe dialog me autoritetet vendore.</w:t>
      </w:r>
    </w:p>
    <w:p w14:paraId="2C40F5D4" w14:textId="51509011"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Siç vërehet në Raportin e Komisionit për Shqipërinë për vitin 2024, nevojiten ende përpjekje për të përmirësuar burimet financiare, kapacitetin administrativ dhe autonominë fiskale të njësive të qeverisjes vendore. Në lidhje me procesin e integrimit në BE, zyrat e integrimit në BE janë ngritur në bashki, por u mungojnë kapacitetet për të përmbushur funksionet e tyre, ndërsa stafi bashkiak nuk është i trajnuar mjaftueshëm mbi çështjet e integrimit në BE dhe nuk është i përgatitur për pjesëmarrje në Politikën e Kohezionit dhe programet e BE-së në të ardhmen. Organizata ombrellë e bashkive të Shqipërisë nuk ka kapacitete të mjaftueshme për të vepruar si Partner brenda partneritetit të qeverisjes </w:t>
      </w:r>
      <w:r w:rsidR="0070324F">
        <w:rPr>
          <w:rFonts w:ascii="Garamond" w:hAnsi="Garamond"/>
          <w:color w:val="000000" w:themeColor="text1"/>
          <w:lang w:val="sq-AL"/>
        </w:rPr>
        <w:t>shumë</w:t>
      </w:r>
      <w:r w:rsidRPr="0036019C">
        <w:rPr>
          <w:rFonts w:ascii="Garamond" w:hAnsi="Garamond"/>
          <w:color w:val="000000" w:themeColor="text1"/>
          <w:lang w:val="sq-AL"/>
        </w:rPr>
        <w:t xml:space="preserve">nivelëshe për Politikën e Kohezionit dhe për të përfaqësuar anëtarët e saj në forumet teknike. Projekti Kombëtar i Vetëm për Investime, i ngritur nga Qeveria për projektet investuese, nuk përfshin një listë projektesh zhvillimi bashkiake dhe/ose territoriale. Bashkitë shqiptare duhet të përgatiten për të pasur akses dhe për të përdorur me sukses fondet e BE-së pas anëtarësimit, përfshirë fondet e Kohezionit të BE-së, çka kërkon mjete të veçanta për zhvillim territorial të integruar, duke nënkuptuar konsolidimin e qeverisjes </w:t>
      </w:r>
      <w:r w:rsidR="0070324F">
        <w:rPr>
          <w:rFonts w:ascii="Garamond" w:hAnsi="Garamond"/>
          <w:color w:val="000000" w:themeColor="text1"/>
          <w:lang w:val="sq-AL"/>
        </w:rPr>
        <w:t>shumë</w:t>
      </w:r>
      <w:r w:rsidRPr="0036019C">
        <w:rPr>
          <w:rFonts w:ascii="Garamond" w:hAnsi="Garamond"/>
          <w:color w:val="000000" w:themeColor="text1"/>
          <w:lang w:val="sq-AL"/>
        </w:rPr>
        <w:t>nivelëshe, në përputhje me Kodin Evropian të Sjelljes për Partneritetin.</w:t>
      </w:r>
    </w:p>
    <w:p w14:paraId="532384E1"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Të gjithë aktorët përkatës, përkatësisht Ministri i Shtetit për Qeverisjen Vendore, Agjencia për Mbështetjen e Vetëqeverisjes Vendore, Shoqata Kombëtare e Bashkive të Shqipërisë (NAMA) dhe bashkitë, e njohin nevojën për të punuar në mënyrë të koordinuar për të përmirësuar kapacitetin administrativ të autoriteteve vendore, duke rezultuar në shërbime më të mira vendore dhe në zbatim efektiv të fondeve të BE-së. </w:t>
      </w:r>
    </w:p>
    <w:p w14:paraId="14AD94CA" w14:textId="77777777" w:rsidR="00B06BDA" w:rsidRPr="0036019C" w:rsidRDefault="00B06BDA" w:rsidP="00B06BDA">
      <w:pPr>
        <w:ind w:firstLine="284"/>
        <w:jc w:val="both"/>
        <w:rPr>
          <w:rFonts w:ascii="Garamond" w:hAnsi="Garamond"/>
          <w:i/>
          <w:color w:val="000000" w:themeColor="text1"/>
          <w:lang w:val="sq-AL"/>
        </w:rPr>
      </w:pPr>
      <w:r w:rsidRPr="0036019C">
        <w:rPr>
          <w:rFonts w:ascii="Garamond" w:hAnsi="Garamond"/>
          <w:i/>
          <w:color w:val="000000" w:themeColor="text1"/>
          <w:lang w:val="sq-AL"/>
        </w:rPr>
        <w:t>Menaxhimi i Financave Publike (MFP), Prokurimi Publik, Auditimi i Jashtëm dhe Statistikat</w:t>
      </w:r>
    </w:p>
    <w:p w14:paraId="6231D62F" w14:textId="234FAB5A"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Strategjia e Reformës së Menaxhimit të Financave Publike (PFM) 2023-2030 përcakton drejtimet dhe prioritetet për të garantuar një sistem financash publike që promovon transparencën, përgjegjshmërinë, disiplinën fiskale, si dhe efikasitetin dhe barazinë në përdorimin e burimeve publike. Në mënyrë të ngjashme, Strategjia Afatmesme për Menaxhimin e Borxhit (MTDS) për vitet 2022</w:t>
      </w:r>
      <w:r w:rsidR="000900AA">
        <w:rPr>
          <w:rFonts w:ascii="Garamond" w:hAnsi="Garamond"/>
          <w:color w:val="000000" w:themeColor="text1"/>
          <w:lang w:val="sq-AL"/>
        </w:rPr>
        <w:t>–</w:t>
      </w:r>
      <w:r w:rsidRPr="0036019C">
        <w:rPr>
          <w:rFonts w:ascii="Garamond" w:hAnsi="Garamond"/>
          <w:color w:val="000000" w:themeColor="text1"/>
          <w:lang w:val="sq-AL"/>
        </w:rPr>
        <w:t>2026 synon të ulë rreziqet e rifinancimit duke rritur lëshimin e borxhit afatgjatë dhe duke zbutur rreziqet nga norma e interesit dhe kursi i këmbimit.</w:t>
      </w:r>
    </w:p>
    <w:p w14:paraId="2CF2A9E2" w14:textId="5E8A8433"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 përgjithësi, këto përpjekje pasqyrojnë një angazhim të përbashkët drejt një qeverisjeje fiskale më të fortë, me prioritet kryesor në politikën tatimore dhe fiskale, përfshirë Strategjinë Afatmesme të të Ardhurave (MTRS) të sapo miratuar për vitet 2024-2027, e cila synon rritjen e të ardhurave dhe garantimin e stabilitetit financiar afatgjatë. Performanca fiskale mbetet e qëndrueshme, me rregulla fiskale të vendosura në kuadër të Ligjit Organik të Buxhetit</w:t>
      </w:r>
      <w:r w:rsidRPr="0036019C">
        <w:rPr>
          <w:rFonts w:ascii="Garamond" w:hAnsi="Garamond"/>
          <w:b/>
          <w:bCs/>
          <w:color w:val="000000" w:themeColor="text1"/>
          <w:vertAlign w:val="superscript"/>
          <w:lang w:val="sq-AL"/>
        </w:rPr>
        <w:footnoteReference w:id="19"/>
      </w:r>
      <w:r w:rsidRPr="0036019C">
        <w:rPr>
          <w:rFonts w:ascii="Garamond" w:hAnsi="Garamond"/>
          <w:color w:val="000000" w:themeColor="text1"/>
          <w:lang w:val="sq-AL"/>
        </w:rPr>
        <w:t>. Qeveria është zotuar</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për ngritjen e një këshilli fiskal të pavarur. </w:t>
      </w:r>
    </w:p>
    <w:p w14:paraId="746C10A6"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Sistemi i prokurimit publik në Shqipëri rregullohet nga Ligji Nr. 162/2020 (i ndryshuar nga Ligji Nr. 16/2024) dhe aktet nënligjore përkatëse, të cilat përcaktojnë që të gjitha proceset e prokurimit të kryhen në mënyrë elektronike, me akses publik në të gjitha njoftimet, dokumentet e tenderëve dhe materialet përkatëse. Strategjia Kombëtare për Prokurimin Publik 2024–2030 synon modernizimin e kuadrit, duke nxitur qëndrueshmërinë dhe efikasitetin, bazuar në praktikat më të mira ndërkombëtare.</w:t>
      </w:r>
    </w:p>
    <w:p w14:paraId="70C7B06E" w14:textId="0079E0A9"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lastRenderedPageBreak/>
        <w:t>Në lidhje me auditimin e jashtëm, në fund të vitit 2022 Institucioni Shqiptar i Auditimit të Lartë (ALSAI) miratoi Strategjinë e tij të Zhvillimit Institucional 2023</w:t>
      </w:r>
      <w:r w:rsidR="000900AA">
        <w:rPr>
          <w:rFonts w:ascii="Garamond" w:hAnsi="Garamond"/>
          <w:color w:val="000000" w:themeColor="text1"/>
          <w:lang w:val="sq-AL"/>
        </w:rPr>
        <w:t>–</w:t>
      </w:r>
      <w:r w:rsidRPr="0036019C">
        <w:rPr>
          <w:rFonts w:ascii="Garamond" w:hAnsi="Garamond"/>
          <w:color w:val="000000" w:themeColor="text1"/>
          <w:lang w:val="sq-AL"/>
        </w:rPr>
        <w:t xml:space="preserve">2027. </w:t>
      </w:r>
    </w:p>
    <w:p w14:paraId="37C85D2E" w14:textId="77777777" w:rsidR="00B06BDA" w:rsidRPr="0036019C" w:rsidRDefault="00B06BDA" w:rsidP="000900AA">
      <w:pPr>
        <w:ind w:firstLine="284"/>
        <w:jc w:val="both"/>
        <w:rPr>
          <w:rFonts w:ascii="Garamond" w:hAnsi="Garamond"/>
          <w:color w:val="000000" w:themeColor="text1"/>
          <w:lang w:val="sq-AL"/>
        </w:rPr>
      </w:pPr>
      <w:r w:rsidRPr="0036019C">
        <w:rPr>
          <w:rFonts w:ascii="Garamond" w:hAnsi="Garamond"/>
          <w:color w:val="000000" w:themeColor="text1"/>
          <w:lang w:val="sq-AL"/>
        </w:rPr>
        <w:t>Instituti Kombëtar i Statistikave i Shqipërisë (INSTAT) luan rol qendror në mbledhjen, përpunimin dhe shpërndarjen e statistikave zyrtare mbi fenomenet socio-ekonomike, në përputhje me standardet e Sistemit Statistikor Evropian (ESS) dhe Sistemit Evropian Statistikor (ESA) në fuqi.</w:t>
      </w:r>
    </w:p>
    <w:p w14:paraId="1CAB72DF"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b/>
          <w:color w:val="000000" w:themeColor="text1"/>
          <w:lang w:val="sq-AL"/>
        </w:rPr>
        <w:t>Menaxhimi i Financave Publike</w:t>
      </w:r>
      <w:r w:rsidRPr="0036019C">
        <w:rPr>
          <w:rFonts w:ascii="Garamond" w:hAnsi="Garamond"/>
          <w:color w:val="000000" w:themeColor="text1"/>
          <w:lang w:val="sq-AL"/>
        </w:rPr>
        <w:t xml:space="preserve"> (MFP) në Shqipëri përballet me disa sfida, përfshirë mungesën e transparencës së buxhetit, rishikime të shpeshta të buxhetit në mënyrë </w:t>
      </w:r>
      <w:r w:rsidRPr="0036019C">
        <w:rPr>
          <w:rFonts w:ascii="Garamond" w:hAnsi="Garamond"/>
          <w:i/>
          <w:color w:val="000000" w:themeColor="text1"/>
          <w:lang w:val="sq-AL"/>
        </w:rPr>
        <w:t>ad hoc</w:t>
      </w:r>
      <w:r w:rsidRPr="0036019C">
        <w:rPr>
          <w:rFonts w:ascii="Garamond" w:hAnsi="Garamond"/>
          <w:color w:val="000000" w:themeColor="text1"/>
          <w:lang w:val="sq-AL"/>
        </w:rPr>
        <w:t>, dhe vlerësim të dobët të rrezikut fiskal. Duhet ende të krijohet një Këshill Fiskal për të forcuar përputhshmërinë me rregullat fiskale. Strategjia Afatmesme e të Ardhurave (MTRS) është miratuar së fundi dhe duhet të zbatohet, si në aspektin e politikës tatimore, ashtu edhe të reformave në administrimin tatimor. Rreziqet fiskale nga Partneritetet Publike-Private (PPP), Ndërmarrjet Publike (SOE) dhe garancitë kërkojnë monitorim më të mirë, së bashku me përmirësimin e raportimit të borxhit për SOE-të për të ulur dobësitë fiskale. Planifikimi dhe ekzekutimi i investimeve kanë nevojë për përmirësim, duke përfshirë forcimin e zbatimit të Vlerësimeve të Ndikimit në Mjedis (EIA) dhe Vlerësimeve Strategjike Mjedisore (SEA) për menaxhimin e investimeve publike.</w:t>
      </w:r>
    </w:p>
    <w:p w14:paraId="7862A196"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Prokurimi Publik është kryesisht në përputhje me standardet e BE-së, por mbetet në nivel të përgatitjes së moderuar. Ligjet për koncesionet dhe PPP-të kërkojnë harmonizim të mëtejshëm. Prokurimi konkurrues duhet të inkurajohet përmes kritereve ekonomikisht të favorshme dhe kontratave kuadër, ndërsa prokurimi i gjelbër kërkon rregullore më të qarta dhe stimuj financiarë. </w:t>
      </w:r>
    </w:p>
    <w:p w14:paraId="7ADDE9C1" w14:textId="6059286B" w:rsidR="00B06BDA" w:rsidRPr="0036019C" w:rsidRDefault="00B06BDA" w:rsidP="00B06BDA">
      <w:pPr>
        <w:ind w:firstLine="284"/>
        <w:jc w:val="both"/>
        <w:rPr>
          <w:rFonts w:ascii="Garamond" w:hAnsi="Garamond"/>
          <w:color w:val="000000" w:themeColor="text1"/>
          <w:lang w:val="sq-AL"/>
        </w:rPr>
      </w:pPr>
      <w:r w:rsidRPr="0036019C">
        <w:rPr>
          <w:rFonts w:ascii="Garamond" w:hAnsi="Garamond"/>
          <w:b/>
          <w:bCs/>
          <w:color w:val="000000" w:themeColor="text1"/>
          <w:lang w:val="sq-AL"/>
        </w:rPr>
        <w:t>Auditimi i Jashtëm (ALSAI/KLSH)</w:t>
      </w:r>
      <w:r w:rsidRPr="0036019C">
        <w:rPr>
          <w:rFonts w:ascii="Garamond" w:hAnsi="Garamond"/>
          <w:color w:val="000000" w:themeColor="text1"/>
          <w:lang w:val="sq-AL"/>
        </w:rPr>
        <w:t xml:space="preserve"> përballet me kufizime kapacitetesh në auditimin e fondeve të BE-së, në integrimin e teknikave të avancuara të IT-së dhe në zgjerimin e mbulimit të auditimit. Sfidat përfshijnë personel të pamjaftueshëm, mundësi të kufizuara </w:t>
      </w:r>
      <w:r w:rsidR="007129A2">
        <w:rPr>
          <w:rFonts w:ascii="Garamond" w:hAnsi="Garamond"/>
          <w:color w:val="000000" w:themeColor="text1"/>
          <w:lang w:val="sq-AL"/>
        </w:rPr>
        <w:t>digjital</w:t>
      </w:r>
      <w:r w:rsidRPr="0036019C">
        <w:rPr>
          <w:rFonts w:ascii="Garamond" w:hAnsi="Garamond"/>
          <w:color w:val="000000" w:themeColor="text1"/>
          <w:lang w:val="sq-AL"/>
        </w:rPr>
        <w:t>e dhe nevojën për një komunikim më të mirë të rezultateve të auditimit. KLSH synon të forcojë auditimet e integritetit, shqyrtimet e performancës në sektorin publik dhe përafrimin me standardet ndërkombëtare të auditimit (ISSAI 1 &amp; ISSAI 10/</w:t>
      </w:r>
      <w:r w:rsidRPr="0036019C">
        <w:rPr>
          <w:rFonts w:ascii="Garamond" w:hAnsi="Garamond"/>
          <w:i/>
          <w:iCs/>
          <w:color w:val="000000" w:themeColor="text1"/>
          <w:lang w:val="sq-AL"/>
        </w:rPr>
        <w:t>Standardet Ndërkombëtare të Institucioneve të Larta të Auditimit</w:t>
      </w:r>
      <w:r w:rsidRPr="0036019C">
        <w:rPr>
          <w:rFonts w:ascii="Garamond" w:hAnsi="Garamond"/>
          <w:color w:val="000000" w:themeColor="text1"/>
          <w:lang w:val="sq-AL"/>
        </w:rPr>
        <w:t>).</w:t>
      </w:r>
    </w:p>
    <w:p w14:paraId="2E5D9178" w14:textId="0FAC0EEE" w:rsidR="00B06BDA" w:rsidRPr="0036019C" w:rsidRDefault="00B06BDA" w:rsidP="00B06BDA">
      <w:pPr>
        <w:ind w:firstLine="284"/>
        <w:jc w:val="both"/>
        <w:rPr>
          <w:rFonts w:ascii="Garamond" w:hAnsi="Garamond"/>
          <w:color w:val="000000" w:themeColor="text1"/>
          <w:lang w:val="sq-AL"/>
        </w:rPr>
      </w:pPr>
      <w:r w:rsidRPr="0036019C">
        <w:rPr>
          <w:rFonts w:ascii="Garamond" w:hAnsi="Garamond"/>
          <w:b/>
          <w:bCs/>
          <w:color w:val="000000" w:themeColor="text1"/>
          <w:lang w:val="sq-AL"/>
        </w:rPr>
        <w:t>Statistikat dhe Menaxhimi i të Dhënave</w:t>
      </w:r>
      <w:r w:rsidRPr="0036019C">
        <w:rPr>
          <w:rFonts w:ascii="Garamond" w:hAnsi="Garamond"/>
          <w:color w:val="000000" w:themeColor="text1"/>
          <w:lang w:val="sq-AL"/>
        </w:rPr>
        <w:t xml:space="preserve"> (INSTAT) mbeten pjesërisht të përafruara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 të BE-së, veçanërisht në llogaritë kombëtare, statistikat financiare dhe raportimin e të dhënave sektoriale. Është e nevojshme përputhja e plotë me metodologjinë ESA (</w:t>
      </w:r>
      <w:r w:rsidRPr="0036019C">
        <w:rPr>
          <w:rFonts w:ascii="Garamond" w:hAnsi="Garamond"/>
          <w:i/>
          <w:iCs/>
          <w:color w:val="000000" w:themeColor="text1"/>
          <w:lang w:val="sq-AL"/>
        </w:rPr>
        <w:t>Sistemi Evropian i Llogarive</w:t>
      </w:r>
      <w:r w:rsidRPr="0036019C">
        <w:rPr>
          <w:rFonts w:ascii="Garamond" w:hAnsi="Garamond"/>
          <w:color w:val="000000" w:themeColor="text1"/>
          <w:lang w:val="sq-AL"/>
        </w:rPr>
        <w:t xml:space="preserve">) në fuqi, sidomos për PBB-në tremujore, statistikat e punësimit dhe statistikat e financave të qeverisë. Vazhdon të ketë ende mangësi në statistikat mjedisore, përfshirë raportimin për mbetjet industriale dhe ambalazhet plastike. Lëvizja e lartë e stafit në INSTAT dobëson qëndrueshmërinë afatgjatë të të dhënave, ndërsa siguria </w:t>
      </w:r>
      <w:r w:rsidR="007129A2">
        <w:rPr>
          <w:rFonts w:ascii="Garamond" w:hAnsi="Garamond"/>
          <w:color w:val="000000" w:themeColor="text1"/>
          <w:lang w:val="sq-AL"/>
        </w:rPr>
        <w:t>digjital</w:t>
      </w:r>
      <w:r w:rsidRPr="0036019C">
        <w:rPr>
          <w:rFonts w:ascii="Garamond" w:hAnsi="Garamond"/>
          <w:color w:val="000000" w:themeColor="text1"/>
          <w:lang w:val="sq-AL"/>
        </w:rPr>
        <w:t>e dhe përmirësimet e infrastrukturës janë të domosdoshme për të garantuar integritetin e të dhënave. Zhvillimi i një sistemi gjithëpërfshirës të menaxhimit të të dhënave është thelbësor për përmirësimin e rezultateve zyrtare statistikore të Shqipërisë.</w:t>
      </w:r>
    </w:p>
    <w:p w14:paraId="56A261EA"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Menaxhimi i financave publike në Shqipëri koordinohet nga institucionet kryesore brenda Ministrisë së Financave. Një Këshill Fiskal i pavarur pritet të krijohet në vitet në vijim. Në fushën e prokurimit publik, Agjencia e Prokurimit Publik harton dhe monitoron politikat përmes një platforme të dhënash të hapura, ndërsa Komisioni i Prokurimit Publik trajton ankesat dhe Ministria e Financave, së bashku me ATRAKO-n </w:t>
      </w:r>
      <w:r w:rsidRPr="0036019C">
        <w:rPr>
          <w:rFonts w:ascii="Garamond" w:hAnsi="Garamond"/>
          <w:i/>
          <w:iCs/>
          <w:color w:val="000000" w:themeColor="text1"/>
          <w:lang w:val="sq-AL"/>
        </w:rPr>
        <w:t>(Agjencinë e Trajtimit të Koncesioneve)</w:t>
      </w:r>
      <w:r w:rsidRPr="0036019C">
        <w:rPr>
          <w:rFonts w:ascii="Garamond" w:hAnsi="Garamond"/>
          <w:color w:val="000000" w:themeColor="text1"/>
          <w:lang w:val="sq-AL"/>
        </w:rPr>
        <w:t>, menaxhon PPP-të dhe koncesionet. Gjithashtu, Kontrolli i Lartë i Shtetit forcon mbikëqyrjen financiare përmes kapaciteteve të përmirësuara të auditimit, ndërsa INSTAT koordinon Sistemin Kombëtar Statistikor.</w:t>
      </w:r>
    </w:p>
    <w:p w14:paraId="2E932620" w14:textId="77777777" w:rsidR="00B06BDA" w:rsidRPr="0036019C" w:rsidRDefault="00B06BDA" w:rsidP="00B06BDA">
      <w:pPr>
        <w:ind w:firstLine="284"/>
        <w:jc w:val="both"/>
        <w:rPr>
          <w:rFonts w:ascii="Garamond" w:hAnsi="Garamond"/>
          <w:i/>
          <w:iCs/>
          <w:color w:val="000000" w:themeColor="text1"/>
          <w:lang w:val="sq-AL"/>
        </w:rPr>
      </w:pPr>
      <w:r w:rsidRPr="0036019C">
        <w:rPr>
          <w:rFonts w:ascii="Garamond" w:hAnsi="Garamond"/>
          <w:i/>
          <w:iCs/>
          <w:color w:val="000000" w:themeColor="text1"/>
          <w:lang w:val="sq-AL"/>
        </w:rPr>
        <w:t>Institucioni i Integrimit në Bashkimin Evropian</w:t>
      </w:r>
    </w:p>
    <w:p w14:paraId="5E2A647A" w14:textId="1AFA2B53"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lastRenderedPageBreak/>
        <w:t xml:space="preserve">Më 15 tetor 2024, në konferencën ndërqeveritare me Bashkimin Evropian, Shqipëria hapi </w:t>
      </w:r>
      <w:r w:rsidRPr="0036019C">
        <w:rPr>
          <w:rStyle w:val="Strong"/>
          <w:rFonts w:ascii="Garamond" w:hAnsi="Garamond"/>
          <w:color w:val="000000" w:themeColor="text1"/>
          <w:lang w:val="sq-AL"/>
        </w:rPr>
        <w:t>Grup</w:t>
      </w:r>
      <w:r w:rsidR="000900AA">
        <w:rPr>
          <w:rStyle w:val="Strong"/>
          <w:rFonts w:ascii="Garamond" w:hAnsi="Garamond"/>
          <w:color w:val="000000" w:themeColor="text1"/>
          <w:lang w:val="sq-AL"/>
        </w:rPr>
        <w:t>-</w:t>
      </w:r>
      <w:r w:rsidRPr="0036019C">
        <w:rPr>
          <w:rStyle w:val="Strong"/>
          <w:rFonts w:ascii="Garamond" w:hAnsi="Garamond"/>
          <w:color w:val="000000" w:themeColor="text1"/>
          <w:lang w:val="sq-AL"/>
        </w:rPr>
        <w:t>kapitullin 1 – Themelorët</w:t>
      </w:r>
      <w:r w:rsidRPr="0036019C">
        <w:rPr>
          <w:rFonts w:ascii="Garamond" w:hAnsi="Garamond"/>
          <w:color w:val="000000" w:themeColor="text1"/>
          <w:lang w:val="sq-AL"/>
        </w:rPr>
        <w:t>, i përbërë nga pesë kapituj negociues</w:t>
      </w:r>
      <w:r w:rsidRPr="0036019C">
        <w:rPr>
          <w:rStyle w:val="FootnoteReference"/>
          <w:rFonts w:ascii="Garamond" w:hAnsi="Garamond"/>
          <w:b/>
          <w:bCs/>
          <w:color w:val="000000" w:themeColor="text1"/>
          <w:lang w:val="sq-AL"/>
        </w:rPr>
        <w:t xml:space="preserve"> </w:t>
      </w:r>
      <w:r w:rsidRPr="0036019C">
        <w:rPr>
          <w:rStyle w:val="FootnoteReference"/>
          <w:rFonts w:ascii="Garamond" w:hAnsi="Garamond"/>
          <w:b/>
          <w:bCs/>
          <w:color w:val="000000" w:themeColor="text1"/>
          <w:lang w:val="sq-AL"/>
        </w:rPr>
        <w:footnoteReference w:id="20"/>
      </w:r>
      <w:r w:rsidRPr="0036019C">
        <w:rPr>
          <w:rFonts w:ascii="Garamond" w:hAnsi="Garamond"/>
          <w:color w:val="000000" w:themeColor="text1"/>
          <w:lang w:val="sq-AL"/>
        </w:rPr>
        <w:t xml:space="preserve">: Progresi në këto fusha përcakton ritmin e përgjithshëm të negociatave. Fundi i vitit 2027 u propozua si një objektiv i rekomanduar për përfundimin e përgatitjeve teknike për zbatimin e Politikës së Kohezionit të BE-së nga përfaqësuesit e Komisionit Evropian në përfundim të takimit dypalësh të shqyrtimit </w:t>
      </w:r>
      <w:r w:rsidR="00D91DF9">
        <w:rPr>
          <w:rFonts w:ascii="Garamond" w:hAnsi="Garamond"/>
          <w:color w:val="000000" w:themeColor="text1"/>
          <w:lang w:val="sq-AL"/>
        </w:rPr>
        <w:t xml:space="preserve">për kapitullin </w:t>
      </w:r>
      <w:r w:rsidRPr="0036019C">
        <w:rPr>
          <w:rFonts w:ascii="Garamond" w:hAnsi="Garamond"/>
          <w:color w:val="000000" w:themeColor="text1"/>
          <w:lang w:val="sq-AL"/>
        </w:rPr>
        <w:t xml:space="preserve">22. Ky afat kohor ambicioz është marrë në konsideratë në qasjen ndaj përgatitjes së Planit të Veprimit </w:t>
      </w:r>
      <w:r w:rsidR="00D91DF9">
        <w:rPr>
          <w:rFonts w:ascii="Garamond" w:hAnsi="Garamond"/>
          <w:color w:val="000000" w:themeColor="text1"/>
          <w:lang w:val="sq-AL"/>
        </w:rPr>
        <w:t xml:space="preserve">për kapitullin </w:t>
      </w:r>
      <w:r w:rsidRPr="0036019C">
        <w:rPr>
          <w:rFonts w:ascii="Garamond" w:hAnsi="Garamond"/>
          <w:color w:val="000000" w:themeColor="text1"/>
          <w:lang w:val="sq-AL"/>
        </w:rPr>
        <w:t xml:space="preserve">22. Për më tepër, Shqipëria ka përgatitur dhe i ka paraqitur Komisionit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ën e Reformës si pjesë e Instrumentit të Reformës dhe Rritjes (RGF) për Ballkanin Perëndimor. </w:t>
      </w:r>
      <w:r w:rsidR="000F72F0" w:rsidRPr="0036019C">
        <w:rPr>
          <w:rFonts w:ascii="Garamond" w:hAnsi="Garamond"/>
          <w:color w:val="000000" w:themeColor="text1"/>
          <w:lang w:val="sq-AL"/>
        </w:rPr>
        <w:t>Agjend</w:t>
      </w:r>
      <w:r w:rsidRPr="0036019C">
        <w:rPr>
          <w:rFonts w:ascii="Garamond" w:hAnsi="Garamond"/>
          <w:color w:val="000000" w:themeColor="text1"/>
          <w:lang w:val="sq-AL"/>
        </w:rPr>
        <w:t>a e Reformës u miratua nga Komisioni më 23 tetor 2024</w:t>
      </w:r>
      <w:r w:rsidRPr="0036019C">
        <w:rPr>
          <w:rStyle w:val="FootnoteReference"/>
          <w:rFonts w:ascii="Garamond" w:hAnsi="Garamond"/>
          <w:color w:val="000000" w:themeColor="text1"/>
          <w:lang w:val="sq-AL"/>
        </w:rPr>
        <w:footnoteReference w:id="21"/>
      </w:r>
      <w:r w:rsidRPr="0036019C">
        <w:rPr>
          <w:rFonts w:ascii="Garamond" w:hAnsi="Garamond"/>
          <w:color w:val="000000" w:themeColor="text1"/>
          <w:lang w:val="sq-AL"/>
        </w:rPr>
        <w:t>. Reformat dhe investimet e parashikuara kanë potencialin të përshpejtojnë përgatitjet për anëtarësim në disa sektorë. Tre Programet Operative u miratuan me Vendim të Komisionit në gusht 2024</w:t>
      </w:r>
      <w:r w:rsidRPr="0036019C">
        <w:rPr>
          <w:rStyle w:val="FootnoteReference"/>
          <w:rFonts w:ascii="Garamond" w:hAnsi="Garamond"/>
          <w:b/>
          <w:bCs/>
          <w:color w:val="000000" w:themeColor="text1"/>
          <w:lang w:val="sq-AL"/>
        </w:rPr>
        <w:footnoteReference w:id="22"/>
      </w:r>
      <w:r w:rsidRPr="0036019C">
        <w:rPr>
          <w:rFonts w:ascii="Garamond" w:hAnsi="Garamond"/>
          <w:color w:val="000000" w:themeColor="text1"/>
          <w:lang w:val="sq-AL"/>
        </w:rPr>
        <w:t xml:space="preserve">, zbatimi i të cilave në menaxhim indirekt nga Shqipëria iu besua tre Autoriteteve të Menaxhimit të sapokrijuara. Institucionet shqiptare do të zbatojnë fondet IPA dhe RGF paralelisht, me rregulla dhe mekanizma institucionalë të ndryshëm. </w:t>
      </w:r>
    </w:p>
    <w:p w14:paraId="1B5D87C5" w14:textId="1575B1BC"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 fushën e mbështetjes për integrimin në BE, negociatat dhe përafrimin, procesi i anëtarësimit të Shqipërisë menaxhohet nga një gamë e gjerë institucionesh, përfshirë Parlamentin, Këshillin e Ministrave dhe disa ministri. Procesi koordinohet përmes organeve të tilla</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 xml:space="preserve">si Komiteti i Integrimit Evropian dhe Këshilli Kombëtar i Integrimit Evropian, të cilat punojnë për të përafruar legjislacionin kombëtar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-në e BE-së dhe për të siguruar transparencë në marrjen e vendimeve. Aktorët kryesorë në këtë fushë përfshijnë Kryenegociatorin, i cili vepron përmes Sekretariatit të Integrimit Evropian, strukturat negociuese të krijuara për të menaxhuar procesin e anëtarësimit, si dhe disa ministri dhe autoritete kombëtare të angazhuara në mënyrë aktive</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në këto reforma.</w:t>
      </w:r>
    </w:p>
    <w:p w14:paraId="6E2E562C" w14:textId="4515EF22" w:rsidR="00B06BDA" w:rsidRPr="0036019C" w:rsidRDefault="00B06BDA" w:rsidP="00B06BDA">
      <w:pPr>
        <w:pStyle w:val="NoSpacing"/>
        <w:ind w:firstLine="284"/>
        <w:jc w:val="both"/>
        <w:rPr>
          <w:rFonts w:ascii="Garamond" w:hAnsi="Garamond" w:cs="Times New Roman"/>
          <w:color w:val="000000" w:themeColor="text1"/>
          <w:sz w:val="24"/>
          <w:szCs w:val="24"/>
          <w:lang w:val="sq-AL"/>
        </w:rPr>
      </w:pPr>
      <w:r w:rsidRPr="0036019C">
        <w:rPr>
          <w:rFonts w:ascii="Garamond" w:hAnsi="Garamond" w:cs="Times New Roman"/>
          <w:color w:val="000000" w:themeColor="text1"/>
          <w:sz w:val="24"/>
          <w:szCs w:val="24"/>
          <w:lang w:val="sq-AL"/>
        </w:rPr>
        <w:t xml:space="preserve">Në mbështetje të integrimit të përshpejtuar, Plani i Rritjes dhe </w:t>
      </w:r>
      <w:r w:rsidR="000F72F0" w:rsidRPr="0036019C">
        <w:rPr>
          <w:rFonts w:ascii="Garamond" w:hAnsi="Garamond" w:cs="Times New Roman"/>
          <w:color w:val="000000" w:themeColor="text1"/>
          <w:sz w:val="24"/>
          <w:szCs w:val="24"/>
          <w:lang w:val="sq-AL"/>
        </w:rPr>
        <w:t>Agjend</w:t>
      </w:r>
      <w:r w:rsidRPr="0036019C">
        <w:rPr>
          <w:rFonts w:ascii="Garamond" w:hAnsi="Garamond" w:cs="Times New Roman"/>
          <w:color w:val="000000" w:themeColor="text1"/>
          <w:sz w:val="24"/>
          <w:szCs w:val="24"/>
          <w:lang w:val="sq-AL"/>
        </w:rPr>
        <w:t>a e Reformave synojnë të sjellin përfitime të hershme nga anëtarësimi në BE për Shqipërinë, duke nxitur rritjen ekonomike dhe avancimin e konvergjencës socio-ekonomike. Këto iniciativa synojnë të përshpejtojnë reformat dhe investimet thelbësore, por kompleksiteti i tyre kërkon bashkëpunim të fortë ndërinstitucional dhe rritje të kapaciteteve administrative në menaxhimin financiar, monitorimin, raportimin dhe auditimin. Aktorët kryesorë të përfshirë janë Zyra e Kryeministrit, Ministria e Financave, Agjencia Shtetërore e Programimit Strategjik dhe Koordinimit të Ndihmës, si dhe disa ministri dhe agjenci publike. Për sa i përket menaxhimit të ndihmës financiare të BE-së, zbatimi i kënaqshëm i IPA III, veçanërisht i Programeve Operacionale shumëvjeçare 2024</w:t>
      </w:r>
      <w:r w:rsidR="00D91DF9">
        <w:rPr>
          <w:rFonts w:ascii="Garamond" w:hAnsi="Garamond" w:cs="Times New Roman"/>
          <w:color w:val="000000" w:themeColor="text1"/>
          <w:sz w:val="24"/>
          <w:szCs w:val="24"/>
          <w:lang w:val="sq-AL"/>
        </w:rPr>
        <w:t>–</w:t>
      </w:r>
      <w:r w:rsidRPr="0036019C">
        <w:rPr>
          <w:rFonts w:ascii="Garamond" w:hAnsi="Garamond" w:cs="Times New Roman"/>
          <w:color w:val="000000" w:themeColor="text1"/>
          <w:sz w:val="24"/>
          <w:szCs w:val="24"/>
          <w:lang w:val="sq-AL"/>
        </w:rPr>
        <w:t>2027 në menaxhimin indirekt, kërkon aftësi të reja dhe rritje të kapaciteteve midis institucioneve të Shqipërisë: Autoritetet Menaxhuese, Strukturat Ndërmjetëse, Koordinatori Kombëtar i IPA-së, SASPAC, Njësitë IPA brenda ministrive të linjës dhe agjencive publike, Zyra Kombëtare e Autorizimit dhe Struktura e Menaxhimit të NAO-së</w:t>
      </w:r>
      <w:r w:rsidR="00D91DF9">
        <w:rPr>
          <w:rFonts w:ascii="Garamond" w:hAnsi="Garamond" w:cs="Times New Roman"/>
          <w:color w:val="000000" w:themeColor="text1"/>
          <w:sz w:val="24"/>
          <w:szCs w:val="24"/>
          <w:lang w:val="sq-AL"/>
        </w:rPr>
        <w:t>/</w:t>
      </w:r>
      <w:r w:rsidRPr="0036019C">
        <w:rPr>
          <w:rFonts w:ascii="Garamond" w:hAnsi="Garamond" w:cs="Times New Roman"/>
          <w:color w:val="000000" w:themeColor="text1"/>
          <w:sz w:val="24"/>
          <w:szCs w:val="24"/>
          <w:lang w:val="sq-AL"/>
        </w:rPr>
        <w:t xml:space="preserve">ZKA-së, si dhe përfituesit përfundimtarë të ndihmës. Përgatitjet për Politikën e Kohezionit, të udhëhequra nga Negociatori </w:t>
      </w:r>
      <w:r w:rsidR="00D91DF9">
        <w:rPr>
          <w:rFonts w:ascii="Garamond" w:hAnsi="Garamond" w:cs="Times New Roman"/>
          <w:color w:val="000000" w:themeColor="text1"/>
          <w:sz w:val="24"/>
          <w:szCs w:val="24"/>
          <w:lang w:val="sq-AL"/>
        </w:rPr>
        <w:t xml:space="preserve">i kapitullit </w:t>
      </w:r>
      <w:r w:rsidRPr="0036019C">
        <w:rPr>
          <w:rFonts w:ascii="Garamond" w:hAnsi="Garamond" w:cs="Times New Roman"/>
          <w:color w:val="000000" w:themeColor="text1"/>
          <w:sz w:val="24"/>
          <w:szCs w:val="24"/>
          <w:lang w:val="sq-AL"/>
        </w:rPr>
        <w:t xml:space="preserve">22 dhe </w:t>
      </w:r>
      <w:r w:rsidRPr="0036019C">
        <w:rPr>
          <w:rFonts w:ascii="Garamond" w:hAnsi="Garamond" w:cs="Times New Roman"/>
          <w:color w:val="000000" w:themeColor="text1"/>
          <w:sz w:val="24"/>
          <w:szCs w:val="24"/>
          <w:lang w:val="sq-AL"/>
        </w:rPr>
        <w:lastRenderedPageBreak/>
        <w:t>të mbështetura nga Grupi Ndërinstitucional i Punës, do të duhet të adresojnë sfidat e konsiderueshme që priten gjatë perspektivës financiare 2028-2032 në lidhje me planifikimin e mirëfilltë dhe zbatimin e reformave dhe investimeve.</w:t>
      </w:r>
    </w:p>
    <w:p w14:paraId="02ACCC60" w14:textId="3B5A4E64"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Për më tepër, ndërhyrjet e synuara janë të nevojshme për të adresuar nevojat e reja në disa sektorë, përfshirë mirëqenien e fëmijëve, trashëgiminë kulturore, barazinë gjinore dhe mbrojtjen e të dhënave personale. Këto përfshijnë një gamë të gjerë aktorësh, nga Koordinatori Kombëtar i IPA-së dhe SASPAC, te bashkitë dhe koordinatorët lokalë për barazinë gjinore, si dhe entitete specifike sektoriale si Ministria e Ekonomisë, Kulturës dhe Inovacionit, Ministria e Shëndetësisë dhe Mbrojtjes Sociale, organizatat e shoqërisë civile, dhe Zyra e Komisionerit për të Drejtën e Informimit dhe Mbrojtjen e të Dhënave Personale.</w:t>
      </w:r>
    </w:p>
    <w:p w14:paraId="3A29320D" w14:textId="089D6453"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 xml:space="preserve">Fusha e mbështetjes #3: </w:t>
      </w:r>
      <w:r w:rsidR="000F72F0" w:rsidRPr="0036019C">
        <w:rPr>
          <w:rFonts w:ascii="Garamond" w:hAnsi="Garamond"/>
          <w:b/>
          <w:bCs/>
          <w:color w:val="000000" w:themeColor="text1"/>
          <w:lang w:val="sq-AL"/>
        </w:rPr>
        <w:t>Agjend</w:t>
      </w:r>
      <w:r w:rsidRPr="0036019C">
        <w:rPr>
          <w:rFonts w:ascii="Garamond" w:hAnsi="Garamond"/>
          <w:b/>
          <w:bCs/>
          <w:color w:val="000000" w:themeColor="text1"/>
          <w:lang w:val="sq-AL"/>
        </w:rPr>
        <w:t>a e gjelbër dhe lidhshmëria e qëndrueshme &amp; Konkurrueshmëria dhe rritja gjithëpërfshirëse</w:t>
      </w:r>
    </w:p>
    <w:p w14:paraId="5971F8E3"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Lëndët e para kritike janë thelbësore për ekonominë e Evropës. Ndërsa kërkesa globale rritet - veçanërisht për shkak të përpjekjeve për të dekarbonizuar ekonomitë - nevoja për këto materiale po shtohet. Parashikohet që kërkesa e BE-së për metale të rralla të tokës të rritet gjashtë herë deri në vitin 2030 dhe shtatë herë deri në vitin 2050. Aktualisht, Evropa mbështetet në masë të konsiderueshme në import, shpesh nga një vend i vetëm, dhe krizat e fundit kanë nxjerrë në pah dobësitë strategjike të BE-së</w:t>
      </w:r>
      <w:r w:rsidRPr="0036019C" w:rsidDel="001711B3">
        <w:rPr>
          <w:rFonts w:ascii="Garamond" w:hAnsi="Garamond"/>
          <w:color w:val="000000" w:themeColor="text1"/>
          <w:lang w:val="sq-AL"/>
        </w:rPr>
        <w:t>.</w:t>
      </w:r>
    </w:p>
    <w:p w14:paraId="0465F6FB" w14:textId="77777777" w:rsidR="00B06BDA" w:rsidRPr="0036019C" w:rsidRDefault="00B06BDA" w:rsidP="00B06BDA">
      <w:pPr>
        <w:ind w:firstLine="284"/>
        <w:jc w:val="both"/>
        <w:rPr>
          <w:rFonts w:ascii="Garamond" w:hAnsi="Garamond"/>
          <w:color w:val="000000" w:themeColor="text1"/>
          <w:lang w:val="sq-AL"/>
        </w:rPr>
      </w:pPr>
      <w:bookmarkStart w:id="3" w:name="_Toc69384691"/>
      <w:bookmarkStart w:id="4" w:name="_Toc69384822"/>
      <w:bookmarkStart w:id="5" w:name="_Toc69384951"/>
      <w:bookmarkStart w:id="6" w:name="_Toc69385079"/>
      <w:bookmarkStart w:id="7" w:name="_Toc69460827"/>
      <w:bookmarkStart w:id="8" w:name="_Toc69460954"/>
      <w:bookmarkEnd w:id="3"/>
      <w:bookmarkEnd w:id="4"/>
      <w:bookmarkEnd w:id="5"/>
      <w:bookmarkEnd w:id="6"/>
      <w:bookmarkEnd w:id="7"/>
      <w:bookmarkEnd w:id="8"/>
      <w:r w:rsidRPr="0036019C">
        <w:rPr>
          <w:rFonts w:ascii="Garamond" w:hAnsi="Garamond"/>
          <w:color w:val="000000" w:themeColor="text1"/>
          <w:lang w:val="sq-AL"/>
        </w:rPr>
        <w:t>Sipas Shërbimit Gjeologjik Shqiptar, ekzistojnë 51 ngjarje/paraqitje gjeologjike të depozitave të Lëndëve të Para Kritike/Lëndëve të Para Strategjike (CRM/SRM)</w:t>
      </w:r>
      <w:r w:rsidRPr="00CE7B9D">
        <w:rPr>
          <w:rFonts w:ascii="Garamond" w:hAnsi="Garamond"/>
          <w:color w:val="000000" w:themeColor="text1"/>
          <w:vertAlign w:val="superscript"/>
          <w:lang w:val="sq-AL"/>
        </w:rPr>
        <w:footnoteReference w:id="23"/>
      </w:r>
      <w:r w:rsidRPr="00CE7B9D">
        <w:rPr>
          <w:rFonts w:ascii="Garamond" w:hAnsi="Garamond"/>
          <w:color w:val="000000" w:themeColor="text1"/>
          <w:lang w:val="sq-AL"/>
        </w:rPr>
        <w:t>.</w:t>
      </w:r>
      <w:r w:rsidRPr="0036019C">
        <w:rPr>
          <w:rFonts w:ascii="Garamond" w:hAnsi="Garamond"/>
          <w:color w:val="000000" w:themeColor="text1"/>
          <w:lang w:val="sq-AL"/>
        </w:rPr>
        <w:t xml:space="preserve"> Në të gjitha këto raste, rezervat gjeologjike klasifikohen si të vogla dhe të mesme. Pikat kryesore të forcës për zhvillimin e sektorit të Lëndëve të Para Kritike (CRM) në vend janë depozitat e mëdha të Titanomagnetit, një depozitë nikel dhe disa depozita hekuri-nikeli me madhësi të vogël dhe të mesme që aktualisht po shfrytëzohen. Sektori i Lëndëve të Para Kritike njihet si një sektor potencialisht i rëndësishëm ekonomik në Shqipëri dhe është identifikuar si një nga sektorët më të rëndësishëm në Strategjinë e Specializimit të Zgjuar (S3), e cila përcakton objektiva dhe masa specifike për zhvillimin e këtij sektori. Qeveria e Shqipërisë, në bashkëpunim me Komunitetin e Inovacionit për Lëndët e Para i EIT-së </w:t>
      </w:r>
      <w:r w:rsidRPr="0036019C">
        <w:rPr>
          <w:rFonts w:ascii="Garamond" w:hAnsi="Garamond"/>
          <w:i/>
          <w:iCs/>
          <w:color w:val="000000" w:themeColor="text1"/>
          <w:lang w:val="sq-AL"/>
        </w:rPr>
        <w:t>(Instituti Evropian për Inovacion dhe Teknologji),</w:t>
      </w:r>
      <w:r w:rsidRPr="0036019C">
        <w:rPr>
          <w:rFonts w:ascii="Garamond" w:hAnsi="Garamond"/>
          <w:color w:val="000000" w:themeColor="text1"/>
          <w:lang w:val="sq-AL"/>
        </w:rPr>
        <w:t xml:space="preserve"> ka themeluar Qendrën Rajonale të Inovacionit për Lëndët e Para Minerale me një vendim të Këshillit të Ministrave në dhjetor 2023, me qëllim zhvillimin e sektorit CRM dhe rivitalizimin e sektorit minerar në përgjithësi. </w:t>
      </w:r>
    </w:p>
    <w:p w14:paraId="56C0BED8"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Sfidat kryesore që lidhen me sektorin e CRM-së </w:t>
      </w:r>
      <w:r w:rsidRPr="0036019C">
        <w:rPr>
          <w:rFonts w:ascii="Garamond" w:hAnsi="Garamond"/>
          <w:i/>
          <w:iCs/>
          <w:color w:val="000000" w:themeColor="text1"/>
          <w:lang w:val="sq-AL"/>
        </w:rPr>
        <w:t>(Lëndëve të Para Kritike)</w:t>
      </w:r>
      <w:r w:rsidRPr="0036019C">
        <w:rPr>
          <w:rFonts w:ascii="Garamond" w:hAnsi="Garamond"/>
          <w:color w:val="000000" w:themeColor="text1"/>
          <w:lang w:val="sq-AL"/>
        </w:rPr>
        <w:t xml:space="preserve"> janë nevoja për rishikim të sasisë dhe cilësisë përmes analizave minerale të depozitave aktuale; nevoja për përditësimin e kuadrit ligjor dhe strategjik minerar për t’u përputhur me Direktivën më të fundit për Lëndët e Para Kritike dhe për ta bërë vendin më tërheqës për investime; mungesa e infrastrukturës së përshtatshme kërkimore dhe e pajisjeve për studiuesit dhe SME-të </w:t>
      </w:r>
      <w:r w:rsidRPr="0036019C">
        <w:rPr>
          <w:rFonts w:ascii="Garamond" w:hAnsi="Garamond"/>
          <w:i/>
          <w:iCs/>
          <w:color w:val="000000" w:themeColor="text1"/>
          <w:lang w:val="sq-AL"/>
        </w:rPr>
        <w:t>(ndërmarrjet e vogla dhe të mesme)</w:t>
      </w:r>
      <w:r w:rsidRPr="0036019C">
        <w:rPr>
          <w:rFonts w:ascii="Garamond" w:hAnsi="Garamond"/>
          <w:color w:val="000000" w:themeColor="text1"/>
          <w:lang w:val="sq-AL"/>
        </w:rPr>
        <w:t xml:space="preserve"> inovative në sektor; mungesa e menaxhimit mjedisor, rreziqet që lidhen me aspektet e sigurisë dhe aktivitetet minerare me shkallë të vogël pranë komuniteteve rurale të banuara; sfidat e lidhura me qeverisjen dhe transparencën në sektorin e burimeve natyrore; dhe ndihma e kufizuar e donatorëve për sektorin minerar në Shqipëri. </w:t>
      </w:r>
    </w:p>
    <w:p w14:paraId="3B663F22" w14:textId="36227076"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Për sa i përket kërkimit dhe shfrytëzimit CRM/SRM-së </w:t>
      </w:r>
      <w:r w:rsidRPr="0036019C">
        <w:rPr>
          <w:rFonts w:ascii="Garamond" w:hAnsi="Garamond"/>
          <w:i/>
          <w:iCs/>
          <w:color w:val="000000" w:themeColor="text1"/>
          <w:lang w:val="sq-AL"/>
        </w:rPr>
        <w:t>(të Lëndëve të Para Kritike/Strategjike),</w:t>
      </w:r>
      <w:r w:rsidRPr="0036019C">
        <w:rPr>
          <w:rFonts w:ascii="Garamond" w:hAnsi="Garamond"/>
          <w:color w:val="000000" w:themeColor="text1"/>
          <w:lang w:val="sq-AL"/>
        </w:rPr>
        <w:t xml:space="preserve"> institucioni kryesor i politikave është Ministria e Infrastrukturës dhe Energjisë (MIE)</w:t>
      </w:r>
      <w:r w:rsidRPr="0036019C">
        <w:rPr>
          <w:rFonts w:ascii="Garamond" w:hAnsi="Garamond"/>
          <w:b/>
          <w:bCs/>
          <w:color w:val="000000" w:themeColor="text1"/>
          <w:vertAlign w:val="superscript"/>
          <w:lang w:val="sq-AL"/>
        </w:rPr>
        <w:footnoteReference w:id="24"/>
      </w:r>
      <w:r w:rsidRPr="0036019C">
        <w:rPr>
          <w:rFonts w:ascii="Garamond" w:hAnsi="Garamond"/>
          <w:b/>
          <w:bCs/>
          <w:color w:val="000000" w:themeColor="text1"/>
          <w:lang w:val="sq-AL"/>
        </w:rPr>
        <w:t>,</w:t>
      </w:r>
      <w:r w:rsidRPr="0036019C">
        <w:rPr>
          <w:rFonts w:ascii="Garamond" w:hAnsi="Garamond"/>
          <w:color w:val="000000" w:themeColor="text1"/>
          <w:lang w:val="sq-AL"/>
        </w:rPr>
        <w:t xml:space="preserve"> e cila do të jetë përfituesja kryesore e </w:t>
      </w:r>
      <w:r w:rsidR="00C347BB" w:rsidRPr="0036019C">
        <w:rPr>
          <w:rFonts w:ascii="Garamond" w:hAnsi="Garamond"/>
          <w:color w:val="000000" w:themeColor="text1"/>
          <w:lang w:val="sq-AL"/>
        </w:rPr>
        <w:t>veprimit</w:t>
      </w:r>
      <w:r w:rsidRPr="0036019C">
        <w:rPr>
          <w:rFonts w:ascii="Garamond" w:hAnsi="Garamond"/>
          <w:color w:val="000000" w:themeColor="text1"/>
          <w:lang w:val="sq-AL"/>
        </w:rPr>
        <w:t>. Qendra Rajonale e Inovacionit</w:t>
      </w:r>
      <w:r w:rsidRPr="0036019C">
        <w:rPr>
          <w:rStyle w:val="FootnoteReference"/>
          <w:rFonts w:ascii="Garamond" w:hAnsi="Garamond"/>
          <w:color w:val="000000" w:themeColor="text1"/>
          <w:lang w:val="sq-AL"/>
        </w:rPr>
        <w:footnoteReference w:id="25"/>
      </w:r>
      <w:r w:rsidRPr="0036019C">
        <w:rPr>
          <w:rFonts w:ascii="Garamond" w:hAnsi="Garamond"/>
          <w:color w:val="000000" w:themeColor="text1"/>
          <w:lang w:val="sq-AL"/>
        </w:rPr>
        <w:t xml:space="preserve"> për Lëndët e Para EIT në Shqipëri</w:t>
      </w:r>
      <w:r w:rsidRPr="0036019C">
        <w:rPr>
          <w:rFonts w:ascii="Garamond" w:hAnsi="Garamond"/>
          <w:b/>
          <w:bCs/>
          <w:color w:val="000000" w:themeColor="text1"/>
          <w:vertAlign w:val="superscript"/>
          <w:lang w:val="sq-AL"/>
        </w:rPr>
        <w:footnoteReference w:id="26"/>
      </w:r>
      <w:r w:rsidRPr="0036019C">
        <w:rPr>
          <w:rFonts w:ascii="Garamond" w:hAnsi="Garamond"/>
          <w:b/>
          <w:bCs/>
          <w:color w:val="000000" w:themeColor="text1"/>
          <w:lang w:val="sq-AL"/>
        </w:rPr>
        <w:t xml:space="preserve"> </w:t>
      </w:r>
      <w:r w:rsidRPr="0036019C">
        <w:rPr>
          <w:rFonts w:ascii="Garamond" w:hAnsi="Garamond"/>
          <w:color w:val="000000" w:themeColor="text1"/>
          <w:lang w:val="sq-AL"/>
        </w:rPr>
        <w:t xml:space="preserve">është një entitet ligjor me buxhet publik në varësi të Ministrit përgjegjës për minierat dhe industrinë. Misioni i saj është të koordinojë aktivitetin që lidhet me inovacionin dhe zhvillimin </w:t>
      </w:r>
      <w:r w:rsidRPr="0036019C">
        <w:rPr>
          <w:rFonts w:ascii="Garamond" w:hAnsi="Garamond"/>
          <w:color w:val="000000" w:themeColor="text1"/>
          <w:lang w:val="sq-AL"/>
        </w:rPr>
        <w:lastRenderedPageBreak/>
        <w:t xml:space="preserve">në sektorin e lëndëve të para, në bashkëpunim me Lëndët e Para EIT, me qëllim fuqizimin e rajonit me infrastrukturën e duhur për të shfrytëzuar potencialin e tij minerar dhe për të ndërtuar lidhje të forta midis Ballkanit Perëndimor dhe Evropës. </w:t>
      </w:r>
    </w:p>
    <w:p w14:paraId="5C90CCF2" w14:textId="083C2569"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Aktorë të tjerë të interesuar publikë përfshijnë </w:t>
      </w:r>
      <w:r w:rsidRPr="0036019C">
        <w:rPr>
          <w:rStyle w:val="Strong"/>
          <w:rFonts w:ascii="Garamond" w:hAnsi="Garamond"/>
          <w:color w:val="000000" w:themeColor="text1"/>
          <w:lang w:val="sq-AL"/>
        </w:rPr>
        <w:t>Shërbimin Gjeologjik Shqiptar</w:t>
      </w:r>
      <w:r w:rsidRPr="0036019C">
        <w:rPr>
          <w:rFonts w:ascii="Garamond" w:hAnsi="Garamond"/>
          <w:color w:val="000000" w:themeColor="text1"/>
          <w:lang w:val="sq-AL"/>
        </w:rPr>
        <w:t>,</w:t>
      </w:r>
      <w:r w:rsidRPr="0036019C">
        <w:rPr>
          <w:rStyle w:val="FootnoteReference"/>
          <w:rFonts w:ascii="Garamond" w:hAnsi="Garamond"/>
          <w:color w:val="000000" w:themeColor="text1"/>
          <w:lang w:val="sq-AL"/>
        </w:rPr>
        <w:footnoteReference w:id="27"/>
      </w:r>
      <w:r w:rsidRPr="0036019C">
        <w:rPr>
          <w:rFonts w:ascii="Garamond" w:hAnsi="Garamond"/>
          <w:color w:val="000000" w:themeColor="text1"/>
          <w:lang w:val="sq-AL"/>
        </w:rPr>
        <w:t xml:space="preserve"> (AGS/SHGJSH) i cili është përgjegjës për eksplorimin dhe vlerësimin e mineraleve metalike dhe jometalike, materialeve industriale etj</w:t>
      </w:r>
      <w:r w:rsidR="00CE7B9D">
        <w:rPr>
          <w:rFonts w:ascii="Garamond" w:hAnsi="Garamond"/>
          <w:color w:val="000000" w:themeColor="text1"/>
          <w:lang w:val="sq-AL"/>
        </w:rPr>
        <w:t>.</w:t>
      </w:r>
      <w:r w:rsidRPr="0036019C">
        <w:rPr>
          <w:rFonts w:ascii="Garamond" w:hAnsi="Garamond"/>
          <w:color w:val="000000" w:themeColor="text1"/>
          <w:lang w:val="sq-AL"/>
        </w:rPr>
        <w:t xml:space="preserve">, si dhe </w:t>
      </w:r>
      <w:r w:rsidRPr="0036019C">
        <w:rPr>
          <w:rStyle w:val="Strong"/>
          <w:rFonts w:ascii="Garamond" w:hAnsi="Garamond"/>
          <w:color w:val="000000" w:themeColor="text1"/>
          <w:lang w:val="sq-AL"/>
        </w:rPr>
        <w:t>Agjencinë Kombëtare të Burimeve Natyrore</w:t>
      </w:r>
      <w:r w:rsidRPr="0036019C">
        <w:rPr>
          <w:rFonts w:ascii="Garamond" w:hAnsi="Garamond"/>
          <w:color w:val="000000" w:themeColor="text1"/>
          <w:vertAlign w:val="superscript"/>
          <w:lang w:val="sq-AL"/>
        </w:rPr>
        <w:t xml:space="preserve"> </w:t>
      </w:r>
      <w:r w:rsidRPr="0036019C">
        <w:rPr>
          <w:rFonts w:ascii="Garamond" w:hAnsi="Garamond"/>
          <w:color w:val="000000" w:themeColor="text1"/>
          <w:vertAlign w:val="superscript"/>
          <w:lang w:val="sq-AL"/>
        </w:rPr>
        <w:footnoteReference w:id="28"/>
      </w:r>
      <w:r w:rsidRPr="0036019C">
        <w:rPr>
          <w:rFonts w:ascii="Garamond" w:hAnsi="Garamond"/>
          <w:color w:val="000000" w:themeColor="text1"/>
          <w:vertAlign w:val="superscript"/>
          <w:lang w:val="sq-AL"/>
        </w:rPr>
        <w:t xml:space="preserve"> </w:t>
      </w:r>
      <w:r w:rsidRPr="0036019C">
        <w:rPr>
          <w:rFonts w:ascii="Garamond" w:hAnsi="Garamond"/>
          <w:color w:val="000000" w:themeColor="text1"/>
          <w:lang w:val="sq-AL"/>
        </w:rPr>
        <w:t>(AKBN) e cila fokusohet në zhvillimin, mbikëqyrjen dhe shfrytëzimin racional të burimeve natyrore, si dhe në monitorimin e aktiviteteve pas-shfrytëzuese në sektorin minerar. Institucione të tjera publike me përgjegjësi potenciale lidhur me ciklin e sektorit të Lëndëve të Para Kritike/Strategjike (CRM/SRM), nga kërkimi deri te</w:t>
      </w:r>
      <w:r w:rsidR="007146B6">
        <w:rPr>
          <w:rFonts w:ascii="Garamond" w:hAnsi="Garamond"/>
          <w:color w:val="000000" w:themeColor="text1"/>
          <w:lang w:val="sq-AL"/>
        </w:rPr>
        <w:t>k</w:t>
      </w:r>
      <w:r w:rsidRPr="0036019C">
        <w:rPr>
          <w:rFonts w:ascii="Garamond" w:hAnsi="Garamond"/>
          <w:color w:val="000000" w:themeColor="text1"/>
          <w:lang w:val="sq-AL"/>
        </w:rPr>
        <w:t xml:space="preserve"> përpunimi, duhet të përcaktohen qartë në kuadrin e ri/të ndryshuar ligjor; duhet të krijohet një mekanizëm i fortë koordinimi, si dhe të realizohet ndërtimi i kapaciteteve për të adresuar boshllëkun e njohurive në këtë fushë relativisht të re.</w:t>
      </w:r>
    </w:p>
    <w:p w14:paraId="3A1358B3" w14:textId="626A39F9" w:rsidR="00B06BDA" w:rsidRPr="0036019C" w:rsidRDefault="00B06BDA" w:rsidP="00125622">
      <w:pPr>
        <w:pStyle w:val="TEKSTIIIII"/>
        <w:rPr>
          <w:b/>
        </w:rPr>
      </w:pPr>
      <w:r w:rsidRPr="0036019C">
        <w:rPr>
          <w:b/>
        </w:rPr>
        <w:t>2.3 Mësime të nxjerra</w:t>
      </w:r>
    </w:p>
    <w:p w14:paraId="133E9D60" w14:textId="668BC8A9"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Projektet e mëparshme të financuara nga BE-ja kanë theksuar rëndësinë e zotërimit institucional për të mbështetur reformën e drejtësisë në Shqipëri. Ndërsa mbështetja e jashtme ka qenë thelbësore, institucione si Këshilli i Lartë i Drejtësisë (KLD), Këshilli i Lartë i Prokurorisë (KLP), Inspektorati i Lartë i Drejtësisë (ILD) dhe Ministria e Drejtësisë (MD) ende kërkojnë ndërtim kapacitetesh në menaxhimin e burimeve njerëzore dhe planifikimin strategjik për të garantuar qëndrueshmëri afatgjatë. Projektet aktual, si EU4Justice, SoM Twinning, JUST-AL dhe SEJ IV kanë theksuar nevojën për koordinim më të fuqishëm ndërmjet institucioneve të drejtësisë, përmirësim të planifikimit afatgjatë të politikave dhe forcim të komunikimit strategjik për të rikthyer besimin e plotë në sistemin gjyqësor. Vendimmarrja e bazuar në të dhëna të besueshme mbetet një sfidë për shkak të mungesës së një sistemi të unifikuar për statistikat gjyqësore. Për më tepër, çështjet e prapambetura gjyqësore, mungesa e burimeve njerëzore dhe kohëzgjatja e theksuar e procedimeve theksojnë nevojën për masa vendimtare dhe për veprime koordinuese nga institucionet qeverisëse, po aq sa edhe për përmirësimin e performancës së gjykatave në të gjitha nivelet. Në të njëjtën kohë, mbështetja e vazhdueshme dhe forcimi i Shkollës së Magjistraturës në të gjitha kompetencat dhe funksionet e saj, duke përfshirë edhe zgjerimin e bashkëpunimit me rrjetet evropiane të trajnimit ligjor, mbetet nevojë thelbësore për të garantuar cilësi dhe progres të qëndrueshëm të sistemit gjyqësor për të gjitha gjeneratat</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e ardhshme.</w:t>
      </w:r>
    </w:p>
    <w:p w14:paraId="64283740" w14:textId="77777777" w:rsidR="00B06BDA" w:rsidRPr="0036019C" w:rsidRDefault="00B06BDA" w:rsidP="00B06BDA">
      <w:pPr>
        <w:pStyle w:val="NormalWeb"/>
        <w:spacing w:before="0" w:beforeAutospacing="0" w:after="0" w:afterAutospacing="0"/>
        <w:ind w:firstLine="284"/>
        <w:rPr>
          <w:rFonts w:ascii="Garamond" w:eastAsiaTheme="minorHAnsi" w:hAnsi="Garamond"/>
          <w:color w:val="000000" w:themeColor="text1"/>
          <w:lang w:val="sq-AL" w:eastAsia="en-US"/>
        </w:rPr>
      </w:pPr>
      <w:r w:rsidRPr="0036019C">
        <w:rPr>
          <w:rFonts w:ascii="Garamond" w:hAnsi="Garamond"/>
          <w:color w:val="000000" w:themeColor="text1"/>
          <w:lang w:val="sq-AL"/>
        </w:rPr>
        <w:t>Për sa i përket luftës kundër Krimit të Organizuar dhe Korrupsionit, mekanizmat e dobët të raportimit mbi strategjitë kombëtare ndikojnë në procesin e vendimmarrjes dhe koordinimin me donatorët. Nevojitet një bashkëpunim më i mirë ndërinstitucional për të adresuar krime komplekse si trafikimi i qenieve njerëzore dhe kontrabanda e drogës. Sfidat në nivel të përfituesve përfshijnë nevojën për angazhim organizativ në ndërtimin e kapaciteteve, avancim karriere bazuar në meritë, si dhe reforma të qëndrueshme ligjore dhe strukturore për të ruajtur përmirësimet e financuara nga donatorët. Krijimi i partneriteteve afatgjata me organizata ndërkombëtare nxit ndarjen e vazhdueshme të njohurive.</w:t>
      </w:r>
    </w:p>
    <w:p w14:paraId="75DC881C" w14:textId="4295C4F7" w:rsidR="00B06BDA" w:rsidRPr="0036019C" w:rsidRDefault="00B06BDA" w:rsidP="00B06BDA">
      <w:pPr>
        <w:pStyle w:val="NormalWeb"/>
        <w:spacing w:before="0" w:beforeAutospacing="0" w:after="0" w:afterAutospacing="0"/>
        <w:ind w:firstLine="284"/>
        <w:rPr>
          <w:rFonts w:ascii="Garamond" w:hAnsi="Garamond"/>
          <w:color w:val="000000" w:themeColor="text1"/>
          <w:lang w:val="sq-AL"/>
        </w:rPr>
      </w:pPr>
      <w:r w:rsidRPr="0036019C">
        <w:rPr>
          <w:rFonts w:ascii="Garamond" w:eastAsiaTheme="minorHAnsi" w:hAnsi="Garamond"/>
          <w:color w:val="000000" w:themeColor="text1"/>
          <w:lang w:val="sq-AL" w:eastAsia="en-US"/>
        </w:rPr>
        <w:t xml:space="preserve">Strukturat qeveritare duhet të krijojnë mekanizma sistematikë angazhimi dhe veprime pasuese për të forcuar pjesëmarrjen demokratike. Forcimi i institucioneve të pavarura është jetik për ruajtjen e kontrolleve dhe balancave. Komisioni Qendror i Zgjedhjeve (KQZ) kërkon kapacitete të zgjeruara institucionale dhe teknike për të siguruar zgjedhje të lira dhe të ndershme. Mbrojtja e pluralizmit të medias kërkon një Autoritet të Medias Shqiptare (AMA) më të pavarur, transparencë më të madhe në pronësinë e medias dhe mbikëqyrje më të rreptë të medias </w:t>
      </w:r>
      <w:r w:rsidR="000F72F0" w:rsidRPr="0036019C">
        <w:rPr>
          <w:rFonts w:ascii="Garamond" w:eastAsiaTheme="minorHAnsi" w:hAnsi="Garamond"/>
          <w:i/>
          <w:iCs/>
          <w:color w:val="000000" w:themeColor="text1"/>
          <w:lang w:val="sq-AL" w:eastAsia="en-US"/>
        </w:rPr>
        <w:t>online</w:t>
      </w:r>
      <w:r w:rsidRPr="0036019C">
        <w:rPr>
          <w:rFonts w:ascii="Garamond" w:eastAsiaTheme="minorHAnsi" w:hAnsi="Garamond"/>
          <w:color w:val="000000" w:themeColor="text1"/>
          <w:lang w:val="sq-AL" w:eastAsia="en-US"/>
        </w:rPr>
        <w:t>. Një mësim kyç është nevoja për konsultime publike gjithëpërfshirëse dhe transparente me shoqërinë civile dhe median</w:t>
      </w:r>
      <w:r w:rsidRPr="0036019C">
        <w:rPr>
          <w:rFonts w:ascii="Garamond" w:hAnsi="Garamond"/>
          <w:color w:val="000000" w:themeColor="text1"/>
          <w:lang w:val="sq-AL"/>
        </w:rPr>
        <w:t>.</w:t>
      </w:r>
    </w:p>
    <w:p w14:paraId="285E8FA9" w14:textId="58857ED4" w:rsidR="00B06BDA" w:rsidRPr="0036019C" w:rsidRDefault="00B06BDA" w:rsidP="00B06BDA">
      <w:pPr>
        <w:pStyle w:val="NormalWeb"/>
        <w:spacing w:before="0" w:beforeAutospacing="0" w:after="0" w:afterAutospacing="0"/>
        <w:ind w:firstLine="284"/>
        <w:rPr>
          <w:rFonts w:ascii="Garamond" w:hAnsi="Garamond"/>
          <w:color w:val="000000" w:themeColor="text1"/>
          <w:lang w:val="sq-AL"/>
        </w:rPr>
      </w:pPr>
      <w:r w:rsidRPr="0036019C">
        <w:rPr>
          <w:rFonts w:ascii="Garamond" w:hAnsi="Garamond"/>
          <w:color w:val="000000" w:themeColor="text1"/>
          <w:lang w:val="sq-AL"/>
        </w:rPr>
        <w:lastRenderedPageBreak/>
        <w:t xml:space="preserve">BE-ja ka ofruar mbështetje afatgjatë për fushat e parashikuara në kuadër të veprimit për qeverisje të mirë (PAR, MFP, Qeverisja Vendore, statistikat, auditimi i jashtëm), duke përfshirë së fundi mbështetjen në kuadër të Programit IPA 2020 të BE-së për Qeverisje të Mirë; si dhe përmes një numri programesh rajonale. Përvoja nga këto programe tregon rëndësinë e angazhimit të fuqishëm politik, dialogut politik dhe koordinimit midis sektorëve; duke pasur parasysh natyrën ndërsektoriale të reformave të mbështetura. Ndihma teknike mbetet e rëndësishme për zbatimin e mëtejshëm të këtyre reformave, veçanërisht tashmë që fokusi është gjithnjë e më shumë në përafrimin e plotë dhe përfundimtar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 dhe praktikat e BE-së. </w:t>
      </w:r>
    </w:p>
    <w:p w14:paraId="4EBA190A" w14:textId="6FC9D22F" w:rsidR="00B06BDA" w:rsidRPr="0036019C" w:rsidRDefault="00B06BDA" w:rsidP="00B06BDA">
      <w:pPr>
        <w:pStyle w:val="NormalWeb"/>
        <w:spacing w:before="0" w:beforeAutospacing="0" w:after="0" w:afterAutospacing="0"/>
        <w:ind w:firstLine="284"/>
        <w:rPr>
          <w:rFonts w:ascii="Garamond" w:hAnsi="Garamond"/>
          <w:color w:val="000000" w:themeColor="text1"/>
          <w:lang w:val="sq-AL"/>
        </w:rPr>
      </w:pPr>
      <w:r w:rsidRPr="0036019C">
        <w:rPr>
          <w:rFonts w:ascii="Garamond" w:hAnsi="Garamond"/>
          <w:color w:val="000000" w:themeColor="text1"/>
          <w:lang w:val="sq-AL"/>
        </w:rPr>
        <w:t xml:space="preserve">Mbështetja për një forcim të gjerë të potencialit të ndërtimit të kapaciteteve të administratës publike shqiptare është e rëndësishme për të përmirësuar atraktivitetin e sektorit publik për stafin dhe reagimin e tij ndaj sfidave të paraqitura nga procesi i pranimit. Sistemi HRMIS </w:t>
      </w:r>
      <w:r w:rsidRPr="0036019C">
        <w:rPr>
          <w:rFonts w:ascii="Garamond" w:hAnsi="Garamond"/>
          <w:i/>
          <w:iCs/>
          <w:color w:val="000000" w:themeColor="text1"/>
          <w:lang w:val="sq-AL"/>
        </w:rPr>
        <w:t>(Sistemi i Informacionit për Menaxhimin e Burimeve Njerëzore)</w:t>
      </w:r>
      <w:r w:rsidRPr="0036019C">
        <w:rPr>
          <w:rFonts w:ascii="Garamond" w:hAnsi="Garamond"/>
          <w:color w:val="000000" w:themeColor="text1"/>
          <w:lang w:val="sq-AL"/>
        </w:rPr>
        <w:t xml:space="preserve"> është mbështetur më parë dhe është i rëndësishëm për të mbështetur përmirësimet e vazhdueshme, dhe në veçanti integrimin më të mirë me funksione të tjera administrative dhe përdorimin e zgjeruar të mundësive </w:t>
      </w:r>
      <w:r w:rsidR="007129A2">
        <w:rPr>
          <w:rFonts w:ascii="Garamond" w:hAnsi="Garamond"/>
          <w:color w:val="000000" w:themeColor="text1"/>
          <w:lang w:val="sq-AL"/>
        </w:rPr>
        <w:t>digjital</w:t>
      </w:r>
      <w:r w:rsidRPr="0036019C">
        <w:rPr>
          <w:rFonts w:ascii="Garamond" w:hAnsi="Garamond"/>
          <w:color w:val="000000" w:themeColor="text1"/>
          <w:lang w:val="sq-AL"/>
        </w:rPr>
        <w:t>e. Përveç kësaj, do të mbetet e rëndësishme për reformën e procesit institucional dhe administrativ në funksion të luftës kundër korrupsionit, duke u bazuar në vlerësimet e rrezikut dhe planet e integritetit të zhvilluara nga institucionet (shpesh me mbështetjen e BE-së), veçanërisht në sektorin e cenueshëm ndaj korrupsionit.</w:t>
      </w:r>
      <w:r w:rsidR="000F72F0" w:rsidRPr="0036019C">
        <w:rPr>
          <w:rFonts w:ascii="Garamond" w:hAnsi="Garamond"/>
          <w:color w:val="000000" w:themeColor="text1"/>
          <w:lang w:val="sq-AL"/>
        </w:rPr>
        <w:t xml:space="preserve"> </w:t>
      </w:r>
    </w:p>
    <w:p w14:paraId="545F7BE2" w14:textId="0A20A3A1" w:rsidR="00B06BDA" w:rsidRPr="0036019C" w:rsidRDefault="00B06BDA" w:rsidP="00B06BDA">
      <w:pPr>
        <w:pStyle w:val="NormalWeb"/>
        <w:spacing w:before="0" w:beforeAutospacing="0" w:after="0" w:afterAutospacing="0"/>
        <w:ind w:firstLine="284"/>
        <w:rPr>
          <w:rFonts w:ascii="Garamond" w:hAnsi="Garamond"/>
          <w:color w:val="000000" w:themeColor="text1"/>
          <w:lang w:val="sq-AL"/>
        </w:rPr>
      </w:pPr>
      <w:r w:rsidRPr="0036019C">
        <w:rPr>
          <w:rFonts w:ascii="Garamond" w:hAnsi="Garamond"/>
          <w:color w:val="000000" w:themeColor="text1"/>
          <w:lang w:val="sq-AL"/>
        </w:rPr>
        <w:t xml:space="preserve">Mbështetja e BE-së për qeverisjen vendore ka qenë e gjerë, por shpesh mungon integrimi në planet e zhvillimit të komunave, çka ndikon në qëndrueshmërinë e saj. Ndihma e ardhshme duhet të përputhet me strukturat institucionale vendore për të përforcuar ndikimin afatgjatë. Barazia gjinore nuk është trajtuar në mënyrë sistematike në veprimet e financuara nga BE-ja, dhe pjesëmarrja e qytetarëve në qeverisjen vendore mbetet një fushë që kërkon mbështetje të mëtejshme. Veprimi IPA 2026 do të bazohet në mësimet e nxjerra nga iniciativat e mëparshme, duke përfshirë edhe programin e ardhshëm IPA 2024 </w:t>
      </w:r>
      <w:r w:rsidR="00CE7B9D">
        <w:rPr>
          <w:rStyle w:val="Strong"/>
          <w:rFonts w:ascii="Garamond" w:hAnsi="Garamond"/>
          <w:color w:val="000000" w:themeColor="text1"/>
          <w:lang w:val="sq-AL"/>
        </w:rPr>
        <w:t>“</w:t>
      </w:r>
      <w:r w:rsidRPr="0036019C">
        <w:rPr>
          <w:rStyle w:val="Strong"/>
          <w:rFonts w:ascii="Garamond" w:hAnsi="Garamond"/>
          <w:color w:val="000000" w:themeColor="text1"/>
          <w:lang w:val="sq-AL"/>
        </w:rPr>
        <w:t>EU4Local Governance</w:t>
      </w:r>
      <w:r w:rsidR="00CE7B9D">
        <w:rPr>
          <w:rStyle w:val="Strong"/>
          <w:rFonts w:ascii="Garamond" w:hAnsi="Garamond"/>
          <w:color w:val="000000" w:themeColor="text1"/>
          <w:lang w:val="sq-AL"/>
        </w:rPr>
        <w:t>”</w:t>
      </w:r>
      <w:r w:rsidRPr="0036019C">
        <w:rPr>
          <w:rStyle w:val="Strong"/>
          <w:rFonts w:ascii="Garamond" w:hAnsi="Garamond"/>
          <w:color w:val="000000" w:themeColor="text1"/>
          <w:lang w:val="sq-AL"/>
        </w:rPr>
        <w:t xml:space="preserve"> (“BE4Qeverisja Lokale”)</w:t>
      </w:r>
      <w:r w:rsidRPr="0036019C">
        <w:rPr>
          <w:rFonts w:ascii="Garamond" w:hAnsi="Garamond"/>
          <w:color w:val="000000" w:themeColor="text1"/>
          <w:lang w:val="sq-AL"/>
        </w:rPr>
        <w:t>.</w:t>
      </w:r>
    </w:p>
    <w:p w14:paraId="6E20727A" w14:textId="77777777" w:rsidR="00B06BDA" w:rsidRPr="0036019C" w:rsidRDefault="00B06BDA" w:rsidP="00B06BDA">
      <w:pPr>
        <w:pStyle w:val="NormalWeb"/>
        <w:spacing w:before="0" w:beforeAutospacing="0" w:after="0" w:afterAutospacing="0"/>
        <w:ind w:firstLine="284"/>
        <w:rPr>
          <w:rFonts w:ascii="Garamond" w:hAnsi="Garamond"/>
          <w:color w:val="000000" w:themeColor="text1"/>
          <w:lang w:val="sq-AL"/>
        </w:rPr>
      </w:pPr>
      <w:r w:rsidRPr="0036019C">
        <w:rPr>
          <w:rFonts w:ascii="Garamond" w:hAnsi="Garamond"/>
          <w:color w:val="000000" w:themeColor="text1"/>
          <w:lang w:val="sq-AL"/>
        </w:rPr>
        <w:t xml:space="preserve">Nevoja për një kapacitet më të fortë institucional për të koordinuar reformën e Menaxhimit Financiar Publik (PFM) si në nivel qendror, ashtu edhe në nivel vendor mbetet një prioritet. Garantimi i përputhshmërisë midis planifikimit strategjik dhe proceseve buxhetore afatmesme është thelbësor për stabilitetin fiskal afatgjatë, si dhe për përmirësimin e gjenerimit të të ardhurave të brendshme, ku Shqipëria ende mbetet pas vendeve anëtare të BE-së. Nismat e fundit në prokurimin publik kanë forcuar transparencën dhe llogaridhënien, por ndërtimi i vazhdueshëm i kapaciteteve mbetet i nevojshëm për të ruajtur përmirësimet. Përfshirja e shoqërisë civile dhe monitorimi i pavarur luajnë rol kyç në parandalimin e korrupsionit dhe përmirësimin e mbikëqyrjes së prokurimit, dhe duhet të përfshihen në hartimin e projekteve. </w:t>
      </w:r>
    </w:p>
    <w:p w14:paraId="6DD4A94E" w14:textId="77777777" w:rsidR="00B06BDA" w:rsidRPr="0036019C" w:rsidRDefault="00B06BDA" w:rsidP="00B06BDA">
      <w:pPr>
        <w:pStyle w:val="NormalWeb"/>
        <w:spacing w:before="0" w:beforeAutospacing="0" w:after="0" w:afterAutospacing="0"/>
        <w:ind w:firstLine="284"/>
        <w:rPr>
          <w:rFonts w:ascii="Garamond" w:hAnsi="Garamond"/>
          <w:color w:val="000000" w:themeColor="text1"/>
          <w:lang w:val="sq-AL"/>
        </w:rPr>
      </w:pPr>
      <w:r w:rsidRPr="0036019C">
        <w:rPr>
          <w:rFonts w:ascii="Garamond" w:hAnsi="Garamond"/>
          <w:color w:val="000000" w:themeColor="text1"/>
          <w:lang w:val="sq-AL"/>
        </w:rPr>
        <w:t xml:space="preserve">Në auditimin e jashtëm, </w:t>
      </w:r>
      <w:r w:rsidRPr="0036019C">
        <w:rPr>
          <w:rStyle w:val="Strong"/>
          <w:rFonts w:ascii="Garamond" w:hAnsi="Garamond"/>
          <w:color w:val="000000" w:themeColor="text1"/>
          <w:lang w:val="sq-AL"/>
        </w:rPr>
        <w:t>ALSAI</w:t>
      </w:r>
      <w:r w:rsidRPr="0036019C">
        <w:rPr>
          <w:rFonts w:ascii="Garamond" w:hAnsi="Garamond"/>
          <w:color w:val="000000" w:themeColor="text1"/>
          <w:lang w:val="sq-AL"/>
        </w:rPr>
        <w:t xml:space="preserve">/KLSH </w:t>
      </w:r>
      <w:r w:rsidRPr="0036019C">
        <w:rPr>
          <w:rFonts w:ascii="Garamond" w:hAnsi="Garamond"/>
          <w:i/>
          <w:iCs/>
          <w:color w:val="000000" w:themeColor="text1"/>
          <w:lang w:val="sq-AL"/>
        </w:rPr>
        <w:t>(Institucioni i Lartë i Auditimit në Shqipëri)</w:t>
      </w:r>
      <w:r w:rsidRPr="0036019C">
        <w:rPr>
          <w:rFonts w:ascii="Garamond" w:hAnsi="Garamond"/>
          <w:color w:val="000000" w:themeColor="text1"/>
          <w:lang w:val="sq-AL"/>
        </w:rPr>
        <w:t xml:space="preserve"> ka bërë përparim në përputhjen e praktikave të saj me standardet ndërkombëtare dhe në forcimin e auditimit të performancës. Bashkëpunimi me SAI-të/ISA-të </w:t>
      </w:r>
      <w:r w:rsidRPr="0036019C">
        <w:rPr>
          <w:rFonts w:ascii="Garamond" w:hAnsi="Garamond"/>
          <w:i/>
          <w:iCs/>
          <w:color w:val="000000" w:themeColor="text1"/>
          <w:lang w:val="sq-AL"/>
        </w:rPr>
        <w:t>(Institucionet e Larta të Auditimit)</w:t>
      </w:r>
      <w:r w:rsidRPr="0036019C">
        <w:rPr>
          <w:rFonts w:ascii="Garamond" w:hAnsi="Garamond"/>
          <w:color w:val="000000" w:themeColor="text1"/>
          <w:lang w:val="sq-AL"/>
        </w:rPr>
        <w:t xml:space="preserve"> të vendeve evropiane dhe organet kundër korrupsionit (me mbështetje të BE-së) ka sjellë vlerë të shtuar, por mbështetja e mëtejshme mbetet e rëndësishme, përfshirë edhe në fushën e komunikimit të rezultateve të auditimit. </w:t>
      </w:r>
    </w:p>
    <w:p w14:paraId="12700043" w14:textId="77BB2334"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Për sa </w:t>
      </w:r>
      <w:r w:rsidR="007146B6">
        <w:rPr>
          <w:rFonts w:ascii="Garamond" w:hAnsi="Garamond"/>
          <w:color w:val="000000" w:themeColor="text1"/>
          <w:lang w:val="sq-AL"/>
        </w:rPr>
        <w:t>u</w:t>
      </w:r>
      <w:r w:rsidRPr="0036019C">
        <w:rPr>
          <w:rFonts w:ascii="Garamond" w:hAnsi="Garamond"/>
          <w:color w:val="000000" w:themeColor="text1"/>
          <w:lang w:val="sq-AL"/>
        </w:rPr>
        <w:t xml:space="preserve"> përket statistikave, projektet e mëparshme kanë treguar rëndësinë e një mbështetjeje të fortë institucionale të kapaciteteve të zhvilluara, për të ruajtur kapacitetet në INSTAT dhe në anëtarë të tjerë kyç të sistemit statistikor kombëtar. Ndihma është</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e nevojshme për përdorimin më të gjerë të të dhënave administrative, menaxhimin e të dhënave dhe sigurinë kibernetike. Forcimi i transparencës dhe aksesueshmërisë së të dhënave mbetet thelbësor për vendimmarrjen e bazuar në prova.</w:t>
      </w:r>
    </w:p>
    <w:p w14:paraId="6DC6C59B"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Në kuadër të integrimit në BE, asistenca teknike ka rezultuar efektive në forcimin e kapacitetit të Kryenegociatorit të Shqipërisë, ministrive përkatëse dhe institucioneve publike për të kryer vlerësime bilaterale, për të hartuar udhërrëfyes dhe për të përditësuar Planin Kombëtar për Integrimin Evropian. Megjithatë, mbështetja e gjerë koordinuese duhet të zvogëlohet dhe </w:t>
      </w:r>
      <w:r w:rsidRPr="0036019C">
        <w:rPr>
          <w:rFonts w:ascii="Garamond" w:hAnsi="Garamond"/>
          <w:color w:val="000000" w:themeColor="text1"/>
          <w:lang w:val="sq-AL"/>
        </w:rPr>
        <w:lastRenderedPageBreak/>
        <w:t>zëvendësohet me mbështetje të synuar dhe konkrete për të ndihmuar agjencitë individuale të përmbushin standardet specifike të BE-së. Përpjekjet për menaxhimin e ndihmës financiare të BE-së dhe përgatitjen për Politikën e Kohezionit kanë theksuar mangësi në veprimet e mëparshme të mbështetjes.</w:t>
      </w:r>
    </w:p>
    <w:p w14:paraId="7D97BF25" w14:textId="77777777" w:rsidR="00B06BDA" w:rsidRPr="0036019C" w:rsidRDefault="00B06BDA" w:rsidP="00B06BDA">
      <w:pPr>
        <w:pStyle w:val="NormalWeb"/>
        <w:spacing w:before="0" w:beforeAutospacing="0" w:after="0" w:afterAutospacing="0"/>
        <w:ind w:firstLine="284"/>
        <w:rPr>
          <w:rFonts w:ascii="Garamond" w:eastAsiaTheme="minorHAnsi" w:hAnsi="Garamond"/>
          <w:color w:val="000000" w:themeColor="text1"/>
          <w:lang w:val="sq-AL" w:eastAsia="en-US"/>
        </w:rPr>
      </w:pPr>
      <w:r w:rsidRPr="0036019C">
        <w:rPr>
          <w:rFonts w:ascii="Garamond" w:hAnsi="Garamond"/>
          <w:color w:val="000000" w:themeColor="text1"/>
          <w:lang w:val="sq-AL"/>
        </w:rPr>
        <w:t>Mbështetja e kufizuar për përgatitjet e Politikës së Kohezionit thekson më tej nevojën për një qasje më gjithëpërfshirëse dhe të mirë-koordinuar, veçanërisht kur përputhen kërkesat komplekse të Kapitullit 22 me fusha të tjera të politikave. Së fundi, projektet e synuara që adresojnë nevojat e reja kanë theksuar efektivitetin e qasjeve të integruara dhe me aktorë të shumtë</w:t>
      </w:r>
      <w:r w:rsidRPr="0036019C">
        <w:rPr>
          <w:rFonts w:ascii="Garamond" w:eastAsiaTheme="minorHAnsi" w:hAnsi="Garamond"/>
          <w:color w:val="000000" w:themeColor="text1"/>
          <w:lang w:val="sq-AL" w:eastAsia="en-US"/>
        </w:rPr>
        <w:t xml:space="preserve">. </w:t>
      </w:r>
    </w:p>
    <w:p w14:paraId="418CE7C0" w14:textId="77777777" w:rsidR="00B06BDA" w:rsidRPr="0036019C" w:rsidRDefault="00B06BDA" w:rsidP="00B06BDA">
      <w:pPr>
        <w:pStyle w:val="NormalWeb"/>
        <w:spacing w:before="0" w:beforeAutospacing="0" w:after="0" w:afterAutospacing="0"/>
        <w:ind w:firstLine="284"/>
        <w:rPr>
          <w:rFonts w:ascii="Garamond" w:eastAsiaTheme="minorHAnsi" w:hAnsi="Garamond"/>
          <w:color w:val="000000" w:themeColor="text1"/>
          <w:lang w:val="sq-AL" w:eastAsia="en-US"/>
        </w:rPr>
      </w:pPr>
      <w:r w:rsidRPr="0036019C">
        <w:rPr>
          <w:rFonts w:ascii="Garamond" w:hAnsi="Garamond"/>
          <w:color w:val="000000" w:themeColor="text1"/>
          <w:lang w:val="sq-AL"/>
        </w:rPr>
        <w:t>Për më tepër, që nga viti 2023, Shqipëria ka marrë pjesë si vëzhguese në një projekt pilot për vendet në zgjerim në kuadër të Instrumentit të Mbështetjes Teknike</w:t>
      </w:r>
      <w:r w:rsidRPr="0036019C">
        <w:rPr>
          <w:rStyle w:val="FootnoteReference"/>
          <w:rFonts w:ascii="Garamond" w:eastAsiaTheme="minorHAnsi" w:hAnsi="Garamond"/>
          <w:color w:val="000000" w:themeColor="text1"/>
          <w:lang w:val="sq-AL"/>
        </w:rPr>
        <w:t xml:space="preserve"> </w:t>
      </w:r>
      <w:r w:rsidRPr="0036019C">
        <w:rPr>
          <w:rStyle w:val="FootnoteReference"/>
          <w:rFonts w:ascii="Garamond" w:eastAsiaTheme="minorHAnsi" w:hAnsi="Garamond"/>
          <w:color w:val="000000" w:themeColor="text1"/>
          <w:lang w:val="sq-AL" w:eastAsia="en-US"/>
        </w:rPr>
        <w:footnoteReference w:id="29"/>
      </w:r>
      <w:r w:rsidRPr="0036019C">
        <w:rPr>
          <w:rFonts w:ascii="Garamond" w:eastAsiaTheme="minorHAnsi" w:hAnsi="Garamond"/>
          <w:color w:val="000000" w:themeColor="text1"/>
          <w:lang w:val="sq-AL" w:eastAsia="en-US"/>
        </w:rPr>
        <w:t xml:space="preserve">. Qëllimi i projektit pilot është përshpejtimi i anëtarësimit të vendeve në zgjerim në BE duke krijuar lidhje midis vendeve në zgjerim dhe Shteteve Anëtare të BE-së, </w:t>
      </w:r>
      <w:r w:rsidRPr="0036019C">
        <w:rPr>
          <w:rFonts w:ascii="Garamond" w:hAnsi="Garamond"/>
          <w:color w:val="000000" w:themeColor="text1"/>
          <w:lang w:val="sq-AL"/>
        </w:rPr>
        <w:t>dhe duke i njohur vendet e zgjerimit me llojet e reformave dhe projekteve që realizohen nga Shtetet Anëtare të BE-së pas anëtarësimit. Në veçanti, Shqipëria merr pjesë në dy projekte me objektiva të përgjithshëm për përmirësimin e pjesëmarrjes qytetare përmes teknologjive të reja dhe përfshirjen e qëndrueshmërisë në financat publike vendore</w:t>
      </w:r>
      <w:r w:rsidRPr="0036019C">
        <w:rPr>
          <w:rFonts w:ascii="Garamond" w:eastAsiaTheme="minorHAnsi" w:hAnsi="Garamond"/>
          <w:color w:val="000000" w:themeColor="text1"/>
          <w:lang w:val="sq-AL" w:eastAsia="en-US"/>
        </w:rPr>
        <w:t>. </w:t>
      </w:r>
    </w:p>
    <w:p w14:paraId="55A38D96" w14:textId="77777777" w:rsidR="00B06BDA" w:rsidRPr="0036019C" w:rsidRDefault="00B06BDA" w:rsidP="00125622">
      <w:pPr>
        <w:pStyle w:val="TEKSTIIIII"/>
        <w:rPr>
          <w:b/>
        </w:rPr>
      </w:pPr>
      <w:r w:rsidRPr="0036019C">
        <w:rPr>
          <w:b/>
        </w:rPr>
        <w:t>3. PËRSHKRIMI I VEPRIMIT (ÇFARË)</w:t>
      </w:r>
    </w:p>
    <w:p w14:paraId="7E7B8F5A" w14:textId="22E51091" w:rsidR="00B06BDA" w:rsidRPr="0036019C" w:rsidRDefault="00B06BDA" w:rsidP="00125622">
      <w:pPr>
        <w:pStyle w:val="TEKSTIIIII"/>
        <w:rPr>
          <w:b/>
        </w:rPr>
      </w:pPr>
      <w:bookmarkStart w:id="9" w:name="OLE_LINK1"/>
      <w:r w:rsidRPr="0036019C">
        <w:rPr>
          <w:b/>
        </w:rPr>
        <w:t xml:space="preserve">3.1 Logjika e </w:t>
      </w:r>
      <w:r w:rsidR="00CE7B9D" w:rsidRPr="0036019C">
        <w:rPr>
          <w:b/>
        </w:rPr>
        <w:t>ndërhyrjes</w:t>
      </w:r>
    </w:p>
    <w:p w14:paraId="6537640F" w14:textId="61B8B055" w:rsidR="00B06BDA" w:rsidRPr="0036019C" w:rsidRDefault="00B06BDA" w:rsidP="00B06BDA">
      <w:pPr>
        <w:tabs>
          <w:tab w:val="left" w:pos="3105"/>
        </w:tabs>
        <w:ind w:firstLine="284"/>
        <w:jc w:val="both"/>
        <w:rPr>
          <w:rFonts w:ascii="Garamond" w:hAnsi="Garamond"/>
          <w:color w:val="000000" w:themeColor="text1"/>
          <w:lang w:val="sq-AL"/>
        </w:rPr>
      </w:pPr>
      <w:r w:rsidRPr="0036019C">
        <w:rPr>
          <w:rFonts w:ascii="Garamond" w:hAnsi="Garamond"/>
          <w:color w:val="000000" w:themeColor="text1"/>
          <w:lang w:val="sq-AL"/>
        </w:rPr>
        <w:t>Objektivi i Përgjithshëm (</w:t>
      </w:r>
      <w:r w:rsidR="00C347BB" w:rsidRPr="0036019C">
        <w:rPr>
          <w:rFonts w:ascii="Garamond" w:hAnsi="Garamond"/>
          <w:color w:val="000000" w:themeColor="text1"/>
          <w:lang w:val="sq-AL"/>
        </w:rPr>
        <w:t>ndikimi</w:t>
      </w:r>
      <w:r w:rsidRPr="0036019C">
        <w:rPr>
          <w:rFonts w:ascii="Garamond" w:hAnsi="Garamond"/>
          <w:color w:val="000000" w:themeColor="text1"/>
          <w:lang w:val="sq-AL"/>
        </w:rPr>
        <w:t xml:space="preserve">) i këtij </w:t>
      </w:r>
      <w:r w:rsidR="00C347BB" w:rsidRPr="0036019C">
        <w:rPr>
          <w:rFonts w:ascii="Garamond" w:hAnsi="Garamond"/>
          <w:color w:val="000000" w:themeColor="text1"/>
          <w:lang w:val="sq-AL"/>
        </w:rPr>
        <w:t xml:space="preserve">veprimi </w:t>
      </w:r>
      <w:r w:rsidRPr="0036019C">
        <w:rPr>
          <w:rFonts w:ascii="Garamond" w:hAnsi="Garamond"/>
          <w:color w:val="000000" w:themeColor="text1"/>
          <w:lang w:val="sq-AL"/>
        </w:rPr>
        <w:t>është:</w:t>
      </w:r>
    </w:p>
    <w:p w14:paraId="190670BD"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Forcimi i shtetit të së drejtës/sundimit të ligjit, qeverisjes, rezultateve konkrete në luftën kundër krimit të organizuar, sigurisë, kapaciteteve administrative, si dhe zhvillimit ekonomik dhe industrial, me qëllim përshpejtimin e integrimit të Shqipërisë në Bashkimin Evropian.</w:t>
      </w:r>
    </w:p>
    <w:p w14:paraId="271FBB9C" w14:textId="326A4BEE" w:rsidR="00B06BDA" w:rsidRPr="0036019C" w:rsidRDefault="00B06BDA" w:rsidP="00D50516">
      <w:pPr>
        <w:ind w:firstLine="284"/>
        <w:rPr>
          <w:rFonts w:ascii="Garamond" w:hAnsi="Garamond"/>
          <w:color w:val="000000" w:themeColor="text1"/>
          <w:lang w:val="sq-AL"/>
        </w:rPr>
      </w:pPr>
      <w:r w:rsidRPr="0036019C">
        <w:rPr>
          <w:rFonts w:ascii="Garamond" w:hAnsi="Garamond"/>
          <w:color w:val="000000" w:themeColor="text1"/>
          <w:lang w:val="sq-AL"/>
        </w:rPr>
        <w:t>Produktet (objektivat specifik</w:t>
      </w:r>
      <w:r w:rsidR="00A208E8">
        <w:rPr>
          <w:rFonts w:ascii="Garamond" w:hAnsi="Garamond"/>
          <w:color w:val="000000" w:themeColor="text1"/>
          <w:lang w:val="sq-AL"/>
        </w:rPr>
        <w:t>ë</w:t>
      </w:r>
      <w:r w:rsidRPr="0036019C">
        <w:rPr>
          <w:rFonts w:ascii="Garamond" w:hAnsi="Garamond"/>
          <w:color w:val="000000" w:themeColor="text1"/>
          <w:lang w:val="sq-AL"/>
        </w:rPr>
        <w:t>) janë: </w:t>
      </w:r>
    </w:p>
    <w:p w14:paraId="076D04F3"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Style w:val="Strong"/>
          <w:rFonts w:ascii="Garamond" w:hAnsi="Garamond" w:cs="Times New Roman"/>
          <w:b w:val="0"/>
          <w:bCs w:val="0"/>
          <w:color w:val="000000" w:themeColor="text1"/>
        </w:rPr>
        <w:t xml:space="preserve">1. </w:t>
      </w:r>
      <w:r w:rsidRPr="0036019C">
        <w:rPr>
          <w:rStyle w:val="Strong"/>
          <w:rFonts w:ascii="Garamond" w:hAnsi="Garamond" w:cs="Times New Roman"/>
          <w:color w:val="000000" w:themeColor="text1"/>
        </w:rPr>
        <w:t>Forcimi i shtetit të së drejtës në Shqipëri</w:t>
      </w:r>
      <w:r w:rsidRPr="0036019C">
        <w:rPr>
          <w:rFonts w:ascii="Garamond" w:hAnsi="Garamond" w:cs="Times New Roman"/>
          <w:b/>
          <w:bCs/>
          <w:color w:val="000000" w:themeColor="text1"/>
        </w:rPr>
        <w:t xml:space="preserve"> </w:t>
      </w:r>
      <w:r w:rsidRPr="0036019C">
        <w:rPr>
          <w:rFonts w:ascii="Garamond" w:hAnsi="Garamond" w:cs="Times New Roman"/>
          <w:color w:val="000000" w:themeColor="text1"/>
        </w:rPr>
        <w:t>përmes kornizave të fuqizuara ligjore, zbatimit efektiv të politikave mbi të drejtat e njeriut, barazisë dhe të drejtave të pronësisë të përafruara me standardet e BE-së, si dhe përmes avancimit të kapaciteteve, koordinimit dhe llogaridhënies së institucioneve gjyqësore, të rendit dhe demokratike.</w:t>
      </w:r>
    </w:p>
    <w:p w14:paraId="7C63975F"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Style w:val="Strong"/>
          <w:rFonts w:ascii="Garamond" w:hAnsi="Garamond" w:cs="Times New Roman"/>
          <w:b w:val="0"/>
          <w:bCs w:val="0"/>
          <w:color w:val="000000" w:themeColor="text1"/>
        </w:rPr>
        <w:t xml:space="preserve">2. </w:t>
      </w:r>
      <w:r w:rsidRPr="0036019C">
        <w:rPr>
          <w:rStyle w:val="Strong"/>
          <w:rFonts w:ascii="Garamond" w:hAnsi="Garamond" w:cs="Times New Roman"/>
          <w:color w:val="000000" w:themeColor="text1"/>
        </w:rPr>
        <w:t>Forcimi i qeverisjes së mirë</w:t>
      </w:r>
      <w:r w:rsidRPr="0036019C">
        <w:rPr>
          <w:rFonts w:ascii="Garamond" w:hAnsi="Garamond" w:cs="Times New Roman"/>
          <w:color w:val="000000" w:themeColor="text1"/>
        </w:rPr>
        <w:t xml:space="preserve"> në nivel qendror dhe vendor, i përpjekjeve kundër korrupsionit, administratës publike, menaxhimit të financave publike dhe kapaciteteve statistikore, si dhe avancimi i procesit të integrimit në BE, menaxhimi efektiv i ndihmës së BE-së dhe i përgatitjeve për Politikën e Kohezionit.</w:t>
      </w:r>
    </w:p>
    <w:p w14:paraId="13B30117"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Style w:val="Strong"/>
          <w:rFonts w:ascii="Garamond" w:hAnsi="Garamond" w:cs="Times New Roman"/>
          <w:b w:val="0"/>
          <w:bCs w:val="0"/>
          <w:color w:val="000000" w:themeColor="text1"/>
        </w:rPr>
        <w:t xml:space="preserve">3. </w:t>
      </w:r>
      <w:r w:rsidRPr="0036019C">
        <w:rPr>
          <w:rStyle w:val="Strong"/>
          <w:rFonts w:ascii="Garamond" w:hAnsi="Garamond" w:cs="Times New Roman"/>
          <w:color w:val="000000" w:themeColor="text1"/>
        </w:rPr>
        <w:t>Rritja e integrimit ekonomik, konkurrueshmërisë dhe qëndrueshmërisë</w:t>
      </w:r>
      <w:r w:rsidRPr="0036019C">
        <w:rPr>
          <w:rFonts w:ascii="Garamond" w:hAnsi="Garamond" w:cs="Times New Roman"/>
          <w:color w:val="000000" w:themeColor="text1"/>
        </w:rPr>
        <w:t xml:space="preserve"> së sektorit të lëndëve të para kritike të Shqipërisë në zinxhirët e vlerës industrialë të BE-së, në përputhje me standardet e BE-së.</w:t>
      </w:r>
    </w:p>
    <w:p w14:paraId="553D8048" w14:textId="72B3CF15" w:rsidR="00B06BDA" w:rsidRPr="0036019C" w:rsidRDefault="00B06BDA" w:rsidP="00D50516">
      <w:pPr>
        <w:pStyle w:val="NormalWeb"/>
        <w:spacing w:before="0" w:beforeAutospacing="0" w:after="0" w:afterAutospacing="0"/>
        <w:ind w:firstLine="284"/>
        <w:rPr>
          <w:rFonts w:ascii="Garamond" w:hAnsi="Garamond"/>
          <w:color w:val="000000" w:themeColor="text1"/>
          <w:lang w:val="sq-AL" w:eastAsia="en-US"/>
        </w:rPr>
      </w:pPr>
      <w:r w:rsidRPr="0036019C">
        <w:rPr>
          <w:rFonts w:ascii="Garamond" w:hAnsi="Garamond"/>
          <w:color w:val="000000" w:themeColor="text1"/>
          <w:lang w:val="sq-AL" w:eastAsia="en-US"/>
        </w:rPr>
        <w:t>Produktet janë (kjo nuk është listë e plotë):</w:t>
      </w:r>
      <w:r w:rsidR="00BE19F3" w:rsidRPr="0036019C">
        <w:rPr>
          <w:rFonts w:ascii="Garamond" w:hAnsi="Garamond"/>
          <w:color w:val="000000" w:themeColor="text1"/>
          <w:lang w:val="sq-AL"/>
        </w:rPr>
        <w:t xml:space="preserve"> </w:t>
      </w:r>
    </w:p>
    <w:p w14:paraId="336F3B73"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bookmarkStart w:id="10" w:name="_Hlk178089637"/>
      <w:r w:rsidRPr="0036019C">
        <w:rPr>
          <w:rFonts w:ascii="Garamond" w:hAnsi="Garamond" w:cs="Times New Roman"/>
          <w:color w:val="000000" w:themeColor="text1"/>
        </w:rPr>
        <w:t>1.1 Forcimi i qeverisjes, kapaciteteve institucionale dhe vendimmarrjes së bazuar në prova në sektorin e drejtësisë, duke përfshirë gjykatat, shërbimet e prokurorisë dhe organet e posaçme hetimore.</w:t>
      </w:r>
    </w:p>
    <w:p w14:paraId="4D4876D4"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1.2 Garantimi i vazhdimësisë së kapaciteteve të Operacionit Ndërkombëtar të Monitorimit (ONM) për të ushtruar mandatin e tij.</w:t>
      </w:r>
    </w:p>
    <w:p w14:paraId="70038ADD"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1.3 Përmirësimi i Shërbimeve të Drejtësisë për të Mitur, duke përfshirë rehabilitimin e favorshëm për fëmijët dhe programe jo-izoluese, së bashku me forcimin e kapaciteteve për trajnim, kërkim shkencor dhe inovacion në Shkollën e Magjistraturës.non custodia</w:t>
      </w:r>
    </w:p>
    <w:p w14:paraId="52F3370C"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1.4 Rritja e kapaciteteve të autoriteteve kombëtare shqiptare për të mbrojtur të drejtat e njeriut, për të promovuar barazinë-duke përfshirë barazinë gjinore — dhe për të garantuar monitorimin dhe zbatimin efektiv të Kartës së të Drejtave Themelore.</w:t>
      </w:r>
    </w:p>
    <w:p w14:paraId="57939D73"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lastRenderedPageBreak/>
        <w:t>1.5 Forcimi i kuadrit= ligjor, kapaciteteve institucionale dhe efektivitetit operacional për luftimin e rrjeteve të krimit të organizuar, korrupsionit në nivelet e larta, pastrimit të parave, ekstremizmit të dhunshëm dhe terrorizmit, si dhe krimeve mjedisore.</w:t>
      </w:r>
    </w:p>
    <w:p w14:paraId="550C39AA"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1.6 Mbikëqyrje parlamentare e forcuar, integritet zgjedhor dhe liri e medias, duke përfshirë rritjen e llogaridhënies, kapaciteteve institucionale dhe mbrojtjeve ligjore për të garantuar transparencë, gjithëpërfshirje dhe qëndrueshmëri demokratike.</w:t>
      </w:r>
    </w:p>
    <w:p w14:paraId="510D1662"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2.1 Forcimi i efikasitetit dhe efektivitetit të shërbimit civil nëpërmjet ndërtimit të kapaciteteve të avancuara, përdorimit të mjeteve moderne të Menaxhimit të Burimeve Njerëzore dhe modernizimit të vazhdueshëm të proceseve administrative në përputhje me planet e integritetit.</w:t>
      </w:r>
    </w:p>
    <w:p w14:paraId="7E208F74"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2.2 Kapacitete më të mira institucionale dhe administrative të organeve kryesore të qeverisjes vendore dhe modele të pilotuara në përputhje me BE-në për zhvillim të integruar territorial.</w:t>
      </w:r>
      <w:bookmarkEnd w:id="10"/>
    </w:p>
    <w:p w14:paraId="422C5DE3"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 xml:space="preserve">2.3 Forcimi i transparencës dhe i kapaciteteve institucionale në menaxhimin e financave publike (PFM) dhe të të ardhurave të brendshme, përmirësimi i mbrojtjes së të dhënave, kapaciteteve për auditimin e jashtëm, si dhe përmirësimi i prodhimit të të dhënave statistikore dhe i infrastrukturës së të dhënave në përputhje me kërkesat e BE-së. </w:t>
      </w:r>
    </w:p>
    <w:p w14:paraId="3B1A93F9"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bookmarkStart w:id="11" w:name="_Hlk178165354"/>
      <w:r w:rsidRPr="0036019C">
        <w:rPr>
          <w:rFonts w:ascii="Garamond" w:hAnsi="Garamond" w:cs="Times New Roman"/>
          <w:color w:val="000000" w:themeColor="text1"/>
        </w:rPr>
        <w:t>2.4 Përmirësimi i kapaciteteve institucionale për menaxhimin e procesit të negociatave me BE-në, zbatimin e transpozimit ligjor, zbatimin dhe respektimin e ligjeve, si dhe rritjen e ndërgjegjësimit publik mbi integrimin në BE.</w:t>
      </w:r>
    </w:p>
    <w:p w14:paraId="05AB8E61"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2.5 Forcimi i mbështetjes së BE-së, duke përfshirë Programet e Bashkimit, përgatitjen e projekteve, nevojat për monitorim dhe vlerësim, përgatitjet për Politikën e Kohezionit, si dhe mbështetje të synuar për sektorët socialë, mjedisin, kulturën, barazinë gjinore dhe nevojat e tjera emergjente.</w:t>
      </w:r>
    </w:p>
    <w:p w14:paraId="2181C754" w14:textId="3EF1C368"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b/>
          <w:bCs/>
          <w:color w:val="000000" w:themeColor="text1"/>
        </w:rPr>
      </w:pPr>
      <w:r w:rsidRPr="0036019C">
        <w:rPr>
          <w:rFonts w:ascii="Garamond" w:hAnsi="Garamond" w:cs="Times New Roman"/>
          <w:color w:val="000000" w:themeColor="text1"/>
        </w:rPr>
        <w:t xml:space="preserve">2.6 Rritja e kapaciteteve për menaxhimin e të gjitha proceseve lidhur me integrimin e përshpejtuar në Rajon dhe me Tregun e Përbashkët të BE-së, përfshirë koordinimin dhe monitorimin e zbatimit të </w:t>
      </w:r>
      <w:r w:rsidR="000F72F0" w:rsidRPr="0036019C">
        <w:rPr>
          <w:rStyle w:val="Strong"/>
          <w:rFonts w:ascii="Garamond" w:hAnsi="Garamond" w:cs="Times New Roman"/>
          <w:color w:val="000000" w:themeColor="text1"/>
        </w:rPr>
        <w:t>Agjend</w:t>
      </w:r>
      <w:r w:rsidRPr="0036019C">
        <w:rPr>
          <w:rStyle w:val="Strong"/>
          <w:rFonts w:ascii="Garamond" w:hAnsi="Garamond" w:cs="Times New Roman"/>
          <w:color w:val="000000" w:themeColor="text1"/>
        </w:rPr>
        <w:t>ës së Reformave të Shqipërisë</w:t>
      </w:r>
      <w:r w:rsidRPr="0036019C">
        <w:rPr>
          <w:rFonts w:ascii="Garamond" w:hAnsi="Garamond" w:cs="Times New Roman"/>
          <w:b/>
          <w:bCs/>
          <w:color w:val="000000" w:themeColor="text1"/>
        </w:rPr>
        <w:t xml:space="preserve"> </w:t>
      </w:r>
      <w:r w:rsidRPr="0036019C">
        <w:rPr>
          <w:rFonts w:ascii="Garamond" w:hAnsi="Garamond" w:cs="Times New Roman"/>
          <w:color w:val="000000" w:themeColor="text1"/>
        </w:rPr>
        <w:t>të Programit të Reformës dhe Rritjes.</w:t>
      </w:r>
    </w:p>
    <w:p w14:paraId="0AC89BD0"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eastAsia="Times New Roman" w:hAnsi="Garamond" w:cs="Times New Roman"/>
          <w:color w:val="000000" w:themeColor="text1"/>
        </w:rPr>
        <w:t>2.7 SME-të përfitojnë nga mundësitë e ekonomisë qarkore për rritjen e efikasitetit të burimeve dhe fitojnë qasje në teknologji inovative.</w:t>
      </w:r>
    </w:p>
    <w:p w14:paraId="4D0E3A2D" w14:textId="6554EDD1" w:rsidR="00B06BDA" w:rsidRPr="0036019C" w:rsidRDefault="00CB0CA4"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Pr>
          <w:rFonts w:ascii="Garamond" w:hAnsi="Garamond" w:cs="Times New Roman"/>
          <w:color w:val="000000" w:themeColor="text1"/>
        </w:rPr>
        <w:t>3.1</w:t>
      </w:r>
      <w:r w:rsidR="00B06BDA" w:rsidRPr="0036019C">
        <w:rPr>
          <w:rFonts w:ascii="Garamond" w:hAnsi="Garamond" w:cs="Times New Roman"/>
          <w:color w:val="000000" w:themeColor="text1"/>
        </w:rPr>
        <w:t xml:space="preserve"> Përmirësimi i kuadrit strategjik dhe politik, të përafruar me BE-në, për lëndët e para kritike/strategjike (CRM/SRM) dhe ekonominë qarkore, me fokus të veçantë në avancimin e praktikave të menaxhimit mjedisor. </w:t>
      </w:r>
    </w:p>
    <w:p w14:paraId="35DAB25B"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eastAsia="Times New Roman" w:hAnsi="Garamond" w:cs="Times New Roman"/>
          <w:color w:val="000000" w:themeColor="text1"/>
        </w:rPr>
      </w:pPr>
      <w:r w:rsidRPr="0036019C">
        <w:rPr>
          <w:rFonts w:ascii="Garamond" w:hAnsi="Garamond" w:cs="Times New Roman"/>
          <w:color w:val="000000" w:themeColor="text1"/>
        </w:rPr>
        <w:t>3.2 Burimet parësore dhe dytësore të furnizimit për lëndët e para kritike/strategjike (CRM/SRM) dhe opsionet për të zvogëluar gjurmën e konsumit dhe për rritjen e shkallës së përdorimit rrethor të materialeve të vlerësuara dhe të kartografuar</w:t>
      </w:r>
      <w:r w:rsidRPr="0036019C">
        <w:rPr>
          <w:rFonts w:ascii="Garamond" w:eastAsia="Times New Roman" w:hAnsi="Garamond" w:cs="Times New Roman"/>
          <w:color w:val="000000" w:themeColor="text1"/>
        </w:rPr>
        <w:t>a.</w:t>
      </w:r>
    </w:p>
    <w:p w14:paraId="21F91704"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3.3 Vlerësohet ndikimi social dhe mjedisor nga industria nxjerrëse dhe përpunuese, si dhe ripërdorimi i mbetjeve minerare si një burim potencial dytësor për lëndët e para kritike/strategjike (CRM).</w:t>
      </w:r>
    </w:p>
    <w:p w14:paraId="6BF4B2A4" w14:textId="77777777" w:rsidR="00B06BDA" w:rsidRPr="0036019C" w:rsidRDefault="00B06BDA" w:rsidP="00D50516">
      <w:pPr>
        <w:pStyle w:val="ListParagraph"/>
        <w:autoSpaceDE/>
        <w:autoSpaceDN/>
        <w:adjustRightInd/>
        <w:spacing w:after="0" w:line="240" w:lineRule="auto"/>
        <w:ind w:left="0" w:firstLine="284"/>
        <w:contextualSpacing/>
        <w:jc w:val="both"/>
        <w:rPr>
          <w:rFonts w:ascii="Garamond" w:hAnsi="Garamond" w:cs="Times New Roman"/>
          <w:color w:val="000000" w:themeColor="text1"/>
        </w:rPr>
      </w:pPr>
      <w:r w:rsidRPr="0036019C">
        <w:rPr>
          <w:rFonts w:ascii="Garamond" w:hAnsi="Garamond" w:cs="Times New Roman"/>
          <w:color w:val="000000" w:themeColor="text1"/>
        </w:rPr>
        <w:t>3.4 Forcimi i kapaciteteve për kërkime, inovacione, rrjetëzime dhe investime brenda ekosistemit shqiptar të lëndëve të para kritike/strategjike (CRM/SRM) dhe rrjeteve të ekonomisë qarkore.</w:t>
      </w:r>
    </w:p>
    <w:p w14:paraId="257634A4" w14:textId="77777777" w:rsidR="00B06BDA" w:rsidRPr="0036019C" w:rsidRDefault="00B06BDA" w:rsidP="00D50516">
      <w:pPr>
        <w:ind w:firstLine="284"/>
        <w:jc w:val="both"/>
        <w:rPr>
          <w:rFonts w:ascii="Garamond" w:hAnsi="Garamond"/>
          <w:color w:val="000000" w:themeColor="text1"/>
          <w:lang w:val="sq-AL"/>
        </w:rPr>
      </w:pPr>
      <w:r w:rsidRPr="0036019C">
        <w:rPr>
          <w:rFonts w:ascii="Garamond" w:hAnsi="Garamond"/>
          <w:color w:val="000000" w:themeColor="text1"/>
          <w:lang w:val="sq-AL"/>
        </w:rPr>
        <w:t>Listë indikative e aktiviteteve:</w:t>
      </w:r>
    </w:p>
    <w:p w14:paraId="7DF4201D" w14:textId="77777777" w:rsidR="00B06BDA" w:rsidRPr="0036019C" w:rsidRDefault="00B06BDA" w:rsidP="00B06BDA">
      <w:pPr>
        <w:ind w:firstLine="284"/>
        <w:rPr>
          <w:rFonts w:ascii="Garamond" w:hAnsi="Garamond"/>
          <w:color w:val="000000" w:themeColor="text1"/>
          <w:lang w:val="sq-AL"/>
        </w:rPr>
      </w:pPr>
      <w:bookmarkStart w:id="12" w:name="_Hlk176953410"/>
      <w:bookmarkEnd w:id="11"/>
      <w:r w:rsidRPr="0036019C">
        <w:rPr>
          <w:rFonts w:ascii="Garamond" w:hAnsi="Garamond"/>
          <w:b/>
          <w:bCs/>
          <w:color w:val="000000" w:themeColor="text1"/>
          <w:lang w:val="sq-AL"/>
        </w:rPr>
        <w:t>Aktivitete të lidhura me Produktin 1.1:</w:t>
      </w:r>
    </w:p>
    <w:p w14:paraId="1980E1AA" w14:textId="37D791E4" w:rsidR="00B06BDA" w:rsidRPr="0036019C" w:rsidRDefault="00B06BDA" w:rsidP="00A0779A">
      <w:pPr>
        <w:pStyle w:val="TEKSTIIIII"/>
      </w:pPr>
      <w:r w:rsidRPr="0036019C">
        <w:t>-</w:t>
      </w:r>
      <w:r w:rsidR="000F72F0" w:rsidRPr="0036019C">
        <w:t xml:space="preserve"> </w:t>
      </w:r>
      <w:r w:rsidRPr="0036019C">
        <w:t>Të ofrohet këshillim dhe të forcohen më tej kapacitetet e institucioneve të qeverisjes së sistemit gjyqësor (KLGJ, KLP dhe KLD) për ushtrimin e kompetencave të tyre, me qëllim sigurimin e masave të koordinuara për rritjen e efikasitetit gjyqësor, përmirësimin e komunikimit strategjik dhe transparencës, kryerjen e vlerësimeve cilësore dhe promovimeve në karrierë, dhënien e këshillave mbi rishikimin ligjor dhe hartimin e akteve nënligjore, rishikimin e standardeve etike, si dhe forcimin e kapaciteteve të brendshme përmes trajnimeve dhe shkëmbimit të përvojave me institucione të ngjashme të Shteteve Anëtare të BE-së;</w:t>
      </w:r>
    </w:p>
    <w:p w14:paraId="005DE43E" w14:textId="6404B5C9" w:rsidR="00B06BDA" w:rsidRPr="0036019C" w:rsidRDefault="00B06BDA" w:rsidP="00A0779A">
      <w:pPr>
        <w:pStyle w:val="TEKSTIIIII"/>
      </w:pPr>
      <w:r w:rsidRPr="0036019C">
        <w:t>-</w:t>
      </w:r>
      <w:r w:rsidR="000F72F0" w:rsidRPr="0036019C">
        <w:t xml:space="preserve"> </w:t>
      </w:r>
      <w:r w:rsidRPr="0036019C">
        <w:t xml:space="preserve">Të forcohen kapacitetet menaxhuese të gjykatave, të reduktohet numri i çështjeve të mbetura pezull dhe kohëzgjatja e proceseve, të sigurohet vlerësimi i nevojave dhe të rritet transparenca nëpërmjet aksesit në dosje dhe administrimit të shërbimeve gjyqësore. Kur është e zbatueshme, të </w:t>
      </w:r>
      <w:r w:rsidRPr="0036019C">
        <w:lastRenderedPageBreak/>
        <w:t>punohet ngushtësisht me Gjykatën e Lartë dhe Gjykatën Kushtetuese për vendosjen e standardeve në vendimmarrjen gjyqësore, zhvillimin e kërkimit dhe përmirësimin e cilësisë së vendimeve gjyqësore, me synim ruajtjen e frymës së Reformës në Drejtësi në të gjitha aspektet e saj, si dhe forcimin e rolit të Ministrisë së Drejtësisë (MdD);</w:t>
      </w:r>
    </w:p>
    <w:p w14:paraId="2D09DBD1" w14:textId="77777777" w:rsidR="00B06BDA" w:rsidRPr="0036019C" w:rsidRDefault="00B06BDA" w:rsidP="00A0779A">
      <w:pPr>
        <w:pStyle w:val="TEKSTIIIII"/>
      </w:pPr>
      <w:r w:rsidRPr="0036019C">
        <w:t xml:space="preserve">-Të garantohet transferimi i duhur i standardeve dhe kompetencave të procesit të rivlerësimit kalimtar </w:t>
      </w:r>
      <w:r w:rsidRPr="00CE7B9D">
        <w:rPr>
          <w:i/>
          <w:iCs/>
        </w:rPr>
        <w:t>(vetting),</w:t>
      </w:r>
      <w:r w:rsidRPr="0036019C">
        <w:t xml:space="preserve"> kur është e zbatueshme, tek institucionet përkatëse të drejtësisë;</w:t>
      </w:r>
    </w:p>
    <w:p w14:paraId="6E42AABB" w14:textId="5E0E5BB6" w:rsidR="00B06BDA" w:rsidRPr="0036019C" w:rsidRDefault="00B06BDA" w:rsidP="00A0779A">
      <w:pPr>
        <w:pStyle w:val="TEKSTIIIII"/>
      </w:pPr>
      <w:r w:rsidRPr="0036019C">
        <w:t xml:space="preserve">-Të forcohen kapacitetet për zbatimin e praktikave të drejtësisë restauruese, me qëllim promovimin e rehabilitimit dhe reduktimin e përsëritjes së veprave penale, nëpërmjet një sistemi të përforcuar të shërbimit të provës, duke ndihmuar në rekrutimin, trajnimin dhe zhvillimin e praktikës së stafit të provës, si dhe nëpërmjet </w:t>
      </w:r>
      <w:r w:rsidR="007129A2">
        <w:t>digjital</w:t>
      </w:r>
      <w:r w:rsidRPr="0036019C">
        <w:t>izimit të dokumenteve dhe proceseve;</w:t>
      </w:r>
    </w:p>
    <w:p w14:paraId="0E9CACF1" w14:textId="77777777" w:rsidR="00B06BDA" w:rsidRPr="0036019C" w:rsidRDefault="00B06BDA" w:rsidP="00A0779A">
      <w:pPr>
        <w:pStyle w:val="TEKSTIIIII"/>
      </w:pPr>
      <w:r w:rsidRPr="0036019C">
        <w:t>-Të hartohen dhe zbatohen aktet nënligjore për kuadrin statistikor dhe të menaxhimit të të dhënave në sektorin e drejtësisë, përfshirë analizën e të dhënave të ndara sipas gjinisë, si dhe të ofrohet mbështetje për trajnimet dhe praktikat e punës për Ministrinë e Drejtësisë, me qëllim ofrimin e analizave cilësore të të dhënave, raportimeve dhe hartimit të akteve ligjore mbi bazën e politikave të orientuara nga të dhënat;</w:t>
      </w:r>
    </w:p>
    <w:p w14:paraId="2BA34755" w14:textId="47823FC4" w:rsidR="00B06BDA" w:rsidRPr="0036019C" w:rsidRDefault="00B06BDA" w:rsidP="00A0779A">
      <w:pPr>
        <w:pStyle w:val="TEKSTIIIII"/>
      </w:pPr>
      <w:r w:rsidRPr="0036019C">
        <w:t xml:space="preserve">-Të forcohet trajnimi gjyqësor i Shkollës së Magjistraturës nëpërmjet përmirësimit të mëtejshëm të provimit të pranimit, përditësimit të kurrikulës me tema të reja ligjore të përafruara me </w:t>
      </w:r>
      <w:r w:rsidR="000F72F0" w:rsidRPr="0036019C">
        <w:rPr>
          <w:i/>
          <w:iCs/>
        </w:rPr>
        <w:t>acquis</w:t>
      </w:r>
      <w:r w:rsidRPr="0036019C">
        <w:t xml:space="preserve"> të BE-së, përmirësimit të trajnimeve mbi aftësitë, standardet e integritetit dhe praktikat më të mira, forcimit të programit të mentorimit, si dhe garantimit të përdorimit më të mirë të teknologjisë </w:t>
      </w:r>
      <w:r w:rsidR="007129A2">
        <w:t>digjital</w:t>
      </w:r>
      <w:r w:rsidRPr="0036019C">
        <w:t>e për të nxënë dhe mbledhur të dhëna. Gjithashtu, të forcohen kapacitetet menaxhuese dhe ato të rekrutimit për stafin e përhershëm dhe jo të përhershëm të trajnimit.</w:t>
      </w:r>
    </w:p>
    <w:p w14:paraId="31F4610B"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b/>
          <w:bCs/>
          <w:color w:val="000000" w:themeColor="text1"/>
          <w:lang w:val="sq-AL"/>
        </w:rPr>
        <w:t>Aktivitete të lidhura me Produktin 1.2</w:t>
      </w:r>
    </w:p>
    <w:p w14:paraId="073BC2AF" w14:textId="77777777" w:rsidR="00B06BDA" w:rsidRPr="0036019C" w:rsidRDefault="00B06BDA" w:rsidP="00A0779A">
      <w:pPr>
        <w:pStyle w:val="TEKSTIIIII"/>
      </w:pPr>
      <w:r w:rsidRPr="0036019C">
        <w:t>- Ofrimi i mbështetjes së nevojshme operacionale për të lehtësuar funksionimin efektiv të detyrave të ONM-së (Operacioni Ndërkombëtar i Monitorimit) deri në përfundim të procesit të rivlerësimit (ankimeve).</w:t>
      </w:r>
    </w:p>
    <w:p w14:paraId="1AA86554" w14:textId="77777777" w:rsidR="00B06BDA" w:rsidRPr="0036019C" w:rsidRDefault="00B06BDA" w:rsidP="00A0779A">
      <w:pPr>
        <w:pStyle w:val="TEKSTIIIII"/>
      </w:pPr>
      <w:r w:rsidRPr="0036019C">
        <w:t>- Lehtësimi i monitorimit dhe raportimit të vazhdueshëm të procedurave të seancave në Dhomën e Apelimit dhe, nëse çmohet e nevojshme, formulimi i opinioneve kundërshtuese.</w:t>
      </w:r>
    </w:p>
    <w:bookmarkEnd w:id="12"/>
    <w:p w14:paraId="4944125E" w14:textId="77777777" w:rsidR="00B06BDA" w:rsidRPr="0036019C" w:rsidRDefault="00B06BDA" w:rsidP="00A0779A">
      <w:pPr>
        <w:pStyle w:val="TEKSTIIIII"/>
      </w:pPr>
      <w:r w:rsidRPr="0036019C">
        <w:rPr>
          <w:b/>
          <w:bCs/>
        </w:rPr>
        <w:t>Aktivitete të lidhura me Produktin 1.3</w:t>
      </w:r>
    </w:p>
    <w:p w14:paraId="53818B98" w14:textId="77777777" w:rsidR="00B06BDA" w:rsidRPr="0036019C" w:rsidRDefault="00B06BDA" w:rsidP="00A0779A">
      <w:pPr>
        <w:pStyle w:val="TEKSTIIIII"/>
      </w:pPr>
      <w:r w:rsidRPr="0036019C">
        <w:t xml:space="preserve">- Zbatimi i një qasjeje të integruar për drejtësinë dhe rehabilitimin miqësor ndaj fëmijëve, përmes forcimit të kuadrit rregullator, rritjes së kapaciteteve institucionale me anë të trajnimeve të specializuara, përafrimit të dispozitave ligjore me standardet ndërkombëtare, integrimit të modelit </w:t>
      </w:r>
      <w:r w:rsidRPr="0036019C">
        <w:rPr>
          <w:i/>
          <w:iCs/>
        </w:rPr>
        <w:t>Barnahus</w:t>
      </w:r>
      <w:r w:rsidRPr="0036019C">
        <w:t xml:space="preserve"> për mbështetje gjithëpërfshirëse të viktimave, si dhe mbështetjes së Qendrës Kombëtare për Rehabilitimin dhe Riintegrimin e Fëmijëve dhe të Rinjve në Konflikt me Ligjin.</w:t>
      </w:r>
    </w:p>
    <w:p w14:paraId="2BD53231" w14:textId="77777777" w:rsidR="00B06BDA" w:rsidRPr="0036019C" w:rsidRDefault="00B06BDA" w:rsidP="00A0779A">
      <w:pPr>
        <w:pStyle w:val="TEKSTIIIII"/>
      </w:pPr>
      <w:r w:rsidRPr="0036019C">
        <w:t>- Hartimi i kuadrit rregullator për Qendrën Kombëtare për Rehabilitimin dhe Riintegrimin e Fëmijëve dhe të Rinjve në Konflikt me Ligjin, dhe mbështetja e autoriteteve të drejtësisë me udhëzime mbi prioritetin e interesit më të lartë të fëmijës gjatë procedimeve ligjore.</w:t>
      </w:r>
    </w:p>
    <w:p w14:paraId="2CF351D3" w14:textId="77777777" w:rsidR="00B06BDA" w:rsidRPr="0036019C" w:rsidRDefault="00B06BDA" w:rsidP="00A0779A">
      <w:pPr>
        <w:pStyle w:val="TEKSTIIIII"/>
      </w:pPr>
      <w:r w:rsidRPr="0036019C">
        <w:t>- Mbështetja e monitorimit dhe raportimit cilësor për Strategjinë e Drejtësisë për Fëmijët dhe Strategjinë e Mbrojtjes së Viktimave, si dhe kryerja e kërkimeve me qasje sensitive ndaj gjinisë mbi kriminalitetin e të miturve dhe viktimizimin e fëmijëve, me qëllim orientimin e zhvillimeve të ardhshme të politikave.</w:t>
      </w:r>
    </w:p>
    <w:p w14:paraId="0D96E532"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b/>
          <w:bCs/>
          <w:color w:val="000000" w:themeColor="text1"/>
          <w:lang w:val="sq-AL"/>
        </w:rPr>
        <w:t>Aktivitete të lidhura me Produktin 1.4</w:t>
      </w:r>
    </w:p>
    <w:p w14:paraId="70E364F6" w14:textId="77777777" w:rsidR="00B06BDA" w:rsidRPr="0036019C" w:rsidRDefault="00B06BDA" w:rsidP="00A0779A">
      <w:pPr>
        <w:pStyle w:val="TEKSTIIIII"/>
      </w:pPr>
      <w:r w:rsidRPr="0036019C">
        <w:t>- Ofrimi i këshillave për hartimin e politikave dhe forcimi i mëtejshëm i kapaciteteve institucionale të organeve publike për t’u përafruar me standardet e BE-së dhe ato ndërkombëtare për të drejtat e njeriut;</w:t>
      </w:r>
    </w:p>
    <w:p w14:paraId="5EA51B3D" w14:textId="77777777" w:rsidR="00B06BDA" w:rsidRPr="0036019C" w:rsidRDefault="00B06BDA" w:rsidP="00A0779A">
      <w:pPr>
        <w:pStyle w:val="TEKSTIIIII"/>
      </w:pPr>
      <w:r w:rsidRPr="0036019C">
        <w:t>- Asistencë në mbledhjen dhe monitorimin e të dhënave, përfshirë të dhënat e ndara sipas gjinisë, për të ndjekur zbatimin dhe raportimin mbi të drejtat e njeriut dhe barazinë, si dhe fuqizimin e OSHC-ve në monitorimin e të drejtave;</w:t>
      </w:r>
    </w:p>
    <w:p w14:paraId="7F12E652" w14:textId="77777777" w:rsidR="00B06BDA" w:rsidRPr="0036019C" w:rsidRDefault="00B06BDA" w:rsidP="00A0779A">
      <w:pPr>
        <w:pStyle w:val="TEKSTIIIII"/>
      </w:pPr>
      <w:r w:rsidRPr="0036019C">
        <w:t>- Krijimi i një pike kontakti për Kartën dhe mekanizmave të përputhshmërisë lidhur me kushtëzimet për Politikën e Kohezionit.</w:t>
      </w:r>
    </w:p>
    <w:p w14:paraId="131ADEF6"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Aktivitete të lidhura me Produktin 1.5:</w:t>
      </w:r>
    </w:p>
    <w:p w14:paraId="08E850EC" w14:textId="77777777" w:rsidR="00B06BDA" w:rsidRPr="0036019C" w:rsidRDefault="00B06BDA" w:rsidP="00A0779A">
      <w:pPr>
        <w:pStyle w:val="TEKSTIIIII"/>
      </w:pPr>
      <w:r w:rsidRPr="0036019C">
        <w:lastRenderedPageBreak/>
        <w:t>- Ofrimi i asistencës teknike mbi kuadrin ligjor të përafruar me BE-në, përmirësimin e monitorimit të politikave dhe forcimin e bashkëpunimit ndërinstitucional në luftën kundër krimit të organizuar, pastrimit të parave, rikuperimit të aseteve dhe korrupsionit;</w:t>
      </w:r>
    </w:p>
    <w:p w14:paraId="53752122" w14:textId="77777777" w:rsidR="00B06BDA" w:rsidRPr="0036019C" w:rsidRDefault="00B06BDA" w:rsidP="00A0779A">
      <w:pPr>
        <w:pStyle w:val="TEKSTIIIII"/>
      </w:pPr>
      <w:r w:rsidRPr="0036019C">
        <w:t>- Rritja e kapaciteteve për ndjekjen penale të krimit të organizuar, krimit kibernetik, veprave penale financiare dhe krimeve mjedisore duke përdorur teknika të avancuara hetimore, lehtësimi i bashkëpunimit me agjencitë e BE-së dhe pajisja e institucioneve me mjete moderne për të forcuar aftësitë operacionale;</w:t>
      </w:r>
    </w:p>
    <w:p w14:paraId="4F85066B" w14:textId="77777777" w:rsidR="00B06BDA" w:rsidRPr="0036019C" w:rsidRDefault="00B06BDA" w:rsidP="00A0779A">
      <w:pPr>
        <w:pStyle w:val="TEKSTIIIII"/>
      </w:pPr>
      <w:r w:rsidRPr="0036019C">
        <w:t>- Mbështetje për zhvillimin e politikave dhe ndërtimin e kapaciteteve institucionale në luftën kundër ekstremizmit të dhunshëm dhe kërcënimeve terroriste;</w:t>
      </w:r>
    </w:p>
    <w:p w14:paraId="3D541462" w14:textId="77777777" w:rsidR="00B06BDA" w:rsidRPr="0036019C" w:rsidRDefault="00B06BDA" w:rsidP="00A0779A">
      <w:pPr>
        <w:pStyle w:val="TEKSTIIIII"/>
      </w:pPr>
      <w:r w:rsidRPr="0036019C">
        <w:t>- Asistencë për Akademinë e Sigurisë dhe Shkollën e Magjistraturës në zhvillimin e kurrikulave, krijimin e partneriteteve arsimore dhe fillimin e projekteve të përbashkëta kërkimore me akademitë e BE-së.</w:t>
      </w:r>
    </w:p>
    <w:p w14:paraId="5D9EC173"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Aktivitete të lidhura me Produktin 1.6:</w:t>
      </w:r>
    </w:p>
    <w:p w14:paraId="2E704E6B" w14:textId="0E706EDA" w:rsidR="00B06BDA" w:rsidRPr="0036019C" w:rsidRDefault="00B06BDA" w:rsidP="00A0779A">
      <w:pPr>
        <w:pStyle w:val="TEKSTIIIII"/>
      </w:pPr>
      <w:r w:rsidRPr="0036019C">
        <w:t xml:space="preserve">- Ofrimi i asistencës teknike për Parlamentin e Shqipërisë për të përmbushur rolin e tij në procesin e integrimit në BE, nëpërmjet trajnimeve, shkëmbimit të praktikave më të mira dhe ngritjes së kapaciteteve në monitorim, hartim legjislacioni dhe sigurimin kundër korrupsionit, së bashku me promovimin e barazisë gjinore në legjislacion, forcimin e shërbimeve parlamentare dhe mbështetjen e mbikëqyrjes mbi lirinë e medias, qeverisjen </w:t>
      </w:r>
      <w:r w:rsidR="007129A2">
        <w:t>digjital</w:t>
      </w:r>
      <w:r w:rsidRPr="0036019C">
        <w:t>e dhe sigurinë kibernetike;</w:t>
      </w:r>
    </w:p>
    <w:p w14:paraId="257D1918" w14:textId="77777777" w:rsidR="00B06BDA" w:rsidRPr="0036019C" w:rsidRDefault="00B06BDA" w:rsidP="00A0779A">
      <w:pPr>
        <w:pStyle w:val="TEKSTIIIII"/>
      </w:pPr>
      <w:r w:rsidRPr="0036019C">
        <w:t>- Ofrimi i mbështetjes për deputetët, me fokus të veçantë te deputetet gra, në arritjen e konsensusit ndërpartiak mbi nismat për barazinë gjinore;</w:t>
      </w:r>
    </w:p>
    <w:p w14:paraId="4B38665D" w14:textId="1E51B055" w:rsidR="00B06BDA" w:rsidRPr="0036019C" w:rsidRDefault="00B06BDA" w:rsidP="00A0779A">
      <w:pPr>
        <w:pStyle w:val="TEKSTIIIII"/>
      </w:pPr>
      <w:r w:rsidRPr="0036019C">
        <w:t xml:space="preserve">- Dhënia e asistencës për Komisionin Qendror të Zgjedhjeve (KQZ) për të rritur kapacitetet në mbikëqyrje dhe llogaridhënie, për të forcuar bashkëpunimin me shoqërinë civile dhe median, për të mbështetur Inteligjencën e Biznesit në analizimin e financave të partive politike, për të përmirësuar infrastrukturën </w:t>
      </w:r>
      <w:r w:rsidR="007129A2">
        <w:t>digjital</w:t>
      </w:r>
      <w:r w:rsidRPr="0036019C">
        <w:t>e për aksesueshmëri dhe për të ngritur një qendër trajnimi për përmirësimin e administrimit zgjedhor;</w:t>
      </w:r>
    </w:p>
    <w:p w14:paraId="4DBBE3E9" w14:textId="3F770965" w:rsidR="00B06BDA" w:rsidRPr="0036019C" w:rsidRDefault="00B06BDA" w:rsidP="00A0779A">
      <w:pPr>
        <w:pStyle w:val="TEKSTIIIII"/>
      </w:pPr>
      <w:r w:rsidRPr="0036019C">
        <w:t xml:space="preserve">- Mbështetje për Autoritetin e Mediave Audiovizive (AMA) në përafrimin e funksioneve të saj rregullatore me standardet e BE-së, forcimin e kapacitetit për të monitoruar median </w:t>
      </w:r>
      <w:r w:rsidR="000F72F0" w:rsidRPr="0036019C">
        <w:rPr>
          <w:i/>
          <w:iCs/>
        </w:rPr>
        <w:t>online</w:t>
      </w:r>
      <w:r w:rsidRPr="0036019C">
        <w:t xml:space="preserve"> dhe për të rregulluar platformat </w:t>
      </w:r>
      <w:r w:rsidR="007129A2">
        <w:t>digjital</w:t>
      </w:r>
      <w:r w:rsidRPr="0036019C">
        <w:t xml:space="preserve">e në luftën kundër seksizmit, gjuhës së urrejtjes dhe dezinformimit, si dhe mbështetje për aktorët mediatikë, shoqërinë civile dhe mbrojtësit e të drejtave të njeriut në zbatimin e masave </w:t>
      </w:r>
      <w:r w:rsidR="0070324F">
        <w:t>anti</w:t>
      </w:r>
      <w:r w:rsidRPr="0036019C">
        <w:t xml:space="preserve">SLAPP </w:t>
      </w:r>
      <w:r w:rsidRPr="0036019C">
        <w:rPr>
          <w:i/>
          <w:iCs/>
        </w:rPr>
        <w:t>(Padi Strategjike Kundër Pjesëmarrjes Publike),</w:t>
      </w:r>
      <w:r w:rsidRPr="0036019C">
        <w:t xml:space="preserve"> në përputhje me Këshillin e Evropës dhe Direktivën (BE) 2024/1096.</w:t>
      </w:r>
    </w:p>
    <w:p w14:paraId="3C235197"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Aktivitete të lidhura me Rezultatin 2.1:</w:t>
      </w:r>
    </w:p>
    <w:p w14:paraId="31FDCF92" w14:textId="26D4E2D6" w:rsidR="00B06BDA" w:rsidRPr="0036019C" w:rsidRDefault="00B06BDA" w:rsidP="00A0779A">
      <w:pPr>
        <w:pStyle w:val="TEKSTIIIII"/>
      </w:pPr>
      <w:r w:rsidRPr="0036019C">
        <w:t xml:space="preserve">- Mbështetje për Departamentin e Administratës Publike (DAP), Shkollën Shqiptare të Administratës Publike (ASPA/SHSHAP) dhe shërbimin civil përmes ngritjes së kapaciteteve, programeve arsimore dhe platformave </w:t>
      </w:r>
      <w:r w:rsidR="007129A2">
        <w:t>digjital</w:t>
      </w:r>
      <w:r w:rsidRPr="0036019C">
        <w:t>e të të nxënit;</w:t>
      </w:r>
    </w:p>
    <w:p w14:paraId="7110D2FA" w14:textId="77777777" w:rsidR="00B06BDA" w:rsidRPr="0036019C" w:rsidRDefault="00B06BDA" w:rsidP="00A0779A">
      <w:pPr>
        <w:pStyle w:val="TEKSTIIIII"/>
      </w:pPr>
      <w:r w:rsidRPr="0036019C">
        <w:t>- Asistencë në përafrimin legjislativ dhe përmbushjen e kritereve të anëtarësimit në BE për reformën e administratës publike, përfshirë edhe përmes konsulencës ligjore;</w:t>
      </w:r>
    </w:p>
    <w:p w14:paraId="2D7AB0D7" w14:textId="5846A723" w:rsidR="00B06BDA" w:rsidRPr="0036019C" w:rsidRDefault="00B06BDA" w:rsidP="00A0779A">
      <w:pPr>
        <w:pStyle w:val="TEKSTIIIII"/>
      </w:pPr>
      <w:r w:rsidRPr="0036019C">
        <w:t xml:space="preserve">- Lehtësimi i automatizimit të proceseve të Menaxhimit të Burimeve Njerëzore, duke përfshirë përmirësimin e platformës </w:t>
      </w:r>
      <w:r w:rsidR="007129A2">
        <w:t>digjital</w:t>
      </w:r>
      <w:r w:rsidRPr="0036019C">
        <w:t>e të HRM/</w:t>
      </w:r>
      <w:r w:rsidR="00CE7B9D" w:rsidRPr="0036019C">
        <w:t>MBNJ</w:t>
      </w:r>
      <w:r w:rsidRPr="0036019C">
        <w:t>;</w:t>
      </w:r>
    </w:p>
    <w:p w14:paraId="56DEF0DC" w14:textId="127E16E4" w:rsidR="00B06BDA" w:rsidRPr="0036019C" w:rsidRDefault="00B06BDA" w:rsidP="00A0779A">
      <w:pPr>
        <w:pStyle w:val="TEKSTIIIII"/>
      </w:pPr>
      <w:r w:rsidRPr="0036019C">
        <w:t>- Mbështetje për reformat e proceseve administrative për të forcuar integritetin dhe luftën kundër korrupsionit në sektorët kyç, me theks të veçantë te sektorët e cenueshëm nga korrupsioni dhe në përgjigje të planeve të integritetit të hartuara prej tyre.</w:t>
      </w:r>
    </w:p>
    <w:p w14:paraId="26346ED0"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Aktivitete të lidhura me Produktin 2.2:</w:t>
      </w:r>
    </w:p>
    <w:p w14:paraId="448BE719" w14:textId="77777777" w:rsidR="00B06BDA" w:rsidRPr="0036019C" w:rsidRDefault="00B06BDA" w:rsidP="00A0779A">
      <w:pPr>
        <w:pStyle w:val="TEKSTIIIII"/>
      </w:pPr>
      <w:r w:rsidRPr="0036019C">
        <w:t>- Ngritja e mëtejshme e kapaciteteve të stafit të Ministrit të Shtetit për Qeverisjen Vendore, Këshillit Konsultativ të Vetëqeverisjes Qendrore dhe Vendore, bashkive dhe zyrave të tyre të integrimit në BE, Agjencisë së Mbështetjes së Vetëqeverisjes Vendore dhe institucioneve të tjera, për të përmirësuar qeverisjen vendore dhe shumënivelëshe, si dhe për të rritur partneritetin, kapacitetet e planifikimit pjesëmarrës dhe menaxhimin e fondeve të BE-së;</w:t>
      </w:r>
    </w:p>
    <w:p w14:paraId="462D7323" w14:textId="77777777" w:rsidR="00B06BDA" w:rsidRPr="0036019C" w:rsidRDefault="00B06BDA" w:rsidP="00A0779A">
      <w:pPr>
        <w:pStyle w:val="TEKSTIIIII"/>
      </w:pPr>
      <w:r w:rsidRPr="0036019C">
        <w:t xml:space="preserve">- Ofrimi i mbështetjes me grante për bashkitë për hartimin dhe zbatimin e koncepteve të Investimit Territorial të Integruar (ITI), pilotimin e koncepteve, modeleve, strategjive dhe </w:t>
      </w:r>
      <w:r w:rsidRPr="0036019C">
        <w:lastRenderedPageBreak/>
        <w:t xml:space="preserve">mekanizmave të BE-së për qeverisje vendore dhe shumënivelëshe dhe zhvillim territorial të integruar, përfshirë përmes mbështetjes </w:t>
      </w:r>
      <w:r w:rsidRPr="0036019C">
        <w:rPr>
          <w:iCs/>
        </w:rPr>
        <w:t>nëpërmjet homologëve</w:t>
      </w:r>
      <w:r w:rsidRPr="0036019C">
        <w:t xml:space="preserve"> nga bashkitë e BE-së;</w:t>
      </w:r>
    </w:p>
    <w:p w14:paraId="58A6E360" w14:textId="6F7C755F" w:rsidR="00B06BDA" w:rsidRPr="0036019C" w:rsidRDefault="00B06BDA" w:rsidP="00A0779A">
      <w:pPr>
        <w:pStyle w:val="TEKSTIIIII"/>
      </w:pPr>
      <w:r w:rsidRPr="0036019C">
        <w:t xml:space="preserve">- Dhënia e konsulencës teknike dhe </w:t>
      </w:r>
      <w:r w:rsidR="000D49F7" w:rsidRPr="0036019C">
        <w:t>përmbajtjesor</w:t>
      </w:r>
      <w:r w:rsidRPr="0036019C">
        <w:t xml:space="preserve"> në përgatitjen e udhëzuesve, si dhe të materialeve udhëzuese/trajnimeve </w:t>
      </w:r>
      <w:r w:rsidR="000F72F0" w:rsidRPr="0036019C">
        <w:rPr>
          <w:i/>
          <w:iCs/>
        </w:rPr>
        <w:t>online</w:t>
      </w:r>
      <w:r w:rsidRPr="0036019C">
        <w:t xml:space="preserve"> për bashkitë;</w:t>
      </w:r>
    </w:p>
    <w:p w14:paraId="156DB5AA" w14:textId="77777777" w:rsidR="00B06BDA" w:rsidRPr="0036019C" w:rsidRDefault="00B06BDA" w:rsidP="00A0779A">
      <w:pPr>
        <w:pStyle w:val="TEKSTIIIII"/>
      </w:pPr>
      <w:r w:rsidRPr="0036019C">
        <w:t>- Mbështetje për hartimin dhe zbatimin e planeve bashkiake për barazinë gjinore dhe fushatave ndërgjegjësuese mbi barazinë gjinore;</w:t>
      </w:r>
    </w:p>
    <w:p w14:paraId="2CDF01CB" w14:textId="14AFB3E7" w:rsidR="00B06BDA" w:rsidRPr="0036019C" w:rsidRDefault="00B06BDA" w:rsidP="00A0779A">
      <w:pPr>
        <w:pStyle w:val="TEKSTIIIII"/>
      </w:pPr>
      <w:r w:rsidRPr="0036019C">
        <w:t xml:space="preserve">- Ngritja e kapaciteteve për planifikimin dhe programimin bashkiak/ndërbashkiak, kapaciteteve për identifikimin e investimeve dhe përgatitjen e </w:t>
      </w:r>
      <w:bookmarkStart w:id="13" w:name="_Hlk206584875"/>
      <w:r w:rsidRPr="0036019C">
        <w:rPr>
          <w:rStyle w:val="Strong"/>
          <w:iCs/>
          <w:color w:val="000000" w:themeColor="text1"/>
        </w:rPr>
        <w:t>linjës së projekteve</w:t>
      </w:r>
      <w:r w:rsidRPr="0036019C">
        <w:rPr>
          <w:b/>
          <w:bCs/>
          <w:iCs/>
        </w:rPr>
        <w:t xml:space="preserve"> </w:t>
      </w:r>
      <w:r w:rsidR="00D91DF9">
        <w:rPr>
          <w:b/>
          <w:bCs/>
          <w:iCs/>
        </w:rPr>
        <w:t>/</w:t>
      </w:r>
      <w:r w:rsidRPr="0036019C">
        <w:rPr>
          <w:rStyle w:val="Strong"/>
          <w:iCs/>
          <w:color w:val="000000" w:themeColor="text1"/>
        </w:rPr>
        <w:t>portofolit të projekteve</w:t>
      </w:r>
      <w:r w:rsidRPr="0036019C">
        <w:t xml:space="preserve"> </w:t>
      </w:r>
      <w:bookmarkEnd w:id="13"/>
      <w:r w:rsidRPr="0036019C">
        <w:t>në nivel bashkiak, përmes të nxënit me</w:t>
      </w:r>
      <w:r w:rsidR="000D49F7">
        <w:t xml:space="preserve"> </w:t>
      </w:r>
      <w:r w:rsidRPr="0036019C">
        <w:rPr>
          <w:iCs/>
        </w:rPr>
        <w:t>mbështetje nëpërmjet homologëve</w:t>
      </w:r>
      <w:r w:rsidRPr="0036019C">
        <w:t>, mekanizmave të planifikimit pjesëmarrës, programeve të zbatuara të ndërtimit të kapaciteteve, aktiviteteve rrjetëzuese dhe takimeve konsultuese të punës mbi integrimin në BE dhe Politikën e Kohezionit.</w:t>
      </w:r>
    </w:p>
    <w:p w14:paraId="7F4DDB71" w14:textId="77777777" w:rsidR="00B06BDA" w:rsidRPr="0036019C" w:rsidRDefault="00B06BDA" w:rsidP="00B06BDA">
      <w:pPr>
        <w:pStyle w:val="ListParagraph"/>
        <w:spacing w:after="0" w:line="240" w:lineRule="auto"/>
        <w:ind w:left="0" w:firstLine="284"/>
        <w:jc w:val="both"/>
        <w:rPr>
          <w:rFonts w:ascii="Garamond" w:eastAsia="Times New Roman" w:hAnsi="Garamond" w:cs="Times New Roman"/>
          <w:b/>
          <w:bCs/>
          <w:color w:val="000000" w:themeColor="text1"/>
        </w:rPr>
      </w:pPr>
      <w:r w:rsidRPr="0036019C">
        <w:rPr>
          <w:rFonts w:ascii="Garamond" w:eastAsia="Times New Roman" w:hAnsi="Garamond" w:cs="Times New Roman"/>
          <w:b/>
          <w:bCs/>
          <w:color w:val="000000" w:themeColor="text1"/>
        </w:rPr>
        <w:t>Aktivitete të lidhura me Produktin 2.3:</w:t>
      </w:r>
    </w:p>
    <w:p w14:paraId="3BAA9BFE" w14:textId="77777777" w:rsidR="00B06BDA" w:rsidRPr="0036019C" w:rsidRDefault="00B06BDA" w:rsidP="00A0779A">
      <w:pPr>
        <w:pStyle w:val="TEKSTIIIII"/>
      </w:pPr>
      <w:r w:rsidRPr="0036019C">
        <w:t>- Lehtësimi i reformave kyçe në Menaxhimin Fiskal Publik (PFM/MFP) – përfshirë fusha si kontabiliteti publik, Kontrolli i Brendshëm i Financave Publike (PIFC/KBFP), menaxhimi i borxhit, planifikimi i politikës fiskale (përfshirë operacionalizimin e Këshillit Fiskal), menaxhimi i investimeve publike (duke zbatuar direktivat për Vlerësimin e Ndikimit Mjedisor në projektet infrastrukturore) – dhe forcimi i praktikave të prokurimit publik përmes asistencës teknike për përafrimin ligjor, masave kundër korrupsionit dhe kërkesave për certifikim, përfshirë prokurimin e Gjelbër dhe Social;</w:t>
      </w:r>
    </w:p>
    <w:p w14:paraId="1B2F416F" w14:textId="77777777" w:rsidR="00B06BDA" w:rsidRPr="0036019C" w:rsidRDefault="00B06BDA" w:rsidP="00A0779A">
      <w:pPr>
        <w:pStyle w:val="TEKSTIIIII"/>
      </w:pPr>
      <w:r w:rsidRPr="0036019C">
        <w:t>- Mbështetje për Menaxhimin e të Ardhurave të Brendshme dhe përafrimin në fushën e tatimeve përmes mbështetjes teknike dhe ngritjes së kapaciteteve të administratave tatimore dhe doganore; përfshirë tatimin ndërkombëtar, analizën e të dhënave, menaxhimin e rrezikut dhe tatimin mjedisor;</w:t>
      </w:r>
    </w:p>
    <w:p w14:paraId="7EEDF0D9" w14:textId="77777777" w:rsidR="00B06BDA" w:rsidRPr="0036019C" w:rsidRDefault="00B06BDA" w:rsidP="00A0779A">
      <w:pPr>
        <w:pStyle w:val="TEKSTIIIII"/>
      </w:pPr>
      <w:r w:rsidRPr="0036019C">
        <w:t>- Lehtësimi i tranzicionit drejt Kontabilitetit Akrual përmes trajnimeve dhe certifikimeve, në përputhje me Standardet Evropiane të Kontabilitetit të Sektorit Publik (EPSAS/SEKSP);</w:t>
      </w:r>
    </w:p>
    <w:p w14:paraId="093DB783" w14:textId="77777777" w:rsidR="00B06BDA" w:rsidRPr="0036019C" w:rsidRDefault="00B06BDA" w:rsidP="00A0779A">
      <w:pPr>
        <w:pStyle w:val="TEKSTIIIII"/>
      </w:pPr>
      <w:r w:rsidRPr="0036019C">
        <w:t>- Forcimi i kapaciteteve të auditimit të jashtëm përmes ngritjes së kapaciteteve të Institucionit të Lartë të Auditimit mbi teknika dhe qasje të reja auditimi; komunikim publik mbi auditimet dhe mbështetje në auditimin e fondeve të BE-së;</w:t>
      </w:r>
    </w:p>
    <w:p w14:paraId="1FB5C7AD" w14:textId="0F349CC4" w:rsidR="00B06BDA" w:rsidRPr="0036019C" w:rsidRDefault="00B06BDA" w:rsidP="00A0779A">
      <w:pPr>
        <w:pStyle w:val="TEKSTIIIII"/>
      </w:pPr>
      <w:r w:rsidRPr="0036019C">
        <w:t xml:space="preserve">Mbështetje për INSTAT dhe sistemin kombëtar statistikor për përmirësimin e prodhimit statistikor, me fokus të veçantë në adresimin e boshllëqeve të të dhënave në llogaritë kombëtare, të dhënat </w:t>
      </w:r>
      <w:r w:rsidR="000D49F7">
        <w:t>gjeo</w:t>
      </w:r>
      <w:r w:rsidRPr="0036019C">
        <w:t>hapësinore, gjinore dhe mjedisore; për forcimin e kornizave të qeverisjes statistikore në përputhje me standardet e ESS/SSE dhe për forcimin e sigurisë kibernetike dhe sistemeve të menaxhimit të integruar të të dhënave;</w:t>
      </w:r>
    </w:p>
    <w:p w14:paraId="1BB9FC56" w14:textId="77777777" w:rsidR="00B06BDA" w:rsidRPr="0036019C" w:rsidRDefault="00B06BDA" w:rsidP="00A0779A">
      <w:pPr>
        <w:pStyle w:val="TEKSTIIIII"/>
      </w:pPr>
      <w:r w:rsidRPr="0036019C">
        <w:t>- Ofrimi i konsulencës ligjore dhe asistencës teknike për përditësimin e akteve nënligjore për prokurimin publik, duke u fokusuar në përafrimin me legjislacionin e BE-së, transparencën dhe luftën kundër korrupsionit, monitorimin e praktikave të prokurimit dhe kërkesave për certifikim (përfshirë prokurimin e Gjelbër/Mjedisor dhe Social).</w:t>
      </w:r>
    </w:p>
    <w:p w14:paraId="57E77D39" w14:textId="77777777" w:rsidR="00B06BDA" w:rsidRPr="0036019C" w:rsidRDefault="00B06BDA" w:rsidP="00B06BDA">
      <w:pPr>
        <w:pStyle w:val="ListParagraph"/>
        <w:spacing w:after="0" w:line="240" w:lineRule="auto"/>
        <w:ind w:left="0" w:firstLine="284"/>
        <w:jc w:val="both"/>
        <w:rPr>
          <w:rFonts w:ascii="Garamond" w:eastAsia="Times New Roman" w:hAnsi="Garamond" w:cs="Times New Roman"/>
          <w:b/>
          <w:bCs/>
          <w:color w:val="000000" w:themeColor="text1"/>
        </w:rPr>
      </w:pPr>
      <w:r w:rsidRPr="0036019C">
        <w:rPr>
          <w:rFonts w:ascii="Garamond" w:eastAsia="Times New Roman" w:hAnsi="Garamond" w:cs="Times New Roman"/>
          <w:b/>
          <w:bCs/>
          <w:color w:val="000000" w:themeColor="text1"/>
        </w:rPr>
        <w:t>Aktivitete të lidhura me Produktin 2.4:</w:t>
      </w:r>
    </w:p>
    <w:p w14:paraId="4D4ACB39" w14:textId="1D1AE9F2" w:rsidR="00B06BDA" w:rsidRPr="0036019C" w:rsidRDefault="00B06BDA" w:rsidP="00A0779A">
      <w:pPr>
        <w:pStyle w:val="TEKSTIIIII"/>
      </w:pPr>
      <w:r w:rsidRPr="0036019C">
        <w:t xml:space="preserve">- Ofrimi i mbështetjes ligjore dhe teknike për përafrimin e kuadrit ligjor të Shqipërisë me </w:t>
      </w:r>
      <w:r w:rsidR="000F72F0" w:rsidRPr="0036019C">
        <w:rPr>
          <w:i/>
          <w:iCs/>
        </w:rPr>
        <w:t>acquis</w:t>
      </w:r>
      <w:r w:rsidRPr="0036019C">
        <w:t>-n e BE-së përmes vlerësimeve të boshllëqeve, hartimit ligjor, përkthimit dhe certifikimit, si dhe zhvillimit të mjeteve, metodologjive dhe dokumenteve politike për të mbështetur këtë përafrim;</w:t>
      </w:r>
    </w:p>
    <w:p w14:paraId="4963189B" w14:textId="77777777" w:rsidR="00B06BDA" w:rsidRPr="0036019C" w:rsidRDefault="00B06BDA" w:rsidP="00A0779A">
      <w:pPr>
        <w:pStyle w:val="TEKSTIIIII"/>
      </w:pPr>
      <w:r w:rsidRPr="0036019C">
        <w:t>- Asistencë në hartimin e pozicioneve negociuese dhe ofrimi i trajnimeve gjithëpërfshirëse mbi aspekte të ndryshme të procesit të anëtarësimit në BE;</w:t>
      </w:r>
    </w:p>
    <w:p w14:paraId="79B3D669" w14:textId="77777777" w:rsidR="00B06BDA" w:rsidRPr="0036019C" w:rsidRDefault="00B06BDA" w:rsidP="00A0779A">
      <w:pPr>
        <w:pStyle w:val="TEKSTIIIII"/>
      </w:pPr>
      <w:r w:rsidRPr="0036019C">
        <w:t>- Lehtësimi i iniciativave të synuara për të rritur ndërgjegjësimin mbi përfitimet dhe progresin e procesit të anëtarësimit;</w:t>
      </w:r>
    </w:p>
    <w:p w14:paraId="03356DC3" w14:textId="4EA8656D" w:rsidR="00B06BDA" w:rsidRPr="0036019C" w:rsidRDefault="00B06BDA" w:rsidP="00A0779A">
      <w:pPr>
        <w:pStyle w:val="TEKSTIIIII"/>
      </w:pPr>
      <w:r w:rsidRPr="0036019C">
        <w:t>- Ngritja e kapaciteteve të institucioneve përkatëse përmes mentorimit në vendin e punës dhe asistencës teknike për të koordinuar, monitoruar dhe vlerësuar në mënyrë efektive zbatimin e reformave dhe investimeve sipas Mekanizmit për Reformë dhe Rritje, duke siguruar</w:t>
      </w:r>
      <w:r w:rsidR="00C347BB">
        <w:t>,</w:t>
      </w:r>
      <w:r w:rsidRPr="0036019C">
        <w:t xml:space="preserve"> gjithashtu</w:t>
      </w:r>
      <w:r w:rsidR="00C347BB">
        <w:t>,</w:t>
      </w:r>
      <w:r w:rsidRPr="0036019C">
        <w:t xml:space="preserve"> mekanizma të fortë komunikimi, vizibiliteti dhe auditimi.</w:t>
      </w:r>
    </w:p>
    <w:p w14:paraId="7D59B3FE" w14:textId="77777777" w:rsidR="00B06BDA" w:rsidRPr="0036019C" w:rsidRDefault="00B06BDA" w:rsidP="00B06BDA">
      <w:pPr>
        <w:pStyle w:val="ListParagraph"/>
        <w:spacing w:after="0" w:line="240" w:lineRule="auto"/>
        <w:ind w:left="0" w:firstLine="284"/>
        <w:jc w:val="both"/>
        <w:rPr>
          <w:rFonts w:ascii="Garamond" w:eastAsia="Times New Roman" w:hAnsi="Garamond" w:cs="Times New Roman"/>
          <w:b/>
          <w:bCs/>
          <w:color w:val="000000" w:themeColor="text1"/>
        </w:rPr>
      </w:pPr>
      <w:r w:rsidRPr="0036019C">
        <w:rPr>
          <w:rFonts w:ascii="Garamond" w:eastAsia="Times New Roman" w:hAnsi="Garamond" w:cs="Times New Roman"/>
          <w:b/>
          <w:bCs/>
          <w:color w:val="000000" w:themeColor="text1"/>
        </w:rPr>
        <w:t>Aktivitete të lidhura me Produktin 2.5:</w:t>
      </w:r>
    </w:p>
    <w:p w14:paraId="400872DE" w14:textId="77777777" w:rsidR="00B06BDA" w:rsidRPr="0036019C" w:rsidRDefault="00B06BDA" w:rsidP="00A0779A">
      <w:pPr>
        <w:pStyle w:val="TEKSTIIIII"/>
      </w:pPr>
      <w:r w:rsidRPr="0036019C">
        <w:lastRenderedPageBreak/>
        <w:t>- Ofrimi i asistencës teknike për menaxhimin e IPA-së, monitorimin, vlerësimin, raportimin, auditimin, kontrollin e brendshëm dhe menaxhimin financiar, si dhe për Planin e Komunikimit dhe Vizibilitetit të IPA III, zbatimin e strategjisë kundër mashtrimit dhe programimin sipas nevojës;</w:t>
      </w:r>
    </w:p>
    <w:p w14:paraId="1F2B80FF" w14:textId="195E5574" w:rsidR="00B06BDA" w:rsidRPr="0036019C" w:rsidRDefault="00B06BDA" w:rsidP="00A0779A">
      <w:pPr>
        <w:pStyle w:val="TEKSTIIIII"/>
      </w:pPr>
      <w:r w:rsidRPr="0036019C">
        <w:t xml:space="preserve">- Ofrimi i asistencës për përgatitjet </w:t>
      </w:r>
      <w:r w:rsidR="00D91DF9">
        <w:t xml:space="preserve">për kapitullin </w:t>
      </w:r>
      <w:r w:rsidRPr="0036019C">
        <w:t>22, duke përfshirë hartimin e programeve të Politikës së Kohezionit, ngritjen e sistemit të menaxhimit dhe kontrollit për fondet e Politikës së Kohezionit dhe sistemin e monitorimit dhe vlerësimit;</w:t>
      </w:r>
    </w:p>
    <w:p w14:paraId="63008203" w14:textId="77777777" w:rsidR="00B06BDA" w:rsidRPr="0036019C" w:rsidRDefault="00B06BDA" w:rsidP="00A0779A">
      <w:pPr>
        <w:pStyle w:val="TEKSTIIIII"/>
      </w:pPr>
      <w:r w:rsidRPr="0036019C">
        <w:t>- Asistencë në përgatitjen e projekteve, monitorimin dhe vlerësimin e ndihmës së BE-së;</w:t>
      </w:r>
    </w:p>
    <w:p w14:paraId="2588A2F4" w14:textId="77777777" w:rsidR="00B06BDA" w:rsidRPr="0036019C" w:rsidRDefault="00B06BDA" w:rsidP="00A0779A">
      <w:pPr>
        <w:pStyle w:val="TEKSTIIIII"/>
      </w:pPr>
      <w:r w:rsidRPr="0036019C">
        <w:t>- Ofrimi i asistencës së përshtatur për projekte individuale, duke mbështetur zbatimin e Garancisë për Fëmijët, forcimin e trashëgimisë kulturore dhe iniciativave për zhvillim ekonomik lokal, dhe avancimin e barazisë gjinore. Për më tepër, ky aktivitet trajton prioritetet emergjente operacionale, politike dhe ligjore përmes ndërhyrjeve të vogla.</w:t>
      </w:r>
    </w:p>
    <w:p w14:paraId="0614E6DA" w14:textId="77777777" w:rsidR="00B06BDA" w:rsidRPr="0036019C" w:rsidRDefault="00B06BDA" w:rsidP="00B06BDA">
      <w:pPr>
        <w:pStyle w:val="ListParagraph"/>
        <w:spacing w:after="0" w:line="240" w:lineRule="auto"/>
        <w:ind w:left="0" w:firstLine="284"/>
        <w:jc w:val="both"/>
        <w:rPr>
          <w:rFonts w:ascii="Garamond" w:eastAsia="Times New Roman" w:hAnsi="Garamond" w:cs="Times New Roman"/>
          <w:color w:val="000000" w:themeColor="text1"/>
        </w:rPr>
      </w:pPr>
      <w:r w:rsidRPr="0036019C">
        <w:rPr>
          <w:rFonts w:ascii="Garamond" w:eastAsia="Times New Roman" w:hAnsi="Garamond" w:cs="Times New Roman"/>
          <w:b/>
          <w:bCs/>
          <w:color w:val="000000" w:themeColor="text1"/>
        </w:rPr>
        <w:t>Aktivitete të lidhura me Produktin 2.6:</w:t>
      </w:r>
    </w:p>
    <w:p w14:paraId="06CEDD03" w14:textId="77777777" w:rsidR="00B06BDA" w:rsidRPr="0036019C" w:rsidRDefault="00B06BDA" w:rsidP="00A0779A">
      <w:pPr>
        <w:pStyle w:val="TEKSTIIIII"/>
      </w:pPr>
      <w:r w:rsidRPr="0036019C">
        <w:t>- Ofrimi i mbështetjes teknike për ministritë përgjegjëse dhe agjencitë publike për zbatimin e reformave dhe investimeve të RGF/MRRr-së;</w:t>
      </w:r>
    </w:p>
    <w:p w14:paraId="4901666D" w14:textId="77777777" w:rsidR="00B06BDA" w:rsidRPr="0036019C" w:rsidRDefault="00B06BDA" w:rsidP="00A0779A">
      <w:pPr>
        <w:pStyle w:val="TEKSTIIIII"/>
      </w:pPr>
      <w:r w:rsidRPr="0036019C">
        <w:t>- Ofrimi i asistencës në lidhje me auditimin e performancës së RGF/MRRr-së (përfshirë përdorimin e mjeteve të Inteligjencës Artificiale);</w:t>
      </w:r>
    </w:p>
    <w:p w14:paraId="55C32F20" w14:textId="77777777" w:rsidR="00B06BDA" w:rsidRPr="0036019C" w:rsidRDefault="00B06BDA" w:rsidP="00A0779A">
      <w:pPr>
        <w:pStyle w:val="TEKSTIIIII"/>
      </w:pPr>
      <w:r w:rsidRPr="0036019C">
        <w:t>- Trajnim praktik dhe ngritje kapacitetesh në vendin e punës për monitorimin e zbatimit të Marrëveshjes së Huasë dhe Marrëveshjes së Mekanizmit, si dhe për komunikimin dhe ndërgjegjësimin mbi rezultatet e RGF/MRRr-së.</w:t>
      </w:r>
    </w:p>
    <w:p w14:paraId="3BF3BC10" w14:textId="77777777" w:rsidR="00B06BDA" w:rsidRPr="0036019C" w:rsidRDefault="00B06BDA" w:rsidP="00B06BDA">
      <w:pPr>
        <w:pStyle w:val="ListParagraph"/>
        <w:spacing w:after="0" w:line="240" w:lineRule="auto"/>
        <w:ind w:left="0" w:firstLine="284"/>
        <w:jc w:val="both"/>
        <w:rPr>
          <w:rFonts w:ascii="Garamond" w:eastAsia="Times New Roman" w:hAnsi="Garamond" w:cs="Times New Roman"/>
          <w:color w:val="000000" w:themeColor="text1"/>
        </w:rPr>
      </w:pPr>
      <w:r w:rsidRPr="0036019C">
        <w:rPr>
          <w:rFonts w:ascii="Garamond" w:eastAsia="Times New Roman" w:hAnsi="Garamond" w:cs="Times New Roman"/>
          <w:b/>
          <w:bCs/>
          <w:color w:val="000000" w:themeColor="text1"/>
        </w:rPr>
        <w:t>Aktivitete të lidhura me Produktin 3.1:</w:t>
      </w:r>
    </w:p>
    <w:p w14:paraId="785D180E" w14:textId="77777777" w:rsidR="00B06BDA" w:rsidRPr="0036019C" w:rsidRDefault="00B06BDA" w:rsidP="00A0779A">
      <w:pPr>
        <w:pStyle w:val="TEKSTIIIII"/>
      </w:pPr>
      <w:r w:rsidRPr="0036019C">
        <w:t>- Përgatitja e një kuadri ligjor të përmirësuar për materialet kritike, sektorin minerar, ripërdorimin e mbetjeve nga minierat dhe përpunimi, si dhe për praktikat e qëndrueshme mjedisore dhe sociale;</w:t>
      </w:r>
    </w:p>
    <w:p w14:paraId="2670D7A9" w14:textId="77777777" w:rsidR="00B06BDA" w:rsidRPr="0036019C" w:rsidRDefault="00B06BDA" w:rsidP="00A0779A">
      <w:pPr>
        <w:pStyle w:val="TEKSTIIIII"/>
      </w:pPr>
      <w:r w:rsidRPr="0036019C">
        <w:t>- Hartimi i një strategjie të re minerare, e cila miratohet duke marrë parasysh Vlerësimin Strategjik Mjedisor përkatës, si dhe një plan veprimi dhe standarde për parandalimin dhe adresimin e ndikimit negativ socio-mjedisor të nxjerrjes së lëndëve kritike;</w:t>
      </w:r>
    </w:p>
    <w:p w14:paraId="520E2A90" w14:textId="77777777" w:rsidR="00B06BDA" w:rsidRPr="0036019C" w:rsidRDefault="00B06BDA" w:rsidP="00A0779A">
      <w:pPr>
        <w:pStyle w:val="TEKSTIIIII"/>
      </w:pPr>
      <w:r w:rsidRPr="0036019C">
        <w:t>- Përditësimi i rrugës së zbatimit për Lëndët Kritike/Strategjike.</w:t>
      </w:r>
    </w:p>
    <w:p w14:paraId="4A37C348" w14:textId="79A2FC9F" w:rsidR="00B06BDA" w:rsidRPr="0036019C" w:rsidRDefault="00B06BDA" w:rsidP="00B06BDA">
      <w:pPr>
        <w:pStyle w:val="ListParagraph"/>
        <w:spacing w:after="0" w:line="240" w:lineRule="auto"/>
        <w:ind w:left="0" w:firstLine="284"/>
        <w:rPr>
          <w:rFonts w:ascii="Garamond" w:eastAsia="Times New Roman" w:hAnsi="Garamond" w:cs="Times New Roman"/>
          <w:color w:val="000000" w:themeColor="text1"/>
        </w:rPr>
      </w:pPr>
      <w:r w:rsidRPr="0036019C">
        <w:rPr>
          <w:rFonts w:ascii="Garamond" w:eastAsia="Times New Roman" w:hAnsi="Garamond" w:cs="Times New Roman"/>
          <w:b/>
          <w:bCs/>
          <w:color w:val="000000" w:themeColor="text1"/>
        </w:rPr>
        <w:t>Aktivitete të lidhura me Produkt</w:t>
      </w:r>
      <w:r w:rsidR="00833675">
        <w:rPr>
          <w:rFonts w:ascii="Garamond" w:eastAsia="Times New Roman" w:hAnsi="Garamond" w:cs="Times New Roman"/>
          <w:b/>
          <w:bCs/>
          <w:color w:val="000000" w:themeColor="text1"/>
        </w:rPr>
        <w:t>et</w:t>
      </w:r>
      <w:r w:rsidRPr="0036019C">
        <w:rPr>
          <w:rFonts w:ascii="Garamond" w:eastAsia="Times New Roman" w:hAnsi="Garamond" w:cs="Times New Roman"/>
          <w:color w:val="000000" w:themeColor="text1"/>
        </w:rPr>
        <w:t xml:space="preserve"> </w:t>
      </w:r>
      <w:r w:rsidRPr="000D49F7">
        <w:rPr>
          <w:rFonts w:ascii="Garamond" w:eastAsia="Times New Roman" w:hAnsi="Garamond" w:cs="Times New Roman"/>
          <w:b/>
          <w:bCs/>
          <w:color w:val="000000" w:themeColor="text1"/>
        </w:rPr>
        <w:t>3.2, 3.3 dhe 3.4:</w:t>
      </w:r>
    </w:p>
    <w:p w14:paraId="61C0458F" w14:textId="49A735A0" w:rsidR="00B06BDA" w:rsidRPr="0036019C" w:rsidRDefault="00B06BDA" w:rsidP="00A0779A">
      <w:pPr>
        <w:pStyle w:val="TEKSTIIIII"/>
      </w:pPr>
      <w:r w:rsidRPr="0036019C">
        <w:t xml:space="preserve">- Përgatitja e një vlerësimi të përditësuar të rezervave gjeologjike për mineralet e zgjedhura CRM </w:t>
      </w:r>
      <w:r w:rsidRPr="0036019C">
        <w:rPr>
          <w:i/>
          <w:iCs/>
        </w:rPr>
        <w:t>(Lëndët e para kritike)</w:t>
      </w:r>
      <w:r w:rsidR="000F72F0" w:rsidRPr="0036019C">
        <w:t xml:space="preserve"> </w:t>
      </w:r>
      <w:r w:rsidRPr="0036019C">
        <w:t>duke përdorur teknologji të avancuara;</w:t>
      </w:r>
    </w:p>
    <w:p w14:paraId="2839659A" w14:textId="77777777" w:rsidR="00B06BDA" w:rsidRPr="0036019C" w:rsidRDefault="00B06BDA" w:rsidP="00A0779A">
      <w:pPr>
        <w:pStyle w:val="TEKSTIIIII"/>
      </w:pPr>
      <w:r w:rsidRPr="0036019C">
        <w:t>- Vlerësimi i ndikimeve sociale dhe mjedisore të industrive nxjerrëse dhe përpunuese, si dhe i ri-përdorimit të mbetjeve minerare dhe riciklimit si një burim dytësor potencial për CRM-në;</w:t>
      </w:r>
    </w:p>
    <w:p w14:paraId="3CFB98F1" w14:textId="40201B79" w:rsidR="00B06BDA" w:rsidRPr="0036019C" w:rsidRDefault="00B06BDA" w:rsidP="00A0779A">
      <w:pPr>
        <w:pStyle w:val="TEKSTIIIII"/>
      </w:pPr>
      <w:r w:rsidRPr="0036019C">
        <w:t>- Ofrimi i asistencës teknike për zhvillimin e një qendre funksionale kërkimore dhe inovacioni</w:t>
      </w:r>
      <w:r w:rsidR="000F72F0" w:rsidRPr="0036019C">
        <w:t xml:space="preserve"> </w:t>
      </w:r>
      <w:r w:rsidRPr="0036019C">
        <w:t>dhe me performancë të lartë, dedikuar mbështetjes së Lëndëve të para kritike;</w:t>
      </w:r>
    </w:p>
    <w:p w14:paraId="1B2720C8" w14:textId="77777777" w:rsidR="00B06BDA" w:rsidRPr="0036019C" w:rsidRDefault="00B06BDA" w:rsidP="00A0779A">
      <w:pPr>
        <w:pStyle w:val="TEKSTIIIII"/>
      </w:pPr>
      <w:r w:rsidRPr="0036019C">
        <w:t>- Krijimi i një rrjeti investimesh funksional, transparent dhe informativ që lidh aktorët kombëtarë me zinxhirët industrialë të BE-së për materialet e papërpunuara;</w:t>
      </w:r>
    </w:p>
    <w:p w14:paraId="47215A38" w14:textId="77777777" w:rsidR="00B06BDA" w:rsidRPr="0036019C" w:rsidRDefault="00B06BDA" w:rsidP="00A0779A">
      <w:pPr>
        <w:pStyle w:val="TEKSTIIIII"/>
      </w:pPr>
      <w:r w:rsidRPr="0036019C">
        <w:t>- Lehtësimi i projekteve të përbashkëta kërkimore;</w:t>
      </w:r>
    </w:p>
    <w:p w14:paraId="658EEDB5" w14:textId="0673EB90" w:rsidR="00B06BDA" w:rsidRPr="0036019C" w:rsidRDefault="00B06BDA" w:rsidP="00A0779A">
      <w:pPr>
        <w:pStyle w:val="TEKSTIIIII"/>
      </w:pPr>
      <w:r w:rsidRPr="0036019C">
        <w:t>- Ngritja e kapaciteteve për mbledhjen dhe standardizimin e të dhënave publike të disponueshme, përfshirë sondazhet gjeologjike, vlerësimet minerare dhe informacionin rregullator, për të zhvilluar një bazë të dhënash të centralizuar që lejon akses të lehtë dhe analizë të të dhënave të lidhura me minierat, duke u fokusuar te</w:t>
      </w:r>
      <w:r w:rsidR="007146B6">
        <w:t>k</w:t>
      </w:r>
      <w:r w:rsidRPr="0036019C">
        <w:t xml:space="preserve"> investitorët e BE-së;</w:t>
      </w:r>
    </w:p>
    <w:p w14:paraId="37423104" w14:textId="77777777" w:rsidR="00B06BDA" w:rsidRPr="0036019C" w:rsidRDefault="00B06BDA" w:rsidP="00A0779A">
      <w:pPr>
        <w:pStyle w:val="TEKSTIIIII"/>
      </w:pPr>
      <w:r w:rsidRPr="0036019C">
        <w:t>- Trajnimi i kërkuesve dhe teknikëve laboratorikë në përdorimin e pajisjeve;</w:t>
      </w:r>
    </w:p>
    <w:p w14:paraId="015F2E63" w14:textId="77777777" w:rsidR="00B06BDA" w:rsidRPr="0036019C" w:rsidRDefault="00B06BDA" w:rsidP="00A0779A">
      <w:pPr>
        <w:pStyle w:val="TEKSTIIIII"/>
      </w:pPr>
      <w:r w:rsidRPr="0036019C">
        <w:t>- Rritja e kapaciteteve dhe ofrimi i asistencës për përgatitjen e një studimi fizibiliteti dhe plani biznesi për krijimin e një qendre kërkimore me akses të hapur dhe të qëndrueshme financiarisht, si dhe përgatitja e specifikimeve teknike, prokurimi dhe instalimi i pajisjeve laboratorike të avancuara.</w:t>
      </w:r>
    </w:p>
    <w:bookmarkEnd w:id="9"/>
    <w:p w14:paraId="3B834DD4" w14:textId="088E642D" w:rsidR="00B06BDA" w:rsidRPr="0036019C" w:rsidRDefault="00B06BDA" w:rsidP="0051080E">
      <w:pPr>
        <w:pStyle w:val="TEKSTIIIII"/>
        <w:rPr>
          <w:b/>
          <w:bCs/>
        </w:rPr>
      </w:pPr>
      <w:r w:rsidRPr="0036019C">
        <w:rPr>
          <w:b/>
          <w:bCs/>
        </w:rPr>
        <w:t xml:space="preserve">3.2 </w:t>
      </w:r>
      <w:r w:rsidRPr="0036019C">
        <w:rPr>
          <w:b/>
        </w:rPr>
        <w:t>Iniciativa</w:t>
      </w:r>
      <w:r w:rsidR="00833675">
        <w:rPr>
          <w:b/>
        </w:rPr>
        <w:t>/</w:t>
      </w:r>
      <w:r w:rsidRPr="0036019C">
        <w:rPr>
          <w:b/>
        </w:rPr>
        <w:t>t e Ekipit të Evropës</w:t>
      </w:r>
    </w:p>
    <w:p w14:paraId="374D8AE5" w14:textId="59A5BDA8" w:rsidR="00B06BDA" w:rsidRPr="00833675" w:rsidRDefault="00B06BDA" w:rsidP="00B06BDA">
      <w:pPr>
        <w:ind w:firstLine="284"/>
        <w:rPr>
          <w:rFonts w:ascii="Garamond" w:hAnsi="Garamond"/>
          <w:color w:val="000000" w:themeColor="text1"/>
          <w:lang w:val="sq-AL"/>
        </w:rPr>
      </w:pPr>
      <w:r w:rsidRPr="00833675">
        <w:rPr>
          <w:rFonts w:ascii="Garamond" w:hAnsi="Garamond"/>
          <w:color w:val="000000" w:themeColor="text1"/>
          <w:lang w:val="sq-AL"/>
        </w:rPr>
        <w:t>E pazbatueshme</w:t>
      </w:r>
      <w:r w:rsidR="00833675" w:rsidRPr="00833675">
        <w:rPr>
          <w:rFonts w:ascii="Garamond" w:hAnsi="Garamond"/>
          <w:color w:val="000000" w:themeColor="text1"/>
          <w:lang w:val="sq-AL"/>
        </w:rPr>
        <w:t>.</w:t>
      </w:r>
    </w:p>
    <w:p w14:paraId="34D64012" w14:textId="23BED7AF" w:rsidR="00B06BDA" w:rsidRPr="0036019C" w:rsidRDefault="00B06BDA" w:rsidP="0051080E">
      <w:pPr>
        <w:pStyle w:val="TEKSTIIIII"/>
        <w:rPr>
          <w:b/>
          <w:bCs/>
        </w:rPr>
      </w:pPr>
      <w:r w:rsidRPr="0036019C">
        <w:rPr>
          <w:b/>
          <w:bCs/>
        </w:rPr>
        <w:t xml:space="preserve">3.3 </w:t>
      </w:r>
      <w:r w:rsidRPr="0036019C">
        <w:rPr>
          <w:b/>
        </w:rPr>
        <w:t>Kontributi në prioritetet horizontale dhe integrimin</w:t>
      </w:r>
    </w:p>
    <w:p w14:paraId="1A64B3F4" w14:textId="05AA097F" w:rsidR="00B06BDA" w:rsidRPr="0036019C" w:rsidRDefault="00B06BDA" w:rsidP="00B06BDA">
      <w:pPr>
        <w:pStyle w:val="NormalWeb"/>
        <w:spacing w:before="0" w:beforeAutospacing="0" w:after="0" w:afterAutospacing="0"/>
        <w:ind w:firstLine="284"/>
        <w:rPr>
          <w:rFonts w:ascii="Garamond" w:hAnsi="Garamond"/>
          <w:color w:val="000000" w:themeColor="text1"/>
          <w:lang w:val="sq-AL" w:eastAsia="en-US"/>
        </w:rPr>
      </w:pPr>
      <w:r w:rsidRPr="0036019C">
        <w:rPr>
          <w:rFonts w:ascii="Garamond" w:hAnsi="Garamond"/>
          <w:b/>
          <w:bCs/>
          <w:color w:val="000000" w:themeColor="text1"/>
          <w:lang w:val="sq-AL" w:eastAsia="en-US"/>
        </w:rPr>
        <w:t xml:space="preserve">Mbrojtja e </w:t>
      </w:r>
      <w:r w:rsidR="00605EBD" w:rsidRPr="0036019C">
        <w:rPr>
          <w:rFonts w:ascii="Garamond" w:hAnsi="Garamond"/>
          <w:b/>
          <w:bCs/>
          <w:color w:val="000000" w:themeColor="text1"/>
          <w:lang w:val="sq-AL" w:eastAsia="en-US"/>
        </w:rPr>
        <w:t>mjedisit, ndryshimet klimatike dhe biodiversiteti</w:t>
      </w:r>
    </w:p>
    <w:p w14:paraId="24586113" w14:textId="38199FBF"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lastRenderedPageBreak/>
        <w:t xml:space="preserve">Aspektet e mbrojtjes së mjedisit dhe ndryshimeve klimatike janë integruar në të gjithë </w:t>
      </w:r>
      <w:r w:rsidR="00605EBD" w:rsidRPr="0036019C">
        <w:rPr>
          <w:rFonts w:ascii="Garamond" w:hAnsi="Garamond"/>
          <w:color w:val="000000" w:themeColor="text1"/>
          <w:lang w:val="sq-AL"/>
        </w:rPr>
        <w:t xml:space="preserve">veprimin, </w:t>
      </w:r>
      <w:r w:rsidRPr="0036019C">
        <w:rPr>
          <w:rFonts w:ascii="Garamond" w:hAnsi="Garamond"/>
          <w:color w:val="000000" w:themeColor="text1"/>
          <w:lang w:val="sq-AL"/>
        </w:rPr>
        <w:t xml:space="preserve">duke përfshirë praktika të qëndrueshme dhe masa zbutëse gjatë hartimit dhe zbatimit të tij për të minimizuar ndikimet negative dhe nxitur kujdesin ndaj mjedisit, përfshirë edhe përmes zbatimit të parimeve të prokurimit të gjelbër. Veprimi do të integrojë </w:t>
      </w:r>
      <w:r w:rsidR="000F72F0" w:rsidRPr="0036019C">
        <w:rPr>
          <w:rFonts w:ascii="Garamond" w:hAnsi="Garamond"/>
          <w:color w:val="000000" w:themeColor="text1"/>
          <w:lang w:val="sq-AL"/>
        </w:rPr>
        <w:t>Agjend</w:t>
      </w:r>
      <w:r w:rsidRPr="0036019C">
        <w:rPr>
          <w:rFonts w:ascii="Garamond" w:hAnsi="Garamond"/>
          <w:color w:val="000000" w:themeColor="text1"/>
          <w:lang w:val="sq-AL"/>
        </w:rPr>
        <w:t xml:space="preserve">ën e Gjelbër dhe respektimin e parimit “Mos shkakto dëme të konsiderueshme” të përfshirë në legjislacionin e Financave të Qëndrueshme të BE-së, veçanërisht për Mekanizmin për Reformë dhe Rritje dhe sistemin e ngritur për Politikën e Kohezionit. Kjo përfshin mbështetje për bashkitë në përgatitjen e strategjive lokale të zhvillimit, duke marrë parasysh veprimet klimatike dhe objektivat mjedisorë, përgatitjen e një </w:t>
      </w:r>
      <w:r w:rsidRPr="0036019C">
        <w:rPr>
          <w:rStyle w:val="Strong"/>
          <w:rFonts w:ascii="Garamond" w:hAnsi="Garamond"/>
          <w:i/>
          <w:iCs/>
          <w:color w:val="000000" w:themeColor="text1"/>
          <w:lang w:val="sq-AL"/>
        </w:rPr>
        <w:t xml:space="preserve">linje </w:t>
      </w:r>
      <w:r w:rsidRPr="0036019C">
        <w:rPr>
          <w:rStyle w:val="Strong"/>
          <w:rFonts w:ascii="Garamond" w:hAnsi="Garamond"/>
          <w:iCs/>
          <w:color w:val="000000" w:themeColor="text1"/>
          <w:lang w:val="sq-AL"/>
        </w:rPr>
        <w:t>të projekteve</w:t>
      </w:r>
      <w:r w:rsidRPr="0036019C">
        <w:rPr>
          <w:rFonts w:ascii="Garamond" w:hAnsi="Garamond"/>
          <w:b/>
          <w:bCs/>
          <w:iCs/>
          <w:color w:val="000000" w:themeColor="text1"/>
          <w:lang w:val="sq-AL"/>
        </w:rPr>
        <w:t xml:space="preserve"> </w:t>
      </w:r>
      <w:r w:rsidR="00D91DF9">
        <w:rPr>
          <w:rFonts w:ascii="Garamond" w:hAnsi="Garamond"/>
          <w:b/>
          <w:bCs/>
          <w:iCs/>
          <w:color w:val="000000" w:themeColor="text1"/>
          <w:lang w:val="sq-AL"/>
        </w:rPr>
        <w:t>/</w:t>
      </w:r>
      <w:r w:rsidRPr="0036019C">
        <w:rPr>
          <w:rStyle w:val="Strong"/>
          <w:rFonts w:ascii="Garamond" w:hAnsi="Garamond"/>
          <w:iCs/>
          <w:color w:val="000000" w:themeColor="text1"/>
          <w:lang w:val="sq-AL"/>
        </w:rPr>
        <w:t>portofolit të projekteve</w:t>
      </w:r>
      <w:r w:rsidRPr="0036019C">
        <w:rPr>
          <w:rFonts w:ascii="Garamond" w:hAnsi="Garamond"/>
          <w:color w:val="000000" w:themeColor="text1"/>
          <w:lang w:val="sq-AL"/>
        </w:rPr>
        <w:t xml:space="preserve"> të qëndrueshëm ndaj ndryshimeve klimatike dhe mbështetje për mobilitetin urban të qëndrueshëm për të ndihmuar bashkitë të arrijnë objektivat e planeve të tyre klimatike. Do të ofrohet mbështetje për forcimin e kapaciteteve në Vlerësimin e Ndikimit Mjedisor, tatimin mjedisor dhe përafrimin e mëtejshëm të mbledhjes, përpunimit dhe raportimit të të dhënave mjedisore. Ngritja e kapaciteteve dhe përmirësimi i teknikave do të ndihmojnë në luftën kundër krimeve mjedisore. </w:t>
      </w:r>
    </w:p>
    <w:p w14:paraId="6D90C9AD" w14:textId="187712D6"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color w:val="000000" w:themeColor="text1"/>
          <w:lang w:val="sq-AL"/>
        </w:rPr>
        <w:t>Ky veprim do të kontribuojë në arritjen e objektivave klimatik</w:t>
      </w:r>
      <w:r w:rsidR="00A208E8">
        <w:rPr>
          <w:rFonts w:ascii="Garamond" w:hAnsi="Garamond"/>
          <w:color w:val="000000" w:themeColor="text1"/>
          <w:lang w:val="sq-AL"/>
        </w:rPr>
        <w:t>ë</w:t>
      </w:r>
      <w:r w:rsidRPr="0036019C">
        <w:rPr>
          <w:rFonts w:ascii="Garamond" w:hAnsi="Garamond"/>
          <w:color w:val="000000" w:themeColor="text1"/>
          <w:lang w:val="sq-AL"/>
        </w:rPr>
        <w:t xml:space="preserve"> të BE-së dhe të Shqipërisë përmes burimit, përpunimit dhe riciklimit të lëndëve të para kritike në Evropë, si dhe sigurimin e zinxhirëve të furnizimit, duke hapur rrugën që Shqipëria të kontribuojë në sigurimin e një furnizimi të qëndrueshëm dhe të sigurt të lëndëve të para kritike të nevojshme për tranzicionin e gjelbër. Duke qenë se përpunimi i lëndëve të para kritike mund të jetë tejet ndotës, parimi “mos shkakto dëme” do të garantohet nëpërmjet zbatimit të mekanizmave të fortë mbrojtjeje mjedisore dhe sistemeve të menaxhimit. Mbështetja për miratimin e një kuadri rregullator rigoroz, duke marrë parasysh praktikat më të mira dhe standardet e reja mjedisore, do të transformojë sektorin minerar në Shqipëri. Aktivitetet e ngritjes së kapaciteteve për aktorët institucionalë të sektorit minerar do të fokusohen te standardet mjedisore. Promovimi i ripërdorimit të mbetjeve nga nxjerrja dhe përpunimi në Shqipëri si burime dytësore për lëndët e para kritike, do të përmirësojë cilësinë mjedisore dhe do të nxisë zhvillimin e qëndrueshëm, duke hapur mundësi për tranzicionin e gjelbër SME-ve</w:t>
      </w:r>
      <w:r w:rsidRPr="0036019C">
        <w:rPr>
          <w:rFonts w:ascii="Garamond" w:hAnsi="Garamond"/>
          <w:i/>
          <w:iCs/>
          <w:color w:val="000000" w:themeColor="text1"/>
          <w:lang w:val="sq-AL"/>
        </w:rPr>
        <w:t xml:space="preserve"> (të ndërmarrjeve të vogla dhe të mesme) </w:t>
      </w:r>
      <w:r w:rsidRPr="0036019C">
        <w:rPr>
          <w:rFonts w:ascii="Garamond" w:hAnsi="Garamond"/>
          <w:color w:val="000000" w:themeColor="text1"/>
          <w:lang w:val="sq-AL"/>
        </w:rPr>
        <w:t xml:space="preserve">minerare. </w:t>
      </w:r>
    </w:p>
    <w:p w14:paraId="6695DF64" w14:textId="77777777" w:rsidR="00B06BDA" w:rsidRPr="0036019C" w:rsidRDefault="00B06BDA" w:rsidP="00B06BDA">
      <w:pPr>
        <w:ind w:firstLine="284"/>
        <w:rPr>
          <w:rFonts w:ascii="Garamond" w:hAnsi="Garamond"/>
          <w:b/>
          <w:bCs/>
          <w:color w:val="000000" w:themeColor="text1"/>
          <w:lang w:val="sq-AL"/>
        </w:rPr>
      </w:pPr>
      <w:r w:rsidRPr="0036019C">
        <w:rPr>
          <w:rFonts w:ascii="Garamond" w:hAnsi="Garamond"/>
          <w:b/>
          <w:bCs/>
          <w:color w:val="000000" w:themeColor="text1"/>
          <w:lang w:val="sq-AL"/>
        </w:rPr>
        <w:t>Barazia gjinore dhe fuqizimi i grave dhe vajzave</w:t>
      </w:r>
    </w:p>
    <w:p w14:paraId="1EA7EEC0" w14:textId="3AA7CCC8"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Veprimi përfshin objektiva të </w:t>
      </w:r>
      <w:r w:rsidR="00A208E8">
        <w:rPr>
          <w:rFonts w:ascii="Garamond" w:hAnsi="Garamond"/>
          <w:color w:val="000000" w:themeColor="text1"/>
          <w:lang w:val="sq-AL"/>
        </w:rPr>
        <w:t>rendësishë</w:t>
      </w:r>
      <w:r w:rsidRPr="0036019C">
        <w:rPr>
          <w:rFonts w:ascii="Garamond" w:hAnsi="Garamond"/>
          <w:color w:val="000000" w:themeColor="text1"/>
          <w:lang w:val="sq-AL"/>
        </w:rPr>
        <w:t xml:space="preserve">m për barazinë gjinore, është në përgjithësi sensitiv ndaj çështjeve gjinore dhe plotësisht në përputhje me parimet dhe qasjen e përcaktuar në Strategjinë për Barazinë Gjinore të Bashkimit Evropian 2020-2025. </w:t>
      </w:r>
      <w:r w:rsidR="000F72F0" w:rsidRPr="0036019C">
        <w:rPr>
          <w:rFonts w:ascii="Garamond" w:hAnsi="Garamond"/>
          <w:color w:val="000000" w:themeColor="text1"/>
          <w:lang w:val="sq-AL"/>
        </w:rPr>
        <w:t>Agjend</w:t>
      </w:r>
      <w:r w:rsidRPr="0036019C">
        <w:rPr>
          <w:rFonts w:ascii="Garamond" w:hAnsi="Garamond"/>
          <w:color w:val="000000" w:themeColor="text1"/>
          <w:lang w:val="sq-AL"/>
        </w:rPr>
        <w:t>a për barazinë gjinore do të mbështetet drejtpërdrejt përmes miratimit (dhe monitorimit të zbatimit të saj) të një dokumenti politik për organet publike, i cili integron parimet e të drejtave të njeriut dhe barazisë, duke kontribuar</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në përmbushjen e kushteve për barazinë gjinore të nevojshme për zbatimin e Politikës së Kohezionit, duke ofruar mbështetje për institucionet shqiptare në fushën e barazisë gjinore, integrimit të saj në të gjitha politikat dhe buxhetimit, si dhe duke rritur disponueshmërinë e statistikave të ndara sipas gjinive. Do të ofrohet mbështetje për qeverisjet lokale në planifikimin e zhvillimit në mënyrë sensitive ndaj çështjeve gjinore, përfshirë qasjet pjesëmarrëse dhe vlerësimet e ndikimit gjinor për </w:t>
      </w:r>
      <w:r w:rsidRPr="0036019C">
        <w:rPr>
          <w:rStyle w:val="Strong"/>
          <w:rFonts w:ascii="Garamond" w:hAnsi="Garamond"/>
          <w:iCs/>
          <w:color w:val="000000" w:themeColor="text1"/>
          <w:lang w:val="sq-AL"/>
        </w:rPr>
        <w:t>linjën e ardhshme të projekteve</w:t>
      </w:r>
      <w:r w:rsidRPr="0036019C">
        <w:rPr>
          <w:rFonts w:ascii="Garamond" w:hAnsi="Garamond"/>
          <w:b/>
          <w:bCs/>
          <w:iCs/>
          <w:color w:val="000000" w:themeColor="text1"/>
          <w:lang w:val="sq-AL"/>
        </w:rPr>
        <w:t xml:space="preserve"> </w:t>
      </w:r>
      <w:r w:rsidR="00D91DF9">
        <w:rPr>
          <w:rFonts w:ascii="Garamond" w:hAnsi="Garamond"/>
          <w:b/>
          <w:bCs/>
          <w:iCs/>
          <w:color w:val="000000" w:themeColor="text1"/>
          <w:lang w:val="sq-AL"/>
        </w:rPr>
        <w:t>/</w:t>
      </w:r>
      <w:r w:rsidRPr="0036019C">
        <w:rPr>
          <w:rStyle w:val="Strong"/>
          <w:rFonts w:ascii="Garamond" w:hAnsi="Garamond"/>
          <w:iCs/>
          <w:color w:val="000000" w:themeColor="text1"/>
          <w:lang w:val="sq-AL"/>
        </w:rPr>
        <w:t>portofolin e projekteve</w:t>
      </w:r>
      <w:r w:rsidRPr="0036019C">
        <w:rPr>
          <w:rFonts w:ascii="Garamond" w:hAnsi="Garamond"/>
          <w:color w:val="000000" w:themeColor="text1"/>
          <w:lang w:val="sq-AL"/>
        </w:rPr>
        <w:t xml:space="preserve"> të Politikës së Kohezionit. Do të ofrohet mbështetje për përafrimin më të mirë të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 xml:space="preserve">-së së BE-së për barazinë gjinore, përfshirë zbatimin e kuadrit ligjor mbi dhunën me bazë gjinore, zhvillimin dhe zbatimin e planeve komunale për barazinë gjinore dhe fushatat për ndërgjegjësimin mbi barazinë gjinore. Parlamenti do të mbështetet në zhvillimin e mekanizmave për integrimin e çështjeve gjinore, përfshirjen e perspektivave gjinore në praktikat parlamentare, legjislacion dhe buxhetim, si dhe në mbikëqyrjen e zbatimit të strategjive dhe iniciativave për barazinë gjinore dhe integrimin e saj në të gjitha politikat. </w:t>
      </w:r>
    </w:p>
    <w:p w14:paraId="2B7EF30C" w14:textId="767880AF"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color w:val="000000" w:themeColor="text1"/>
          <w:lang w:val="sq-AL"/>
        </w:rPr>
        <w:t xml:space="preserve">Do të ofrohet mbështetje për parlamentarët, me fokus të veçantë te parlamentaret gra, në punën drejt arritjes së konsensusit ndërpartiak mbi iniciativat për barazinë gjinore. Auditimet e parashikuara të ndikimit social do të kontribuojnë në barazinë gjinore, ndërsa prokurimi publik me përgjegjësi sociale do të rrisë pjesëmarrjen ekonomike të grave. Veprimi parashikon përmirësimin e shërbimeve të ndihmës ligjore dhe rritjen e aksesit në drejtësi për gratë e cenueshme dhe të </w:t>
      </w:r>
      <w:r w:rsidRPr="0036019C">
        <w:rPr>
          <w:rFonts w:ascii="Garamond" w:hAnsi="Garamond"/>
          <w:color w:val="000000" w:themeColor="text1"/>
          <w:lang w:val="sq-AL"/>
        </w:rPr>
        <w:lastRenderedPageBreak/>
        <w:t>marzhinalizuara, akses sensitiv ndaj çështjeve gjinore për sistemin e drejtësisë së të miturve, zhvillimin e treguesve të drejtësisë sensitive ndaj gjinisë, promovimin e praktikave jo-diskriminuese për gratë në sistemin gjyqësor dhe përfshirjen e grave në pozita vendimmarrëse në të gjithë sistemin e drejtësisë. Trajnime të përshtatura do t’u ofrohen Autoritetit të Mediave Audiovizive për të përmirësuar monitorimin dhe promovimin e barazisë gjinore në media dhe për të luftuar seksizmin, duke mbështetur zbatimin e praktikave të raportimit me përgjegjësi gjinore. Do të promovohen mundësi për gratë kërkuese dhe sipërmarrëse në sektorin minerar, i cili dominohet nga meshkujt.</w:t>
      </w:r>
    </w:p>
    <w:p w14:paraId="403EEF26" w14:textId="77777777" w:rsidR="00B06BDA" w:rsidRPr="0036019C" w:rsidRDefault="00B06BDA" w:rsidP="00B06BDA">
      <w:pPr>
        <w:ind w:firstLine="284"/>
        <w:rPr>
          <w:rFonts w:ascii="Garamond" w:hAnsi="Garamond"/>
          <w:b/>
          <w:bCs/>
          <w:color w:val="000000" w:themeColor="text1"/>
          <w:lang w:val="sq-AL"/>
        </w:rPr>
      </w:pPr>
      <w:r w:rsidRPr="0036019C">
        <w:rPr>
          <w:rFonts w:ascii="Garamond" w:hAnsi="Garamond"/>
          <w:b/>
          <w:bCs/>
          <w:color w:val="000000" w:themeColor="text1"/>
          <w:lang w:val="sq-AL"/>
        </w:rPr>
        <w:t>Të drejtat e njeriut</w:t>
      </w:r>
    </w:p>
    <w:p w14:paraId="49694BD6" w14:textId="6E07FEB0"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Zhvillimi dhe zbatimi i një politike koherente për të drejtat e njeriut dhe barazi, bazuar në Kartën Evropiane të të Drejtave Themelore, do të sigurojë mjetin kryesor për integrimin e të drejtave të njeriut në përgatitjen dhe zbatimin e politikave publike, përfshirë programet e Politikës së Kohezionit dhe përgatitjen e dokumenteve të planifikimit territorial. Përshtatja me </w:t>
      </w:r>
      <w:r w:rsidR="000F72F0" w:rsidRPr="0036019C">
        <w:rPr>
          <w:rFonts w:ascii="Garamond" w:hAnsi="Garamond"/>
          <w:i/>
          <w:iCs/>
          <w:color w:val="000000" w:themeColor="text1"/>
          <w:lang w:val="sq-AL"/>
        </w:rPr>
        <w:t>acquis</w:t>
      </w:r>
      <w:r w:rsidRPr="0036019C">
        <w:rPr>
          <w:rFonts w:ascii="Garamond" w:hAnsi="Garamond"/>
          <w:color w:val="000000" w:themeColor="text1"/>
          <w:lang w:val="sq-AL"/>
        </w:rPr>
        <w:t>-në dhe qeverisja e mirë gjithmonë marrin parasysh të drejtat e njeriut në përputhje me parimin “Mos lër askënd pas”. Të drejtat e njeriut garantohen nëpërmjet konsolidimit të sistemit të drejtësisë, përmes gjyqtarëve të pavarur dhe të kualifikuar, aksesit në drejtësi për komunitetet e cenueshme dhe fëmijët, dhe ofrimit të ndihmës ligjore. Lufta kundër krimit të organizuar do të mbrojë ata që preken nga trafikimi i qenieve njerëzore dhe shfrytëzimi i komuniteteve të cenueshme.</w:t>
      </w:r>
    </w:p>
    <w:p w14:paraId="678F3212"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Aktivitetet e drejtuara kundër korrupsionit do të kontribuojnë në mbrojtjen e të drejtave të njeriut, duke mbrojtur të ardhurat publike dhe mbështetur funksionimin dhe legjitimitetin e institucioneve. Mbështetja për mediat do të ruajë të drejtën për lirinë e opinionit dhe shprehjes, ndërsa ngritja e kapaciteteve të Autoritetit të Mediave Audiovizive do të kontribuojë në krijimin e një mjedisi mediatik që lufton diskriminimin në shoqëri bazuar në gjininë, origjinën raciale ose etnike, fenë ose besimin, aftësitë e kufizuara, moshën ose orientimin seksual. Praktikat e prokurimit me përgjegjësi sociale do të kontribuojnë pozitivisht në promovimin e të drejtave të personave me aftësi të kufizuara, grave dhe pakicave ekonomikisht të pambrojtura, si dhe në forcimin e aksesit në drejtësi për shkeljet e të drejtave të njeriut që lidhen me prokurimin publik, ndërsa përmirësimi i praktikave të prokurimit publik do të ndihmojë në parandalimin e shkeljeve të të drejtave të njeriut brenda zinxhirëve të vlerës shtetërore. Kryerja e auditimeve të ndikimit social nga ALSAI/KLSH do të identifikojë çdo çështje të lidhur me të drejtat e njeriut. Përgatitjet për modelin e Garancisë për Fëmijët të BE-së shërbejnë si përshpejtues për të përmirësuar të drejtat e fëmijëve. Mbështetja për zbatimin e reformës për mbrojtjen e të dhënave do të garantojë mekanizma efektivë për të mbrojtur privatësinë dhe të dhënat personale, duke ruajtur dhe promovuar të drejtën për lirinë e shprehjes. Strategjia e re minerare do të forcojë parimet e drejtësisë sociale, barazisë, shëndetit dhe mosdiskriminimit dhe do të mbështesë të drejtat e qytetarëve në zonat ku ndodhen lëndët e para kritike.</w:t>
      </w:r>
    </w:p>
    <w:p w14:paraId="7B80DADD" w14:textId="77777777" w:rsidR="00B06BDA" w:rsidRPr="0036019C" w:rsidRDefault="00B06BDA" w:rsidP="00B06BDA">
      <w:pPr>
        <w:ind w:firstLine="284"/>
        <w:rPr>
          <w:rFonts w:ascii="Garamond" w:hAnsi="Garamond"/>
          <w:b/>
          <w:bCs/>
          <w:color w:val="000000" w:themeColor="text1"/>
          <w:lang w:val="sq-AL"/>
        </w:rPr>
      </w:pPr>
      <w:r w:rsidRPr="0036019C">
        <w:rPr>
          <w:rFonts w:ascii="Garamond" w:hAnsi="Garamond"/>
          <w:b/>
          <w:bCs/>
          <w:color w:val="000000" w:themeColor="text1"/>
          <w:lang w:val="sq-AL"/>
        </w:rPr>
        <w:t>Aftësitë e kufizuara</w:t>
      </w:r>
    </w:p>
    <w:p w14:paraId="195959EE" w14:textId="77777777" w:rsidR="00B06BDA" w:rsidRPr="0036019C" w:rsidRDefault="00B06BDA" w:rsidP="00B06BDA">
      <w:pPr>
        <w:pStyle w:val="NormalWeb"/>
        <w:spacing w:before="0" w:beforeAutospacing="0" w:after="0" w:afterAutospacing="0"/>
        <w:ind w:firstLine="284"/>
        <w:rPr>
          <w:rFonts w:ascii="Garamond" w:hAnsi="Garamond"/>
          <w:color w:val="000000" w:themeColor="text1"/>
          <w:lang w:val="sq-AL" w:eastAsia="en-US"/>
        </w:rPr>
      </w:pPr>
      <w:r w:rsidRPr="0036019C">
        <w:rPr>
          <w:rFonts w:ascii="Garamond" w:hAnsi="Garamond"/>
          <w:color w:val="000000" w:themeColor="text1"/>
          <w:lang w:val="sq-AL" w:eastAsia="en-US"/>
        </w:rPr>
        <w:t>Zbatimi dhe implementimi i Konventës së Kombeve të Bashkuara për të Drejtat e Personave me Aftësi të Kufizuara (UNCRPD/KKBDPAK) do të forcohet përmes zbatimit të dokumentit politik mbi të drejtat e njeriut dhe barazinë, duke u fokusuar në garantimin që politika, legjislacioni dhe standardet për aksesueshmërinë të jenë të integruara siç duhet, përfshirë edhe në hartimin e programeve të Politikës së Kohezionit. Kjo do të integrohet në aktivitetet e planifikimit nëpër sektorë dhe në zbatimin e investimeve të Mekanizmit për Reformë dhe Rritje.</w:t>
      </w:r>
    </w:p>
    <w:p w14:paraId="13DBCCDD" w14:textId="76890313"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color w:val="000000" w:themeColor="text1"/>
          <w:lang w:val="sq-AL"/>
        </w:rPr>
        <w:t>Zhvillimi dhe zbatimi i legjislacionit që lidhet me të drejtat e personave me aftësi të kufizuara, do të monitorohet dhe raportohet. Mbështetja për bashkitë do të garantojë që kërkesat për kërkesat e aksesueshmërisë të respektohen plotësisht gjatë përgatitjes së projekteve të infrastrukturës, ndërsa një perspektivë e aksesueshmërisë dhe përfshirjes do të miratohet për përgatitjen e dokumenteve të planifikimit të zhvillimit lokal. Auditimet e ndikimit social do të shqyrtojnë mënyrën sesi politikat dhe planet publike marrin parasysh nevojat e Personave me Aftësi të Kufizuara. Në përgjithësi, praktikat e përmirësuara të prokurimit do të marrin në konsideratë parimin e dizajnit universal dhe do të garantojnë që nuk ka pengesa për aksesueshmërinë për personat me aftësi të kufizuara. Praktikat e prokurimit me përgjegjësi sociale do të jenë</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w:t>
      </w:r>
      <w:r w:rsidRPr="0036019C">
        <w:rPr>
          <w:rFonts w:ascii="Garamond" w:hAnsi="Garamond"/>
          <w:color w:val="000000" w:themeColor="text1"/>
          <w:lang w:val="sq-AL"/>
        </w:rPr>
        <w:lastRenderedPageBreak/>
        <w:t>të dobishme, pasi nxisin pjesëmarrjen ekonomike dhe mundësitë për Personat me Aftësi të Kufizuara dhe rrisin cilësinë e shërbimeve mbështetëse.</w:t>
      </w:r>
    </w:p>
    <w:p w14:paraId="724F061C" w14:textId="77777777" w:rsidR="00B06BDA" w:rsidRPr="0036019C" w:rsidRDefault="00B06BDA" w:rsidP="00B06BDA">
      <w:pPr>
        <w:ind w:firstLine="284"/>
        <w:rPr>
          <w:rFonts w:ascii="Garamond" w:hAnsi="Garamond"/>
          <w:b/>
          <w:bCs/>
          <w:color w:val="000000" w:themeColor="text1"/>
          <w:lang w:val="sq-AL"/>
        </w:rPr>
      </w:pPr>
      <w:r w:rsidRPr="0036019C">
        <w:rPr>
          <w:rFonts w:ascii="Garamond" w:hAnsi="Garamond"/>
          <w:b/>
          <w:bCs/>
          <w:color w:val="000000" w:themeColor="text1"/>
          <w:lang w:val="sq-AL"/>
        </w:rPr>
        <w:t>Demokracia</w:t>
      </w:r>
    </w:p>
    <w:p w14:paraId="5CAA597B"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Kapaciteti i institucioneve demokratike në Shqipëri për të funksionuar në përputhje me parimet e efikasitetit dhe llogaridhënies do të forcohet, duke rritur kështu besimin publik dhe besimin në institucionet demokratike. Do të ofrohet mbështetje për Parlamentin në rolin e tij mbikëqyrës, monitorues dhe përfaqësues. Një Komision Zgjedhor më efikas dhe i pajisur me kapacitete të plota do të garantojë që të gjithë qytetarët të mund të ushtrojnë të drejtat e tyre zgjedhore në mënyrë efektive dhe të nxisë pjesëmarrjen efektive dhe të qëndrueshme të qytetarëve. Një media e lirë, e pavarur dhe pluraliste, e bazuar në lirinë e informacionit dhe të shprehjes, është një element thelbësor i çdo demokracie funksionale. Garantimi që të drejtat e njeriut respektohen në të gjithë sektorët dhe organet publike në të gjitha nivelet, në monitorimin dhe promovimin e respektimit të të drejtave themelore, do të kontribuojë në konsolidimin e vlerave demokratike brenda vendit. Forcimi i sektorit publik do të nxisë qeverisjen e mirë, një nga shtyllat/parimet e demokracisë. Rritja e transparencës në menaxhimin financiar publik, menaxhimin e borxhit, përafrimin fiskal dhe përmirësimin e praktikave të prokurimit kontribuojnë të gjitha në rritjen e transparencës dhe llogaridhënies në financat publike dhe rritjen e besimit të publikut, të cilat janë të domosdoshme për demokracinë. </w:t>
      </w:r>
    </w:p>
    <w:p w14:paraId="0E37A086" w14:textId="3FCA6DDE"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color w:val="000000" w:themeColor="text1"/>
          <w:lang w:val="sq-AL"/>
        </w:rPr>
        <w:t>Mbështetja e ofruar qeverisjeve lokale do të rrisë kapacitetin e tyre për të zbatuar parimet e qeverisjes së mirë, duke përfshirë parimet e transparencës, përfshirjes dhe pjesëmarrjes, efikasitetit, efektivitetit dhe llogaridhënies. Auditimet e ndikimit social bazohen në parimet e qeverisjes demokratike dhe çojnë në menaxhimin demokratik të burimeve publike dhe ofrimin e shërbimeve publike. Praktikat e prokurimit me përgjegjësi sociale mund të nxisin krijimin e pasurisë komunitare përmes pronësisë demokratike, duke çuar në demokraci ekonomike. Rritja e kapaciteteve në Vlerësimin e Ndikimit Mjedisor do të kontribuojë</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në ndërtimin dhe konsolidimin e demokracisë mjedisore, përfshirë tranzicionin e gjelbër. Konsolidimi i sistemit të drejtësisë, përmirësimi i kushteve të sigurisë në burgje, promovimi i praktikave të drejtësisë restauruese, drejtësia për të miturit dhe modeli Barnahus, si dhe aksesi i barabartë në drejtësi dhe ndihmë ligjore, veçanërisht për grupet e cenueshme, do të promovojnë vlerat dhe parimet demokratike. Hartimi i përditësuar i burimeve strategjike do të hapë rrugën për përfshirjen demokratike në tranzicionin e gjelbër. </w:t>
      </w:r>
    </w:p>
    <w:p w14:paraId="0715EA2F"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Sensitiviteti ndaj konflikteve, paqja dhe qëndrueshmëria</w:t>
      </w:r>
    </w:p>
    <w:p w14:paraId="6EC5B4B5"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Qëndrueshmëria do të bazohet në tranzicionin e gjelbër nëpërmjet prezantimit të një kuadri rregullator të përditësuar që përmbush standardet e BE-së në sektorin minerar, duke marrë parasysh numrin e madh të operacioneve informale të nxjerrjes së mineraleve në shkallë të vogël që nuk janë të qëndrueshme. Konfliktet e mundshme midis komuniteteve lokale, SME-ve (ndërmarrjeve të vogla dhe të mesme) dhe investitorëve do të adresohen në mënyrë proaktive, duke theksuar mundësitë që do të hapen përmes vendosjes së standardeve të larta shoqërore dhe mjedisore, dhe miratimi i paradigmave të ekonomisë qarkore dhe zgjidhjeve inovative do të garantojë mundësi të rëndësishme zhvillimi për komunitetet rurale lokale, duke garantuar përfitime konkrete në nivel komuniteti dhe duke ruajtur cilësinë mjedisore.</w:t>
      </w:r>
    </w:p>
    <w:p w14:paraId="31B28754"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Ulja e rrezikut nga fatkeqësitë</w:t>
      </w:r>
    </w:p>
    <w:p w14:paraId="28FE79DC"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Rregullimi dhe standardet e përmirësuara në sektorin e minierave do të zvogëlojnë rreziqet në miniera. Ruajtja dhe ripërdorimi i mbetjeve nxjerrëse dhe të përpunimit, në kontekstin e ekonomisë qarkore, janë një hap i rëndësishëm drejt parandalimit dhe uljes së rreziqeve.</w:t>
      </w:r>
    </w:p>
    <w:p w14:paraId="4595A651" w14:textId="11565B93" w:rsidR="00B06BDA" w:rsidRPr="0036019C" w:rsidRDefault="00B06BDA" w:rsidP="0051080E">
      <w:pPr>
        <w:pStyle w:val="TEKSTIIIII"/>
        <w:rPr>
          <w:b/>
          <w:bCs/>
        </w:rPr>
      </w:pPr>
      <w:r w:rsidRPr="0036019C">
        <w:rPr>
          <w:b/>
          <w:bCs/>
        </w:rPr>
        <w:t xml:space="preserve">3.4 </w:t>
      </w:r>
      <w:r w:rsidRPr="0036019C">
        <w:rPr>
          <w:b/>
        </w:rPr>
        <w:t>Supozimet dhe rreziqet e jashtme</w:t>
      </w:r>
    </w:p>
    <w:p w14:paraId="191A5083" w14:textId="77777777" w:rsidR="00B06BDA" w:rsidRPr="0036019C" w:rsidRDefault="00B06BDA" w:rsidP="00B06BDA">
      <w:pPr>
        <w:ind w:firstLine="284"/>
        <w:jc w:val="both"/>
        <w:rPr>
          <w:rFonts w:ascii="Garamond" w:hAnsi="Garamond"/>
          <w:b/>
          <w:bCs/>
          <w:color w:val="000000" w:themeColor="text1"/>
          <w:lang w:val="sq-AL"/>
        </w:rPr>
      </w:pPr>
      <w:r w:rsidRPr="0036019C">
        <w:rPr>
          <w:rFonts w:ascii="Garamond" w:hAnsi="Garamond"/>
          <w:b/>
          <w:bCs/>
          <w:color w:val="000000" w:themeColor="text1"/>
          <w:lang w:val="sq-AL"/>
        </w:rPr>
        <w:t>Supozime të jashtme</w:t>
      </w:r>
    </w:p>
    <w:p w14:paraId="218F7853" w14:textId="1AC3438D" w:rsidR="00B06BDA" w:rsidRPr="0036019C" w:rsidRDefault="00B06BDA" w:rsidP="0051080E">
      <w:pPr>
        <w:pStyle w:val="TEKSTIIIII"/>
      </w:pPr>
      <w:r w:rsidRPr="0036019C">
        <w:t xml:space="preserve">- Angazhimi politik i qëndrueshëm, stabiliteti institucional dhe koordinimi efektiv midis palëve të interesit për zbatimin e suksesshëm të reformave dhe procesit të përafrimit me </w:t>
      </w:r>
      <w:r w:rsidR="000F72F0" w:rsidRPr="0036019C">
        <w:rPr>
          <w:i/>
          <w:iCs/>
        </w:rPr>
        <w:t>acquis</w:t>
      </w:r>
      <w:r w:rsidRPr="0036019C">
        <w:t>-në e BE-së.</w:t>
      </w:r>
    </w:p>
    <w:p w14:paraId="1807CD9D" w14:textId="77777777" w:rsidR="00B06BDA" w:rsidRPr="0036019C" w:rsidRDefault="00B06BDA" w:rsidP="0051080E">
      <w:pPr>
        <w:pStyle w:val="TEKSTIIIII"/>
      </w:pPr>
      <w:r w:rsidRPr="0036019C">
        <w:lastRenderedPageBreak/>
        <w:t>- Burime të mjaftueshme financiare dhe teknike në dispozicion për të mbështetur ndërtimin e kapaciteteve në sektorin publik, dhe ekzistenca e strukturave administrative dhe organizative të qëndrueshme.</w:t>
      </w:r>
    </w:p>
    <w:p w14:paraId="7E67C21E" w14:textId="77777777" w:rsidR="00B06BDA" w:rsidRPr="0036019C" w:rsidRDefault="00B06BDA" w:rsidP="0051080E">
      <w:pPr>
        <w:pStyle w:val="TEKSTIIIII"/>
      </w:pPr>
      <w:r w:rsidRPr="0036019C">
        <w:t>- Profesionistët e drejtësisë dhe nëpunësit civilë të angazhuar aktivisht në iniciativat e ndërtimit të kapaciteteve dhe proceset e reformës, me një kapacitet institucional për të përthithur dhe ruajtur ndryshimet.</w:t>
      </w:r>
    </w:p>
    <w:p w14:paraId="6D8F010A" w14:textId="77777777" w:rsidR="00B06BDA" w:rsidRPr="0036019C" w:rsidRDefault="00B06BDA" w:rsidP="0051080E">
      <w:pPr>
        <w:pStyle w:val="TEKSTIIIII"/>
      </w:pPr>
      <w:r w:rsidRPr="0036019C">
        <w:t>- Bashkitë dhe organet e qeverisjes të angazhuara për të ndjekur modelet e BE-së dhe që koordinimi ndërqeveritar të jetë efektiv.</w:t>
      </w:r>
    </w:p>
    <w:p w14:paraId="2227DE7C" w14:textId="77777777" w:rsidR="00B06BDA" w:rsidRPr="0036019C" w:rsidRDefault="00B06BDA" w:rsidP="0051080E">
      <w:pPr>
        <w:pStyle w:val="TEKSTIIIII"/>
      </w:pPr>
      <w:r w:rsidRPr="0036019C">
        <w:t>- Reformat në menaxhimin financiar publik dhe prokurim varen nga miratimi në kohë i kuadrit të nevojshëm ligjor dhe angazhimi afatgjatë i qeverisë.</w:t>
      </w:r>
    </w:p>
    <w:p w14:paraId="6E8F0CA4" w14:textId="1EC729E3" w:rsidR="00B06BDA" w:rsidRPr="0036019C" w:rsidRDefault="00B06BDA" w:rsidP="0051080E">
      <w:pPr>
        <w:pStyle w:val="TEKSTIIIII"/>
      </w:pPr>
      <w:r w:rsidRPr="0036019C">
        <w:t xml:space="preserve">- Janë vendosur treguesit përfundimtarë </w:t>
      </w:r>
      <w:r w:rsidR="00D91DF9">
        <w:t xml:space="preserve">për kapitullin </w:t>
      </w:r>
      <w:r w:rsidRPr="0036019C">
        <w:t>22.</w:t>
      </w:r>
    </w:p>
    <w:p w14:paraId="00E4E85E" w14:textId="77777777" w:rsidR="00B06BDA" w:rsidRPr="0036019C" w:rsidRDefault="00B06BDA" w:rsidP="0051080E">
      <w:pPr>
        <w:pStyle w:val="TEKSTIIIII"/>
      </w:pPr>
      <w:r w:rsidRPr="0036019C">
        <w:t>- Ekziston një interes i lartë dhe i qëndrueshëm i tregjeve evropiane për produktet e nxjerrjes, përpunimit dhe riciklimit të lëndëve të para kritike (CRM).</w:t>
      </w:r>
    </w:p>
    <w:p w14:paraId="68B30A21" w14:textId="6444B715" w:rsidR="00B06BDA" w:rsidRPr="0036019C" w:rsidRDefault="00B06BDA" w:rsidP="0051080E">
      <w:pPr>
        <w:pStyle w:val="TEKSTIIIII"/>
      </w:pPr>
      <w:r w:rsidRPr="0036019C">
        <w:t>- Qeveria e Shqipërisë mbetet plotësisht e angazhuar për përgatitjen/përditësimin dhe përafrimin e politikave dhe kuadrit ligjor lidhur me CRM-në.</w:t>
      </w:r>
    </w:p>
    <w:p w14:paraId="3B309EBC" w14:textId="77777777" w:rsidR="00CC4E19" w:rsidRPr="0036019C" w:rsidRDefault="00CC4E19" w:rsidP="0051080E">
      <w:pPr>
        <w:pStyle w:val="TEKSTIIII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576"/>
        <w:gridCol w:w="1270"/>
        <w:gridCol w:w="996"/>
        <w:gridCol w:w="2906"/>
      </w:tblGrid>
      <w:tr w:rsidR="00B06BDA" w:rsidRPr="0007038A" w14:paraId="65595AEF"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vAlign w:val="center"/>
          </w:tcPr>
          <w:p w14:paraId="379885BB" w14:textId="77777777" w:rsidR="00B06BDA" w:rsidRPr="0007038A" w:rsidRDefault="00B06BDA"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Kategoria</w:t>
            </w:r>
          </w:p>
        </w:tc>
        <w:tc>
          <w:tcPr>
            <w:tcW w:w="1428" w:type="pct"/>
            <w:tcBorders>
              <w:top w:val="single" w:sz="4" w:space="0" w:color="auto"/>
              <w:left w:val="single" w:sz="4" w:space="0" w:color="auto"/>
              <w:bottom w:val="single" w:sz="4" w:space="0" w:color="auto"/>
              <w:right w:val="single" w:sz="4" w:space="0" w:color="auto"/>
            </w:tcBorders>
            <w:vAlign w:val="center"/>
          </w:tcPr>
          <w:p w14:paraId="714F31E5" w14:textId="77777777" w:rsidR="00B06BDA" w:rsidRPr="0007038A" w:rsidRDefault="00B06BDA"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Rreziqet</w:t>
            </w:r>
          </w:p>
        </w:tc>
        <w:tc>
          <w:tcPr>
            <w:tcW w:w="704" w:type="pct"/>
            <w:tcBorders>
              <w:top w:val="single" w:sz="4" w:space="0" w:color="auto"/>
              <w:left w:val="single" w:sz="4" w:space="0" w:color="auto"/>
              <w:bottom w:val="single" w:sz="4" w:space="0" w:color="auto"/>
              <w:right w:val="single" w:sz="4" w:space="0" w:color="auto"/>
            </w:tcBorders>
            <w:vAlign w:val="center"/>
          </w:tcPr>
          <w:p w14:paraId="063A0BAA" w14:textId="77777777" w:rsidR="00B06BDA" w:rsidRPr="0007038A" w:rsidRDefault="00B06BDA"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Probabiliteti</w:t>
            </w:r>
          </w:p>
          <w:p w14:paraId="7BDE3AC4" w14:textId="4B97D85B" w:rsidR="00B06BDA" w:rsidRPr="0007038A" w:rsidRDefault="00605EBD"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(i lartë/</w:t>
            </w:r>
          </w:p>
          <w:p w14:paraId="17817262" w14:textId="7FE3EF7B" w:rsidR="00B06BDA" w:rsidRPr="0007038A" w:rsidRDefault="00605EBD"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mesatar/</w:t>
            </w:r>
          </w:p>
          <w:p w14:paraId="5C0DD2C5" w14:textId="20018E1D" w:rsidR="00B06BDA" w:rsidRPr="0007038A" w:rsidRDefault="00605EBD"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i ulët)</w:t>
            </w:r>
          </w:p>
        </w:tc>
        <w:tc>
          <w:tcPr>
            <w:tcW w:w="552" w:type="pct"/>
            <w:tcBorders>
              <w:top w:val="single" w:sz="4" w:space="0" w:color="auto"/>
              <w:left w:val="single" w:sz="4" w:space="0" w:color="auto"/>
              <w:bottom w:val="single" w:sz="4" w:space="0" w:color="auto"/>
              <w:right w:val="single" w:sz="4" w:space="0" w:color="auto"/>
            </w:tcBorders>
            <w:vAlign w:val="center"/>
          </w:tcPr>
          <w:p w14:paraId="195BC01D" w14:textId="6B650B1F" w:rsidR="00B06BDA" w:rsidRPr="0007038A" w:rsidRDefault="00B06BDA"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Ndikimi</w:t>
            </w:r>
          </w:p>
          <w:p w14:paraId="6FE5C544" w14:textId="05D64E6A" w:rsidR="00B06BDA" w:rsidRPr="0007038A" w:rsidRDefault="00605EBD"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(i lartë/</w:t>
            </w:r>
          </w:p>
          <w:p w14:paraId="5CCDAC66" w14:textId="30865FFD" w:rsidR="00B06BDA" w:rsidRPr="0007038A" w:rsidRDefault="00605EBD"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mesatar/</w:t>
            </w:r>
          </w:p>
          <w:p w14:paraId="595BB812" w14:textId="32D43512" w:rsidR="00B06BDA" w:rsidRPr="0007038A" w:rsidRDefault="00605EBD"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i ulët</w:t>
            </w:r>
            <w:r w:rsidR="00B06BDA" w:rsidRPr="0007038A">
              <w:rPr>
                <w:rFonts w:ascii="Garamond" w:hAnsi="Garamond"/>
                <w:b/>
                <w:color w:val="000000" w:themeColor="text1"/>
                <w:sz w:val="18"/>
                <w:szCs w:val="18"/>
                <w:lang w:val="sq-AL"/>
              </w:rPr>
              <w:t>)</w:t>
            </w:r>
          </w:p>
        </w:tc>
        <w:tc>
          <w:tcPr>
            <w:tcW w:w="1611" w:type="pct"/>
            <w:tcBorders>
              <w:top w:val="single" w:sz="4" w:space="0" w:color="auto"/>
              <w:left w:val="single" w:sz="4" w:space="0" w:color="auto"/>
              <w:bottom w:val="single" w:sz="4" w:space="0" w:color="auto"/>
              <w:right w:val="single" w:sz="4" w:space="0" w:color="auto"/>
            </w:tcBorders>
            <w:vAlign w:val="center"/>
          </w:tcPr>
          <w:p w14:paraId="2EB15D69" w14:textId="77777777" w:rsidR="00B06BDA" w:rsidRPr="0007038A" w:rsidRDefault="00B06BDA" w:rsidP="000F72F0">
            <w:pPr>
              <w:jc w:val="center"/>
              <w:rPr>
                <w:rFonts w:ascii="Garamond" w:hAnsi="Garamond"/>
                <w:b/>
                <w:color w:val="000000" w:themeColor="text1"/>
                <w:sz w:val="18"/>
                <w:szCs w:val="18"/>
                <w:lang w:val="sq-AL"/>
              </w:rPr>
            </w:pPr>
            <w:r w:rsidRPr="0007038A">
              <w:rPr>
                <w:rFonts w:ascii="Garamond" w:hAnsi="Garamond"/>
                <w:b/>
                <w:color w:val="000000" w:themeColor="text1"/>
                <w:sz w:val="18"/>
                <w:szCs w:val="18"/>
                <w:lang w:val="sq-AL"/>
              </w:rPr>
              <w:t>Masat zbutëse</w:t>
            </w:r>
          </w:p>
        </w:tc>
      </w:tr>
      <w:tr w:rsidR="00B06BDA" w:rsidRPr="0007038A" w14:paraId="3DD25A72"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30028234" w14:textId="626F7C31"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3</w:t>
            </w:r>
            <w:r w:rsidR="00605EBD" w:rsidRPr="0007038A">
              <w:rPr>
                <w:rFonts w:ascii="Garamond" w:hAnsi="Garamond"/>
                <w:color w:val="000000" w:themeColor="text1"/>
                <w:sz w:val="18"/>
                <w:szCs w:val="18"/>
                <w:lang w:val="sq-AL"/>
              </w:rPr>
              <w:t>.</w:t>
            </w:r>
            <w:r w:rsidR="00605EBD" w:rsidRPr="0007038A">
              <w:rPr>
                <w:rFonts w:ascii="Garamond" w:hAnsi="Garamond"/>
                <w:sz w:val="18"/>
                <w:szCs w:val="18"/>
              </w:rPr>
              <w:t xml:space="preserve"> </w:t>
            </w:r>
            <w:r w:rsidRPr="0007038A">
              <w:rPr>
                <w:rFonts w:ascii="Garamond" w:hAnsi="Garamond"/>
                <w:color w:val="000000" w:themeColor="text1"/>
                <w:sz w:val="18"/>
                <w:szCs w:val="18"/>
                <w:lang w:val="sq-AL"/>
              </w:rPr>
              <w:t>Për njerëzit dhe organizatën</w:t>
            </w:r>
          </w:p>
        </w:tc>
        <w:tc>
          <w:tcPr>
            <w:tcW w:w="1428" w:type="pct"/>
            <w:tcBorders>
              <w:top w:val="single" w:sz="4" w:space="0" w:color="auto"/>
              <w:left w:val="single" w:sz="4" w:space="0" w:color="auto"/>
              <w:bottom w:val="single" w:sz="4" w:space="0" w:color="auto"/>
              <w:right w:val="single" w:sz="4" w:space="0" w:color="auto"/>
            </w:tcBorders>
          </w:tcPr>
          <w:p w14:paraId="6B49D6A3"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Mungesa e vullnetit të qëndrueshëm politik për të zbatuar reformat në drejtësi, për të ruajtur pavarësinë e institucioneve dhe për të integruar në mënyrë të qëndrueshme të drejtat themelore dhe parimet e barazisë.</w:t>
            </w:r>
          </w:p>
        </w:tc>
        <w:tc>
          <w:tcPr>
            <w:tcW w:w="704" w:type="pct"/>
            <w:tcBorders>
              <w:top w:val="single" w:sz="4" w:space="0" w:color="auto"/>
              <w:left w:val="single" w:sz="4" w:space="0" w:color="auto"/>
              <w:bottom w:val="single" w:sz="4" w:space="0" w:color="auto"/>
              <w:right w:val="single" w:sz="4" w:space="0" w:color="auto"/>
            </w:tcBorders>
          </w:tcPr>
          <w:p w14:paraId="0ABC0B94"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6B14D0A7"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I lartë</w:t>
            </w:r>
          </w:p>
        </w:tc>
        <w:tc>
          <w:tcPr>
            <w:tcW w:w="1611" w:type="pct"/>
            <w:tcBorders>
              <w:top w:val="single" w:sz="4" w:space="0" w:color="auto"/>
              <w:left w:val="single" w:sz="4" w:space="0" w:color="auto"/>
              <w:bottom w:val="single" w:sz="4" w:space="0" w:color="auto"/>
              <w:right w:val="single" w:sz="4" w:space="0" w:color="auto"/>
            </w:tcBorders>
          </w:tcPr>
          <w:p w14:paraId="18959719" w14:textId="77777777" w:rsidR="00B06BDA" w:rsidRPr="0007038A" w:rsidRDefault="00B06BDA" w:rsidP="00CC4E19">
            <w:pPr>
              <w:rPr>
                <w:rFonts w:ascii="Garamond" w:hAnsi="Garamond"/>
                <w:b/>
                <w:bCs/>
                <w:color w:val="000000" w:themeColor="text1"/>
                <w:sz w:val="18"/>
                <w:szCs w:val="18"/>
                <w:lang w:val="sq-AL"/>
              </w:rPr>
            </w:pPr>
            <w:r w:rsidRPr="0007038A">
              <w:rPr>
                <w:rFonts w:ascii="Garamond" w:hAnsi="Garamond"/>
                <w:color w:val="000000" w:themeColor="text1"/>
                <w:sz w:val="18"/>
                <w:szCs w:val="18"/>
                <w:lang w:val="sq-AL"/>
              </w:rPr>
              <w:t>Angazhimi i vazhdueshëm me palët kyçe politike dhe monitorimi i rregullt nga BE-ja për të siguruar angazhimin ndaj objektivave të reformës. Angazhimi i vazhdueshëm me organet e qeverisjes qendrore dhe lokale për të garantuar respektimin e të drejtave themelore.</w:t>
            </w:r>
          </w:p>
        </w:tc>
      </w:tr>
      <w:tr w:rsidR="00B06BDA" w:rsidRPr="0007038A" w14:paraId="059CE5C8"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49E4A260" w14:textId="0EB0D484"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3</w:t>
            </w:r>
            <w:r w:rsidR="00605EBD" w:rsidRPr="0007038A">
              <w:rPr>
                <w:rFonts w:ascii="Garamond" w:hAnsi="Garamond"/>
                <w:color w:val="000000" w:themeColor="text1"/>
                <w:sz w:val="18"/>
                <w:szCs w:val="18"/>
                <w:lang w:val="sq-AL"/>
              </w:rPr>
              <w:t>.</w:t>
            </w:r>
            <w:r w:rsidR="00605EBD" w:rsidRPr="0007038A">
              <w:rPr>
                <w:rFonts w:ascii="Garamond" w:hAnsi="Garamond"/>
                <w:sz w:val="18"/>
                <w:szCs w:val="18"/>
              </w:rPr>
              <w:t xml:space="preserve"> </w:t>
            </w:r>
            <w:r w:rsidRPr="0007038A">
              <w:rPr>
                <w:rFonts w:ascii="Garamond" w:hAnsi="Garamond"/>
                <w:color w:val="000000" w:themeColor="text1"/>
                <w:sz w:val="18"/>
                <w:szCs w:val="18"/>
                <w:lang w:val="sq-AL"/>
              </w:rPr>
              <w:t>Për njerëzit dhe organizatën</w:t>
            </w:r>
          </w:p>
        </w:tc>
        <w:tc>
          <w:tcPr>
            <w:tcW w:w="1428" w:type="pct"/>
            <w:tcBorders>
              <w:top w:val="single" w:sz="4" w:space="0" w:color="auto"/>
              <w:left w:val="single" w:sz="4" w:space="0" w:color="auto"/>
              <w:bottom w:val="single" w:sz="4" w:space="0" w:color="auto"/>
              <w:right w:val="single" w:sz="4" w:space="0" w:color="auto"/>
            </w:tcBorders>
          </w:tcPr>
          <w:p w14:paraId="63362A58"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Stafi i pamjaftueshëm në organet publike dhe institucionet e pavarura mund të pengojë aftësinë e tyre për të përfituar plotësisht nga aktivitetet e ndërtimit të kapaciteteve.</w:t>
            </w:r>
          </w:p>
        </w:tc>
        <w:tc>
          <w:tcPr>
            <w:tcW w:w="704" w:type="pct"/>
            <w:tcBorders>
              <w:top w:val="single" w:sz="4" w:space="0" w:color="auto"/>
              <w:left w:val="single" w:sz="4" w:space="0" w:color="auto"/>
              <w:bottom w:val="single" w:sz="4" w:space="0" w:color="auto"/>
              <w:right w:val="single" w:sz="4" w:space="0" w:color="auto"/>
            </w:tcBorders>
          </w:tcPr>
          <w:p w14:paraId="30035A45"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0BAADCEA"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t>Mesatar</w:t>
            </w:r>
          </w:p>
        </w:tc>
        <w:tc>
          <w:tcPr>
            <w:tcW w:w="1611" w:type="pct"/>
            <w:tcBorders>
              <w:top w:val="single" w:sz="4" w:space="0" w:color="auto"/>
              <w:left w:val="single" w:sz="4" w:space="0" w:color="auto"/>
              <w:bottom w:val="single" w:sz="4" w:space="0" w:color="auto"/>
              <w:right w:val="single" w:sz="4" w:space="0" w:color="auto"/>
            </w:tcBorders>
          </w:tcPr>
          <w:p w14:paraId="34E9BA4D"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Analiza vjetore e ngarkesës së punës dhe monitorimi i vazhdueshëm i procesit të plotësimit me personel, kryhen nga të gjitha institucionet dhe strukturat për të garantuar nivelet optimale të kapacitetit. Gjithashtu, politika e mbajtjes dhe rekrutimit të stafit është përforcuar më tej.</w:t>
            </w:r>
          </w:p>
        </w:tc>
      </w:tr>
      <w:tr w:rsidR="00B06BDA" w:rsidRPr="0007038A" w14:paraId="54E3B8C8"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6F27D9E8" w14:textId="68E0E235"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2</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Për planifikimin, proceset dhe sistemet</w:t>
            </w:r>
          </w:p>
        </w:tc>
        <w:tc>
          <w:tcPr>
            <w:tcW w:w="1428" w:type="pct"/>
            <w:tcBorders>
              <w:top w:val="single" w:sz="4" w:space="0" w:color="auto"/>
              <w:left w:val="single" w:sz="4" w:space="0" w:color="auto"/>
              <w:bottom w:val="single" w:sz="4" w:space="0" w:color="auto"/>
              <w:right w:val="single" w:sz="4" w:space="0" w:color="auto"/>
            </w:tcBorders>
          </w:tcPr>
          <w:p w14:paraId="66DF9895"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Mekanizmat e dobët të koordinimit midis agjencive të ndryshme, si në nivel qendror edhe lokal, dhe mungesa e platformave të përbashkëta të të dhënave mund të pengojnë efektivitetin e hetimeve dhe inspektimeve të përbashkëta të synuara për të luftuar krimin e organizuar, aktivitetet financiare, kibernetike dhe mjedisore të paligjshme.</w:t>
            </w:r>
          </w:p>
        </w:tc>
        <w:tc>
          <w:tcPr>
            <w:tcW w:w="704" w:type="pct"/>
            <w:tcBorders>
              <w:top w:val="single" w:sz="4" w:space="0" w:color="auto"/>
              <w:left w:val="single" w:sz="4" w:space="0" w:color="auto"/>
              <w:bottom w:val="single" w:sz="4" w:space="0" w:color="auto"/>
              <w:right w:val="single" w:sz="4" w:space="0" w:color="auto"/>
            </w:tcBorders>
          </w:tcPr>
          <w:p w14:paraId="2AED7D59"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73EE846A"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t>Mesatar</w:t>
            </w:r>
          </w:p>
        </w:tc>
        <w:tc>
          <w:tcPr>
            <w:tcW w:w="1611" w:type="pct"/>
            <w:tcBorders>
              <w:top w:val="single" w:sz="4" w:space="0" w:color="auto"/>
              <w:left w:val="single" w:sz="4" w:space="0" w:color="auto"/>
              <w:bottom w:val="single" w:sz="4" w:space="0" w:color="auto"/>
              <w:right w:val="single" w:sz="4" w:space="0" w:color="auto"/>
            </w:tcBorders>
          </w:tcPr>
          <w:p w14:paraId="205AC27B"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Procedurat e koordinimit dhe komunikimit ndërinstitucional po vlerësohen, miratohen dhe monitorohen rregullisht. Përmirësimet identifikohen dhe zbatohen sipas nevojës për të garantuar bashkëpunim më të fortë midis agjencive, duke rritur aftësinë e tyre për të kryer hetime dhe inspektime të përbashkëta në luftën kundër aktiviteteve të paligjshme mjedisore.</w:t>
            </w:r>
          </w:p>
        </w:tc>
      </w:tr>
      <w:tr w:rsidR="00B06BDA" w:rsidRPr="0007038A" w14:paraId="5B325340"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3F34B12A" w14:textId="2857A98A"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3</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Për njerëzit dhe organizatën</w:t>
            </w:r>
          </w:p>
        </w:tc>
        <w:tc>
          <w:tcPr>
            <w:tcW w:w="1428" w:type="pct"/>
            <w:tcBorders>
              <w:top w:val="single" w:sz="4" w:space="0" w:color="auto"/>
              <w:left w:val="single" w:sz="4" w:space="0" w:color="auto"/>
              <w:bottom w:val="single" w:sz="4" w:space="0" w:color="auto"/>
              <w:right w:val="single" w:sz="4" w:space="0" w:color="auto"/>
            </w:tcBorders>
          </w:tcPr>
          <w:p w14:paraId="637D704C"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Rezistenca ndaj ndryshimit midis deputetëve dhe stafit mund të pengojë përpjekjet për qeverisje të hapur.</w:t>
            </w:r>
          </w:p>
        </w:tc>
        <w:tc>
          <w:tcPr>
            <w:tcW w:w="704" w:type="pct"/>
            <w:tcBorders>
              <w:top w:val="single" w:sz="4" w:space="0" w:color="auto"/>
              <w:left w:val="single" w:sz="4" w:space="0" w:color="auto"/>
              <w:bottom w:val="single" w:sz="4" w:space="0" w:color="auto"/>
              <w:right w:val="single" w:sz="4" w:space="0" w:color="auto"/>
            </w:tcBorders>
          </w:tcPr>
          <w:p w14:paraId="5E49FDDB"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I ulët</w:t>
            </w:r>
          </w:p>
        </w:tc>
        <w:tc>
          <w:tcPr>
            <w:tcW w:w="552" w:type="pct"/>
            <w:tcBorders>
              <w:top w:val="single" w:sz="4" w:space="0" w:color="auto"/>
              <w:left w:val="single" w:sz="4" w:space="0" w:color="auto"/>
              <w:bottom w:val="single" w:sz="4" w:space="0" w:color="auto"/>
              <w:right w:val="single" w:sz="4" w:space="0" w:color="auto"/>
            </w:tcBorders>
          </w:tcPr>
          <w:p w14:paraId="579CAA20"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I ulët</w:t>
            </w:r>
          </w:p>
        </w:tc>
        <w:tc>
          <w:tcPr>
            <w:tcW w:w="1611" w:type="pct"/>
            <w:tcBorders>
              <w:top w:val="single" w:sz="4" w:space="0" w:color="auto"/>
              <w:left w:val="single" w:sz="4" w:space="0" w:color="auto"/>
              <w:bottom w:val="single" w:sz="4" w:space="0" w:color="auto"/>
              <w:right w:val="single" w:sz="4" w:space="0" w:color="auto"/>
            </w:tcBorders>
          </w:tcPr>
          <w:p w14:paraId="30377939"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Bashkëpunimi me homologët e BE-së do të ndihmojë në vendosjen e parimeve të qeverisjes së hapur si prioritet dhe në tejkalimin e rezistencës.</w:t>
            </w:r>
          </w:p>
        </w:tc>
      </w:tr>
      <w:tr w:rsidR="00B06BDA" w:rsidRPr="0007038A" w14:paraId="2F6C79F2"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34B0AC65" w14:textId="7A46CE25"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2</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Për planifikimin, proceset dhe sistemet</w:t>
            </w:r>
          </w:p>
        </w:tc>
        <w:tc>
          <w:tcPr>
            <w:tcW w:w="1428" w:type="pct"/>
            <w:tcBorders>
              <w:top w:val="single" w:sz="4" w:space="0" w:color="auto"/>
              <w:left w:val="single" w:sz="4" w:space="0" w:color="auto"/>
              <w:bottom w:val="single" w:sz="4" w:space="0" w:color="auto"/>
              <w:right w:val="single" w:sz="4" w:space="0" w:color="auto"/>
            </w:tcBorders>
          </w:tcPr>
          <w:p w14:paraId="78D278FA"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Bashkëpunimi i dobët midis Autoritetit të Mediave Audiovizive (AMA) dhe medias.</w:t>
            </w:r>
          </w:p>
        </w:tc>
        <w:tc>
          <w:tcPr>
            <w:tcW w:w="704" w:type="pct"/>
            <w:tcBorders>
              <w:top w:val="single" w:sz="4" w:space="0" w:color="auto"/>
              <w:left w:val="single" w:sz="4" w:space="0" w:color="auto"/>
              <w:bottom w:val="single" w:sz="4" w:space="0" w:color="auto"/>
              <w:right w:val="single" w:sz="4" w:space="0" w:color="auto"/>
            </w:tcBorders>
          </w:tcPr>
          <w:p w14:paraId="3D780A4D"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41301300"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t>Mesatar</w:t>
            </w:r>
          </w:p>
        </w:tc>
        <w:tc>
          <w:tcPr>
            <w:tcW w:w="1611" w:type="pct"/>
            <w:tcBorders>
              <w:top w:val="single" w:sz="4" w:space="0" w:color="auto"/>
              <w:left w:val="single" w:sz="4" w:space="0" w:color="auto"/>
              <w:bottom w:val="single" w:sz="4" w:space="0" w:color="auto"/>
              <w:right w:val="single" w:sz="4" w:space="0" w:color="auto"/>
            </w:tcBorders>
          </w:tcPr>
          <w:p w14:paraId="6C55B778"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AMA-s dhe medias do t’u ofrohen procedura bashkëpunimi dhe udhëzime për të marrë masa që të përmirësojnë etikën mediatike në praktikë, të zbatuara përmes rritjes së monitorimit.</w:t>
            </w:r>
          </w:p>
        </w:tc>
      </w:tr>
      <w:tr w:rsidR="00B06BDA" w:rsidRPr="0007038A" w14:paraId="2FBFEB61"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6F8EFC6C" w14:textId="12661FE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1</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Mjedisi i jashtëm</w:t>
            </w:r>
          </w:p>
        </w:tc>
        <w:tc>
          <w:tcPr>
            <w:tcW w:w="1428" w:type="pct"/>
            <w:tcBorders>
              <w:top w:val="single" w:sz="4" w:space="0" w:color="auto"/>
              <w:left w:val="single" w:sz="4" w:space="0" w:color="auto"/>
              <w:bottom w:val="single" w:sz="4" w:space="0" w:color="auto"/>
              <w:right w:val="single" w:sz="4" w:space="0" w:color="auto"/>
            </w:tcBorders>
          </w:tcPr>
          <w:p w14:paraId="5B76AE53"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 xml:space="preserve">Mungesa e kohës ose e interesit të nëpunësve civilë për të marrë pjesë në aktivitetet e propozuara </w:t>
            </w:r>
            <w:r w:rsidRPr="0007038A">
              <w:rPr>
                <w:rFonts w:ascii="Garamond" w:hAnsi="Garamond"/>
                <w:color w:val="000000" w:themeColor="text1"/>
                <w:sz w:val="18"/>
                <w:szCs w:val="18"/>
                <w:lang w:val="sq-AL"/>
              </w:rPr>
              <w:lastRenderedPageBreak/>
              <w:t>të trajnimit dhe ndërtimit të kapaciteteve.</w:t>
            </w:r>
          </w:p>
        </w:tc>
        <w:tc>
          <w:tcPr>
            <w:tcW w:w="704" w:type="pct"/>
            <w:tcBorders>
              <w:top w:val="single" w:sz="4" w:space="0" w:color="auto"/>
              <w:left w:val="single" w:sz="4" w:space="0" w:color="auto"/>
              <w:bottom w:val="single" w:sz="4" w:space="0" w:color="auto"/>
              <w:right w:val="single" w:sz="4" w:space="0" w:color="auto"/>
            </w:tcBorders>
          </w:tcPr>
          <w:p w14:paraId="730A7FFD"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lastRenderedPageBreak/>
              <w:t>I lartë</w:t>
            </w:r>
          </w:p>
        </w:tc>
        <w:tc>
          <w:tcPr>
            <w:tcW w:w="552" w:type="pct"/>
            <w:tcBorders>
              <w:top w:val="single" w:sz="4" w:space="0" w:color="auto"/>
              <w:left w:val="single" w:sz="4" w:space="0" w:color="auto"/>
              <w:bottom w:val="single" w:sz="4" w:space="0" w:color="auto"/>
              <w:right w:val="single" w:sz="4" w:space="0" w:color="auto"/>
            </w:tcBorders>
          </w:tcPr>
          <w:p w14:paraId="74DD04F1"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I ulët</w:t>
            </w:r>
          </w:p>
        </w:tc>
        <w:tc>
          <w:tcPr>
            <w:tcW w:w="1611" w:type="pct"/>
            <w:tcBorders>
              <w:top w:val="single" w:sz="4" w:space="0" w:color="auto"/>
              <w:left w:val="single" w:sz="4" w:space="0" w:color="auto"/>
              <w:bottom w:val="single" w:sz="4" w:space="0" w:color="auto"/>
              <w:right w:val="single" w:sz="4" w:space="0" w:color="auto"/>
            </w:tcBorders>
          </w:tcPr>
          <w:p w14:paraId="5E139174"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 xml:space="preserve">Aktivitetet e trajnimit dhe ndërtimit të kapaciteteve janë të akredituara, ofrohen profesionalisht, sigurojnë stimuj të përshtatshëm për nëpunësit </w:t>
            </w:r>
            <w:r w:rsidRPr="0007038A">
              <w:rPr>
                <w:rFonts w:ascii="Garamond" w:hAnsi="Garamond"/>
                <w:color w:val="000000" w:themeColor="text1"/>
                <w:sz w:val="18"/>
                <w:szCs w:val="18"/>
                <w:lang w:val="sq-AL"/>
              </w:rPr>
              <w:lastRenderedPageBreak/>
              <w:t>civilë dhe ofrohen nëpërmjet modaliteteve fleksibël të pjesëmarrjes.</w:t>
            </w:r>
          </w:p>
        </w:tc>
      </w:tr>
      <w:tr w:rsidR="00B06BDA" w:rsidRPr="0007038A" w14:paraId="37280DE7"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70B5B2B7" w14:textId="4B5061A1"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lastRenderedPageBreak/>
              <w:t>1</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Mjedisi i jashtëm</w:t>
            </w:r>
          </w:p>
        </w:tc>
        <w:tc>
          <w:tcPr>
            <w:tcW w:w="1428" w:type="pct"/>
            <w:tcBorders>
              <w:top w:val="single" w:sz="4" w:space="0" w:color="auto"/>
              <w:left w:val="single" w:sz="4" w:space="0" w:color="auto"/>
              <w:bottom w:val="single" w:sz="4" w:space="0" w:color="auto"/>
              <w:right w:val="single" w:sz="4" w:space="0" w:color="auto"/>
            </w:tcBorders>
          </w:tcPr>
          <w:p w14:paraId="05960574"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Bashkëpunimi midis qeverisjes qendrore dhe lokale vazhdon përmes funksionimit të qetë të Këshillit Konsultativ.</w:t>
            </w:r>
          </w:p>
        </w:tc>
        <w:tc>
          <w:tcPr>
            <w:tcW w:w="704" w:type="pct"/>
            <w:tcBorders>
              <w:top w:val="single" w:sz="4" w:space="0" w:color="auto"/>
              <w:left w:val="single" w:sz="4" w:space="0" w:color="auto"/>
              <w:bottom w:val="single" w:sz="4" w:space="0" w:color="auto"/>
              <w:right w:val="single" w:sz="4" w:space="0" w:color="auto"/>
            </w:tcBorders>
          </w:tcPr>
          <w:p w14:paraId="675BE710"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I ulët</w:t>
            </w:r>
          </w:p>
        </w:tc>
        <w:tc>
          <w:tcPr>
            <w:tcW w:w="552" w:type="pct"/>
            <w:tcBorders>
              <w:top w:val="single" w:sz="4" w:space="0" w:color="auto"/>
              <w:left w:val="single" w:sz="4" w:space="0" w:color="auto"/>
              <w:bottom w:val="single" w:sz="4" w:space="0" w:color="auto"/>
              <w:right w:val="single" w:sz="4" w:space="0" w:color="auto"/>
            </w:tcBorders>
          </w:tcPr>
          <w:p w14:paraId="4BBC4C4B"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I lartë</w:t>
            </w:r>
          </w:p>
        </w:tc>
        <w:tc>
          <w:tcPr>
            <w:tcW w:w="1611" w:type="pct"/>
            <w:tcBorders>
              <w:top w:val="single" w:sz="4" w:space="0" w:color="auto"/>
              <w:left w:val="single" w:sz="4" w:space="0" w:color="auto"/>
              <w:bottom w:val="single" w:sz="4" w:space="0" w:color="auto"/>
              <w:right w:val="single" w:sz="4" w:space="0" w:color="auto"/>
            </w:tcBorders>
          </w:tcPr>
          <w:p w14:paraId="11C7C047"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Ruajtja e kanaleve të qarta dhe të strukturuara të komunikimit.</w:t>
            </w:r>
          </w:p>
        </w:tc>
      </w:tr>
      <w:tr w:rsidR="00B06BDA" w:rsidRPr="0007038A" w14:paraId="4840F1AE"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16AA33E8" w14:textId="2A7E9B73"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2</w:t>
            </w:r>
            <w:r w:rsidR="0007038A" w:rsidRPr="0007038A">
              <w:rPr>
                <w:rFonts w:ascii="Garamond" w:hAnsi="Garamond"/>
                <w:color w:val="000000" w:themeColor="text1"/>
                <w:sz w:val="18"/>
                <w:szCs w:val="18"/>
                <w:lang w:val="sq-AL"/>
              </w:rPr>
              <w:t>.</w:t>
            </w:r>
            <w:r w:rsidR="0007038A" w:rsidRPr="0007038A">
              <w:rPr>
                <w:sz w:val="18"/>
                <w:szCs w:val="18"/>
              </w:rPr>
              <w:t xml:space="preserve"> </w:t>
            </w:r>
            <w:r w:rsidRPr="0007038A">
              <w:rPr>
                <w:rFonts w:ascii="Garamond" w:hAnsi="Garamond"/>
                <w:color w:val="000000" w:themeColor="text1"/>
                <w:sz w:val="18"/>
                <w:szCs w:val="18"/>
                <w:lang w:val="sq-AL"/>
              </w:rPr>
              <w:t>Për planifikimin, proceset dhe sistemet</w:t>
            </w:r>
          </w:p>
        </w:tc>
        <w:tc>
          <w:tcPr>
            <w:tcW w:w="1428" w:type="pct"/>
            <w:tcBorders>
              <w:top w:val="single" w:sz="4" w:space="0" w:color="auto"/>
              <w:left w:val="single" w:sz="4" w:space="0" w:color="auto"/>
              <w:bottom w:val="single" w:sz="4" w:space="0" w:color="auto"/>
              <w:right w:val="single" w:sz="4" w:space="0" w:color="auto"/>
            </w:tcBorders>
          </w:tcPr>
          <w:p w14:paraId="1A960EB8"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Vonesa në miratimin e legjislacionit të nevojshëm ose akteve nënligjore që ndikojnë në negociatat e anëtarësimit.</w:t>
            </w:r>
          </w:p>
        </w:tc>
        <w:tc>
          <w:tcPr>
            <w:tcW w:w="704" w:type="pct"/>
            <w:tcBorders>
              <w:top w:val="single" w:sz="4" w:space="0" w:color="auto"/>
              <w:left w:val="single" w:sz="4" w:space="0" w:color="auto"/>
              <w:bottom w:val="single" w:sz="4" w:space="0" w:color="auto"/>
              <w:right w:val="single" w:sz="4" w:space="0" w:color="auto"/>
            </w:tcBorders>
          </w:tcPr>
          <w:p w14:paraId="09BF6E9B"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1002E7E9"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t>Mesatar</w:t>
            </w:r>
          </w:p>
        </w:tc>
        <w:tc>
          <w:tcPr>
            <w:tcW w:w="1611" w:type="pct"/>
            <w:tcBorders>
              <w:top w:val="single" w:sz="4" w:space="0" w:color="auto"/>
              <w:left w:val="single" w:sz="4" w:space="0" w:color="auto"/>
              <w:bottom w:val="single" w:sz="4" w:space="0" w:color="auto"/>
              <w:right w:val="single" w:sz="4" w:space="0" w:color="auto"/>
            </w:tcBorders>
          </w:tcPr>
          <w:p w14:paraId="5A878094" w14:textId="77777777" w:rsidR="00B06BDA" w:rsidRPr="0007038A" w:rsidRDefault="00B06BDA" w:rsidP="00CC4E19">
            <w:pPr>
              <w:pStyle w:val="NormalWeb"/>
              <w:spacing w:before="0" w:beforeAutospacing="0" w:after="0" w:afterAutospacing="0"/>
              <w:rPr>
                <w:rFonts w:ascii="Garamond" w:hAnsi="Garamond"/>
                <w:color w:val="000000" w:themeColor="text1"/>
                <w:sz w:val="18"/>
                <w:szCs w:val="18"/>
                <w:lang w:val="sq-AL" w:eastAsia="en-US"/>
              </w:rPr>
            </w:pPr>
            <w:r w:rsidRPr="0007038A">
              <w:rPr>
                <w:rFonts w:ascii="Garamond" w:hAnsi="Garamond"/>
                <w:color w:val="000000" w:themeColor="text1"/>
                <w:sz w:val="18"/>
                <w:szCs w:val="18"/>
                <w:lang w:val="sq-AL" w:eastAsia="en-US"/>
              </w:rPr>
              <w:t>Garantimi i angazhimit dhe konsultimit të hershëm me të gjitha palët përkatëse për të ndërtuar konsensus dhe garantuar pjesëmarrjen e tyre aktive në procesin e hartimit të ligjit.</w:t>
            </w:r>
          </w:p>
          <w:p w14:paraId="1B5C8AAE" w14:textId="77777777" w:rsidR="00B06BDA" w:rsidRPr="0007038A" w:rsidRDefault="00B06BDA" w:rsidP="00CC4E19">
            <w:pPr>
              <w:pStyle w:val="NormalWeb"/>
              <w:spacing w:before="0" w:beforeAutospacing="0" w:after="0" w:afterAutospacing="0"/>
              <w:jc w:val="left"/>
              <w:rPr>
                <w:rFonts w:ascii="Garamond" w:hAnsi="Garamond"/>
                <w:color w:val="000000" w:themeColor="text1"/>
                <w:sz w:val="18"/>
                <w:szCs w:val="18"/>
                <w:lang w:val="sq-AL" w:eastAsia="en-US"/>
              </w:rPr>
            </w:pPr>
            <w:r w:rsidRPr="0007038A">
              <w:rPr>
                <w:rFonts w:ascii="Garamond" w:hAnsi="Garamond"/>
                <w:color w:val="000000" w:themeColor="text1"/>
                <w:sz w:val="18"/>
                <w:szCs w:val="18"/>
                <w:lang w:val="sq-AL" w:eastAsia="en-US"/>
              </w:rPr>
              <w:t>Ofrimi i mbështetjes teknike për të siguruar përparimin e qetë të të gjitha akteve ligjore të planifikuara, duke përfshirë konsultimet dhe vlerësimet e ndikimit rregullator.</w:t>
            </w:r>
          </w:p>
        </w:tc>
      </w:tr>
      <w:tr w:rsidR="00B06BDA" w:rsidRPr="0007038A" w14:paraId="4FAF242C"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7E846A16" w14:textId="66183DCD"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3</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Për njerëzit dhe organizatën</w:t>
            </w:r>
          </w:p>
        </w:tc>
        <w:tc>
          <w:tcPr>
            <w:tcW w:w="1428" w:type="pct"/>
            <w:tcBorders>
              <w:top w:val="single" w:sz="4" w:space="0" w:color="auto"/>
              <w:left w:val="single" w:sz="4" w:space="0" w:color="auto"/>
              <w:bottom w:val="single" w:sz="4" w:space="0" w:color="auto"/>
              <w:right w:val="single" w:sz="4" w:space="0" w:color="auto"/>
            </w:tcBorders>
          </w:tcPr>
          <w:p w14:paraId="38E6D1F1"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Rezistenca e stafit ndaj inovacionit të sjellë nga zhvillimi teknologjik.</w:t>
            </w:r>
          </w:p>
        </w:tc>
        <w:tc>
          <w:tcPr>
            <w:tcW w:w="704" w:type="pct"/>
            <w:tcBorders>
              <w:top w:val="single" w:sz="4" w:space="0" w:color="auto"/>
              <w:left w:val="single" w:sz="4" w:space="0" w:color="auto"/>
              <w:bottom w:val="single" w:sz="4" w:space="0" w:color="auto"/>
              <w:right w:val="single" w:sz="4" w:space="0" w:color="auto"/>
            </w:tcBorders>
          </w:tcPr>
          <w:p w14:paraId="0A10DF73"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4458EA89"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t>Mesatar</w:t>
            </w:r>
          </w:p>
        </w:tc>
        <w:tc>
          <w:tcPr>
            <w:tcW w:w="1611" w:type="pct"/>
            <w:tcBorders>
              <w:top w:val="single" w:sz="4" w:space="0" w:color="auto"/>
              <w:left w:val="single" w:sz="4" w:space="0" w:color="auto"/>
              <w:bottom w:val="single" w:sz="4" w:space="0" w:color="auto"/>
              <w:right w:val="single" w:sz="4" w:space="0" w:color="auto"/>
            </w:tcBorders>
          </w:tcPr>
          <w:p w14:paraId="222A669C" w14:textId="12CCDF29"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Ofrimi i mbështetjes teknike për të garantuar</w:t>
            </w:r>
            <w:r w:rsidR="00014EEB">
              <w:rPr>
                <w:rFonts w:ascii="Garamond" w:hAnsi="Garamond"/>
                <w:color w:val="000000" w:themeColor="text1"/>
                <w:sz w:val="18"/>
                <w:szCs w:val="18"/>
                <w:lang w:val="sq-AL"/>
              </w:rPr>
              <w:t xml:space="preserve"> </w:t>
            </w:r>
            <w:r w:rsidRPr="0007038A">
              <w:rPr>
                <w:rFonts w:ascii="Garamond" w:hAnsi="Garamond"/>
                <w:color w:val="000000" w:themeColor="text1"/>
                <w:sz w:val="18"/>
                <w:szCs w:val="18"/>
                <w:lang w:val="sq-AL"/>
              </w:rPr>
              <w:t>për</w:t>
            </w:r>
            <w:r w:rsidR="00014EEB">
              <w:rPr>
                <w:rFonts w:ascii="Garamond" w:hAnsi="Garamond"/>
                <w:color w:val="000000" w:themeColor="text1"/>
                <w:sz w:val="18"/>
                <w:szCs w:val="18"/>
                <w:lang w:val="sq-AL"/>
              </w:rPr>
              <w:t xml:space="preserve"> </w:t>
            </w:r>
            <w:r w:rsidRPr="0007038A">
              <w:rPr>
                <w:rFonts w:ascii="Garamond" w:hAnsi="Garamond"/>
                <w:color w:val="000000" w:themeColor="text1"/>
                <w:sz w:val="18"/>
                <w:szCs w:val="18"/>
                <w:lang w:val="sq-AL"/>
              </w:rPr>
              <w:t>parimin e qetë të të gjitha akteve ligjore të planifikuara, duke përfshirë konsultimet dhe vlerësimet e ndikimit rregullator.</w:t>
            </w:r>
          </w:p>
        </w:tc>
      </w:tr>
      <w:tr w:rsidR="00B06BDA" w:rsidRPr="0007038A" w14:paraId="40A041DE"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0D0B79FD"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3. Për njerëzit dhe organizatën</w:t>
            </w:r>
          </w:p>
        </w:tc>
        <w:tc>
          <w:tcPr>
            <w:tcW w:w="1428" w:type="pct"/>
            <w:tcBorders>
              <w:top w:val="single" w:sz="4" w:space="0" w:color="auto"/>
              <w:left w:val="single" w:sz="4" w:space="0" w:color="auto"/>
              <w:bottom w:val="single" w:sz="4" w:space="0" w:color="auto"/>
              <w:right w:val="single" w:sz="4" w:space="0" w:color="auto"/>
            </w:tcBorders>
          </w:tcPr>
          <w:p w14:paraId="0C5395C3"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Nivelet e pamjaftueshme të stafit, normat e larta të rotacionit dhe mungesa e kapaciteteve teknike midis institucioneve përfituesve përkatës shqiptarë, mund të pengojnë aftësinë e tyre për të përthithur në mënyrë efektive mbështetjen e ofruar nga ndërhyrjet, duke çuar në vonesa dhe joefikasitet.</w:t>
            </w:r>
          </w:p>
        </w:tc>
        <w:tc>
          <w:tcPr>
            <w:tcW w:w="704" w:type="pct"/>
            <w:tcBorders>
              <w:top w:val="single" w:sz="4" w:space="0" w:color="auto"/>
              <w:left w:val="single" w:sz="4" w:space="0" w:color="auto"/>
              <w:bottom w:val="single" w:sz="4" w:space="0" w:color="auto"/>
              <w:right w:val="single" w:sz="4" w:space="0" w:color="auto"/>
            </w:tcBorders>
          </w:tcPr>
          <w:p w14:paraId="7DA50BD0"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3FC330AF"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t>Mesatar</w:t>
            </w:r>
          </w:p>
        </w:tc>
        <w:tc>
          <w:tcPr>
            <w:tcW w:w="1611" w:type="pct"/>
            <w:tcBorders>
              <w:top w:val="single" w:sz="4" w:space="0" w:color="auto"/>
              <w:left w:val="single" w:sz="4" w:space="0" w:color="auto"/>
              <w:bottom w:val="single" w:sz="4" w:space="0" w:color="auto"/>
              <w:right w:val="single" w:sz="4" w:space="0" w:color="auto"/>
            </w:tcBorders>
          </w:tcPr>
          <w:p w14:paraId="3E2F88CF"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Qeveria e Shqipërisë është e angazhuar në zbatimin e masave të politikës për mbajtjen e stafit, të cilat janë në vijim. Ofrimi i asistencës teknike të synuar dhe programeve të ndërtimit të kapaciteteve për të përmirësuar aftësitë dhe njohuritë e stafit përkatës. Kryhen vlerësime të rregullta të niveleve të plotësimit me personel dhe kapaciteteve teknike të institucioneve përfituese shqiptarë përkatës për të identifikuar fushat ku nevojitet mbështetje shtesë.</w:t>
            </w:r>
          </w:p>
        </w:tc>
      </w:tr>
      <w:tr w:rsidR="00B06BDA" w:rsidRPr="0007038A" w14:paraId="68D20D61"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5F0BC53A" w14:textId="07DCA1DC"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3</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Për njerëzit dhe organizatën</w:t>
            </w:r>
          </w:p>
        </w:tc>
        <w:tc>
          <w:tcPr>
            <w:tcW w:w="1428" w:type="pct"/>
            <w:tcBorders>
              <w:top w:val="single" w:sz="4" w:space="0" w:color="auto"/>
              <w:left w:val="single" w:sz="4" w:space="0" w:color="auto"/>
              <w:bottom w:val="single" w:sz="4" w:space="0" w:color="auto"/>
              <w:right w:val="single" w:sz="4" w:space="0" w:color="auto"/>
            </w:tcBorders>
          </w:tcPr>
          <w:p w14:paraId="619A2B45" w14:textId="40FC3C04" w:rsidR="00B06BDA" w:rsidRPr="0007038A" w:rsidRDefault="00B06BDA" w:rsidP="00CC4E19">
            <w:pPr>
              <w:pStyle w:val="NormalWeb"/>
              <w:spacing w:before="0" w:beforeAutospacing="0" w:after="0" w:afterAutospacing="0"/>
              <w:jc w:val="left"/>
              <w:rPr>
                <w:rFonts w:ascii="Garamond" w:hAnsi="Garamond"/>
                <w:color w:val="000000" w:themeColor="text1"/>
                <w:sz w:val="18"/>
                <w:szCs w:val="18"/>
                <w:lang w:val="sq-AL" w:eastAsia="en-US"/>
              </w:rPr>
            </w:pPr>
            <w:r w:rsidRPr="0007038A">
              <w:rPr>
                <w:rFonts w:ascii="Garamond" w:hAnsi="Garamond"/>
                <w:color w:val="000000" w:themeColor="text1"/>
                <w:sz w:val="18"/>
                <w:szCs w:val="18"/>
                <w:lang w:val="sq-AL" w:eastAsia="en-US"/>
              </w:rPr>
              <w:t xml:space="preserve">Përgjegjësitë institucionale për kërkimin dhe shfrytëzimin e Materialeve Kritike/Strategjike të Papërpunuara (CRM) nuk janë të qarta. Bashkëpunimi midis institucioneve shqiptare në zbatimin e </w:t>
            </w:r>
            <w:r w:rsidR="00C347BB" w:rsidRPr="0007038A">
              <w:rPr>
                <w:rFonts w:ascii="Garamond" w:hAnsi="Garamond"/>
                <w:color w:val="000000" w:themeColor="text1"/>
                <w:sz w:val="18"/>
                <w:szCs w:val="18"/>
                <w:lang w:val="sq-AL" w:eastAsia="en-US"/>
              </w:rPr>
              <w:t xml:space="preserve">veprimit </w:t>
            </w:r>
            <w:r w:rsidRPr="0007038A">
              <w:rPr>
                <w:rFonts w:ascii="Garamond" w:hAnsi="Garamond"/>
                <w:color w:val="000000" w:themeColor="text1"/>
                <w:sz w:val="18"/>
                <w:szCs w:val="18"/>
                <w:lang w:val="sq-AL" w:eastAsia="en-US"/>
              </w:rPr>
              <w:t>është i dobët, duke çuar në vështirësi dhe vonesa.</w:t>
            </w:r>
          </w:p>
        </w:tc>
        <w:tc>
          <w:tcPr>
            <w:tcW w:w="704" w:type="pct"/>
            <w:tcBorders>
              <w:top w:val="single" w:sz="4" w:space="0" w:color="auto"/>
              <w:left w:val="single" w:sz="4" w:space="0" w:color="auto"/>
              <w:bottom w:val="single" w:sz="4" w:space="0" w:color="auto"/>
              <w:right w:val="single" w:sz="4" w:space="0" w:color="auto"/>
            </w:tcBorders>
          </w:tcPr>
          <w:p w14:paraId="727AD0CD"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6CA94766"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I lartë</w:t>
            </w:r>
          </w:p>
        </w:tc>
        <w:tc>
          <w:tcPr>
            <w:tcW w:w="1611" w:type="pct"/>
            <w:tcBorders>
              <w:top w:val="single" w:sz="4" w:space="0" w:color="auto"/>
              <w:left w:val="single" w:sz="4" w:space="0" w:color="auto"/>
              <w:bottom w:val="single" w:sz="4" w:space="0" w:color="auto"/>
              <w:right w:val="single" w:sz="4" w:space="0" w:color="auto"/>
            </w:tcBorders>
          </w:tcPr>
          <w:p w14:paraId="352508DE"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Veprimi do të ndihmojë në hartimin e një udhërrëfyesi për përgatitjen e Materialeve Kritike/Strategjike të Papërpunuara (CRM/SRM), duke qartësuar rolet dhe përgjegjësitë e organeve publike. Veprimi do t’i kushtojë vëmendje të veçantë nxitjes së bashkëpunimit dhe koordinimit midis institucioneve aktive në këtë sektor.</w:t>
            </w:r>
          </w:p>
        </w:tc>
      </w:tr>
      <w:tr w:rsidR="00B06BDA" w:rsidRPr="0007038A" w14:paraId="440148AA" w14:textId="77777777" w:rsidTr="0007038A">
        <w:trPr>
          <w:trHeight w:val="20"/>
        </w:trPr>
        <w:tc>
          <w:tcPr>
            <w:tcW w:w="705" w:type="pct"/>
            <w:tcBorders>
              <w:top w:val="single" w:sz="4" w:space="0" w:color="auto"/>
              <w:left w:val="single" w:sz="4" w:space="0" w:color="auto"/>
              <w:bottom w:val="single" w:sz="4" w:space="0" w:color="auto"/>
              <w:right w:val="single" w:sz="4" w:space="0" w:color="auto"/>
            </w:tcBorders>
          </w:tcPr>
          <w:p w14:paraId="5D582F2F" w14:textId="719F720A"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5</w:t>
            </w:r>
            <w:r w:rsidR="0007038A" w:rsidRPr="0007038A">
              <w:rPr>
                <w:rFonts w:ascii="Garamond" w:hAnsi="Garamond"/>
                <w:color w:val="000000" w:themeColor="text1"/>
                <w:sz w:val="18"/>
                <w:szCs w:val="18"/>
                <w:lang w:val="sq-AL"/>
              </w:rPr>
              <w:t>.</w:t>
            </w:r>
            <w:r w:rsidRPr="0007038A">
              <w:rPr>
                <w:rFonts w:ascii="Garamond" w:hAnsi="Garamond"/>
                <w:color w:val="000000" w:themeColor="text1"/>
                <w:sz w:val="18"/>
                <w:szCs w:val="18"/>
                <w:lang w:val="sq-AL"/>
              </w:rPr>
              <w:t xml:space="preserve"> Për komunikim dhe informacion</w:t>
            </w:r>
          </w:p>
        </w:tc>
        <w:tc>
          <w:tcPr>
            <w:tcW w:w="1428" w:type="pct"/>
            <w:tcBorders>
              <w:top w:val="single" w:sz="4" w:space="0" w:color="auto"/>
              <w:left w:val="single" w:sz="4" w:space="0" w:color="auto"/>
              <w:bottom w:val="single" w:sz="4" w:space="0" w:color="auto"/>
              <w:right w:val="single" w:sz="4" w:space="0" w:color="auto"/>
            </w:tcBorders>
          </w:tcPr>
          <w:p w14:paraId="1B16FBF6"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Interesi i pamjaftueshëm nga aktorët e sektorit privat, industria evropiane dhe aktorë të tjerë për të investuar në sektorin e lëndëve të para kritike në Shqipëri.</w:t>
            </w:r>
          </w:p>
        </w:tc>
        <w:tc>
          <w:tcPr>
            <w:tcW w:w="704" w:type="pct"/>
            <w:tcBorders>
              <w:top w:val="single" w:sz="4" w:space="0" w:color="auto"/>
              <w:left w:val="single" w:sz="4" w:space="0" w:color="auto"/>
              <w:bottom w:val="single" w:sz="4" w:space="0" w:color="auto"/>
              <w:right w:val="single" w:sz="4" w:space="0" w:color="auto"/>
            </w:tcBorders>
          </w:tcPr>
          <w:p w14:paraId="5BCCD6B2" w14:textId="77777777" w:rsidR="00B06BDA" w:rsidRPr="0007038A" w:rsidRDefault="00B06BDA" w:rsidP="00CC4E19">
            <w:pPr>
              <w:jc w:val="center"/>
              <w:rPr>
                <w:rFonts w:ascii="Garamond" w:hAnsi="Garamond"/>
                <w:bCs/>
                <w:color w:val="000000" w:themeColor="text1"/>
                <w:sz w:val="18"/>
                <w:szCs w:val="18"/>
                <w:lang w:val="sq-AL"/>
              </w:rPr>
            </w:pPr>
            <w:r w:rsidRPr="0007038A">
              <w:rPr>
                <w:rFonts w:ascii="Garamond" w:hAnsi="Garamond"/>
                <w:bCs/>
                <w:color w:val="000000" w:themeColor="text1"/>
                <w:sz w:val="18"/>
                <w:szCs w:val="18"/>
                <w:lang w:val="sq-AL"/>
              </w:rPr>
              <w:t>Mesatar</w:t>
            </w:r>
          </w:p>
        </w:tc>
        <w:tc>
          <w:tcPr>
            <w:tcW w:w="552" w:type="pct"/>
            <w:tcBorders>
              <w:top w:val="single" w:sz="4" w:space="0" w:color="auto"/>
              <w:left w:val="single" w:sz="4" w:space="0" w:color="auto"/>
              <w:bottom w:val="single" w:sz="4" w:space="0" w:color="auto"/>
              <w:right w:val="single" w:sz="4" w:space="0" w:color="auto"/>
            </w:tcBorders>
          </w:tcPr>
          <w:p w14:paraId="5C554BB2" w14:textId="77777777" w:rsidR="00B06BDA" w:rsidRPr="0007038A" w:rsidRDefault="00B06BDA" w:rsidP="00CC4E19">
            <w:pPr>
              <w:jc w:val="center"/>
              <w:rPr>
                <w:rFonts w:ascii="Garamond" w:hAnsi="Garamond"/>
                <w:color w:val="000000" w:themeColor="text1"/>
                <w:sz w:val="18"/>
                <w:szCs w:val="18"/>
                <w:lang w:val="sq-AL"/>
              </w:rPr>
            </w:pPr>
            <w:r w:rsidRPr="0007038A">
              <w:rPr>
                <w:rFonts w:ascii="Garamond" w:hAnsi="Garamond"/>
                <w:bCs/>
                <w:color w:val="000000" w:themeColor="text1"/>
                <w:sz w:val="18"/>
                <w:szCs w:val="18"/>
                <w:lang w:val="sq-AL"/>
              </w:rPr>
              <w:t>Mesatar</w:t>
            </w:r>
          </w:p>
        </w:tc>
        <w:tc>
          <w:tcPr>
            <w:tcW w:w="1611" w:type="pct"/>
            <w:tcBorders>
              <w:top w:val="single" w:sz="4" w:space="0" w:color="auto"/>
              <w:left w:val="single" w:sz="4" w:space="0" w:color="auto"/>
              <w:bottom w:val="single" w:sz="4" w:space="0" w:color="auto"/>
              <w:right w:val="single" w:sz="4" w:space="0" w:color="auto"/>
            </w:tcBorders>
          </w:tcPr>
          <w:p w14:paraId="4F45CE1F" w14:textId="77777777" w:rsidR="00B06BDA" w:rsidRPr="0007038A" w:rsidRDefault="00B06BDA" w:rsidP="00CC4E19">
            <w:pPr>
              <w:rPr>
                <w:rFonts w:ascii="Garamond" w:hAnsi="Garamond"/>
                <w:color w:val="000000" w:themeColor="text1"/>
                <w:sz w:val="18"/>
                <w:szCs w:val="18"/>
                <w:lang w:val="sq-AL"/>
              </w:rPr>
            </w:pPr>
            <w:r w:rsidRPr="0007038A">
              <w:rPr>
                <w:rFonts w:ascii="Garamond" w:hAnsi="Garamond"/>
                <w:color w:val="000000" w:themeColor="text1"/>
                <w:sz w:val="18"/>
                <w:szCs w:val="18"/>
                <w:lang w:val="sq-AL"/>
              </w:rPr>
              <w:t>Veprimi do të mbështesë krijimin e një qendre të hapur kërkimore për të përhapur informacion mbi mundësitë e rëndësishme për zhvillimin e biznesit dhe për të ofruar mbështetje për start-up-et e reja ose ekzistuese në sektorin e Lëndëve të Para Kritike (CRM). Rrjeti i krijuar i investimeve do të mbështesë përgatitjen e projekteve industriale të konsoliduara dhe do të krijojë mundësi për zhvillim biznesi.</w:t>
            </w:r>
          </w:p>
        </w:tc>
      </w:tr>
    </w:tbl>
    <w:p w14:paraId="21CC59D3" w14:textId="77777777" w:rsidR="00014EEB" w:rsidRDefault="00014EEB" w:rsidP="00CC4E19">
      <w:pPr>
        <w:pStyle w:val="ListParagraph"/>
        <w:autoSpaceDE/>
        <w:autoSpaceDN/>
        <w:adjustRightInd/>
        <w:spacing w:after="0" w:line="240" w:lineRule="auto"/>
        <w:ind w:left="0" w:firstLine="284"/>
        <w:jc w:val="both"/>
        <w:rPr>
          <w:rFonts w:ascii="Garamond" w:hAnsi="Garamond" w:cs="Times New Roman"/>
          <w:b/>
          <w:bCs/>
          <w:color w:val="000000" w:themeColor="text1"/>
        </w:rPr>
      </w:pPr>
    </w:p>
    <w:p w14:paraId="004D6D97" w14:textId="5899DD51" w:rsidR="00B06BDA" w:rsidRPr="0036019C" w:rsidRDefault="00B06BDA" w:rsidP="00CC4E19">
      <w:pPr>
        <w:pStyle w:val="ListParagraph"/>
        <w:autoSpaceDE/>
        <w:autoSpaceDN/>
        <w:adjustRightInd/>
        <w:spacing w:after="0" w:line="240" w:lineRule="auto"/>
        <w:ind w:left="0" w:firstLine="284"/>
        <w:jc w:val="both"/>
        <w:rPr>
          <w:rFonts w:ascii="Garamond" w:hAnsi="Garamond" w:cs="Times New Roman"/>
          <w:b/>
          <w:bCs/>
          <w:color w:val="000000" w:themeColor="text1"/>
        </w:rPr>
      </w:pPr>
      <w:r w:rsidRPr="0036019C">
        <w:rPr>
          <w:rFonts w:ascii="Garamond" w:hAnsi="Garamond" w:cs="Times New Roman"/>
          <w:b/>
          <w:bCs/>
          <w:color w:val="000000" w:themeColor="text1"/>
        </w:rPr>
        <w:t>4. RREGULLIMET E ZBATIMIT</w:t>
      </w:r>
    </w:p>
    <w:p w14:paraId="3571E670" w14:textId="77777777" w:rsidR="00B06BDA" w:rsidRPr="0036019C" w:rsidRDefault="00B06BDA" w:rsidP="00CC4E19">
      <w:pPr>
        <w:pStyle w:val="TEKSTIIIII"/>
        <w:rPr>
          <w:b/>
          <w:bCs/>
        </w:rPr>
      </w:pPr>
      <w:r w:rsidRPr="0036019C">
        <w:rPr>
          <w:b/>
        </w:rPr>
        <w:t>4.1. Marrëveshjet e financimit</w:t>
      </w:r>
    </w:p>
    <w:p w14:paraId="6DA23373" w14:textId="77777777" w:rsidR="00B06BDA" w:rsidRPr="0036019C" w:rsidRDefault="00B06BDA" w:rsidP="00CC4E19">
      <w:pPr>
        <w:ind w:firstLine="284"/>
        <w:rPr>
          <w:rFonts w:ascii="Garamond" w:hAnsi="Garamond"/>
          <w:color w:val="000000" w:themeColor="text1"/>
          <w:lang w:val="sq-AL"/>
        </w:rPr>
      </w:pPr>
      <w:r w:rsidRPr="0036019C">
        <w:rPr>
          <w:rFonts w:ascii="Garamond" w:hAnsi="Garamond"/>
          <w:color w:val="000000" w:themeColor="text1"/>
          <w:lang w:val="sq-AL"/>
        </w:rPr>
        <w:t>Për të zbatuar këtë veprim, do të nënshkruhet një marrëveshje financimi me Republikën e Shqipërisë.</w:t>
      </w:r>
    </w:p>
    <w:p w14:paraId="029CA610" w14:textId="77777777" w:rsidR="00B06BDA" w:rsidRPr="0036019C" w:rsidRDefault="00B06BDA" w:rsidP="00CC4E19">
      <w:pPr>
        <w:pStyle w:val="TEKSTIIIII"/>
        <w:rPr>
          <w:b/>
          <w:bCs/>
        </w:rPr>
      </w:pPr>
      <w:r w:rsidRPr="0036019C">
        <w:rPr>
          <w:b/>
        </w:rPr>
        <w:t>4.2. Periudha treguese e zbatimit</w:t>
      </w:r>
    </w:p>
    <w:p w14:paraId="4E9B5AD9" w14:textId="77777777" w:rsidR="00B06BDA" w:rsidRPr="0036019C" w:rsidRDefault="00B06BDA" w:rsidP="00CC4E19">
      <w:pPr>
        <w:ind w:firstLine="284"/>
        <w:jc w:val="both"/>
        <w:rPr>
          <w:rFonts w:ascii="Garamond" w:hAnsi="Garamond"/>
          <w:color w:val="000000" w:themeColor="text1"/>
          <w:lang w:val="sq-AL"/>
        </w:rPr>
      </w:pPr>
      <w:r w:rsidRPr="0036019C">
        <w:rPr>
          <w:rFonts w:ascii="Garamond" w:hAnsi="Garamond"/>
          <w:color w:val="000000" w:themeColor="text1"/>
          <w:lang w:val="sq-AL"/>
        </w:rPr>
        <w:t xml:space="preserve">Periudha treguese e zbatimit operacional të këtij veprimi, gjatë së cilës do të kryhen aktivitetet dhe do të zbatohen kontratat dhe marrëveshjet përkatëse, është deri në 72 muaj nga data e </w:t>
      </w:r>
      <w:r w:rsidRPr="0036019C">
        <w:rPr>
          <w:rFonts w:ascii="Garamond" w:hAnsi="Garamond"/>
          <w:color w:val="000000" w:themeColor="text1"/>
          <w:lang w:val="sq-AL"/>
        </w:rPr>
        <w:lastRenderedPageBreak/>
        <w:t>nënshkrimit të marrëveshjes së financimit (dhe letra njoftuese ose shkëmbimi i letrave për këstet e mëvonshme vjetore buxhetore). Zgjatjet e periudhës së zbatimit mund të bien dakord nga zyrtari përgjegjës i autorizuar i Komisionit në raste të arsyeshme dhe të justifikuara.</w:t>
      </w:r>
    </w:p>
    <w:p w14:paraId="38F92907" w14:textId="77777777" w:rsidR="00B06BDA" w:rsidRPr="0036019C" w:rsidRDefault="00B06BDA" w:rsidP="00CC4E19">
      <w:pPr>
        <w:pStyle w:val="TEKSTIIIII"/>
        <w:rPr>
          <w:b/>
          <w:bCs/>
        </w:rPr>
      </w:pPr>
      <w:r w:rsidRPr="0036019C">
        <w:rPr>
          <w:b/>
        </w:rPr>
        <w:t>4.3. Modalitetet e zbatimit</w:t>
      </w:r>
    </w:p>
    <w:p w14:paraId="49A7B521" w14:textId="77777777" w:rsidR="00B06BDA" w:rsidRPr="0036019C" w:rsidRDefault="00B06BDA" w:rsidP="00CC4E19">
      <w:pPr>
        <w:ind w:firstLine="284"/>
        <w:jc w:val="both"/>
        <w:rPr>
          <w:rFonts w:ascii="Garamond" w:hAnsi="Garamond"/>
          <w:b/>
          <w:bCs/>
          <w:color w:val="000000" w:themeColor="text1"/>
          <w:lang w:val="sq-AL"/>
        </w:rPr>
      </w:pPr>
      <w:r w:rsidRPr="0036019C">
        <w:rPr>
          <w:rFonts w:ascii="Garamond" w:hAnsi="Garamond"/>
          <w:color w:val="000000" w:themeColor="text1"/>
          <w:lang w:val="sq-AL"/>
        </w:rPr>
        <w:t>Komisioni do të garantojë që të respektohen rregullat dhe procedurat e duhura të BE-së për ofrimin e financimit për palët e treta, duke përfshirë procedurat e shqyrtimit, kur është e nevojshme, dhe përputhshmërinë e veprimit me masat kufizuese të BE-së</w:t>
      </w:r>
      <w:r w:rsidRPr="0036019C">
        <w:rPr>
          <w:rFonts w:ascii="Garamond" w:hAnsi="Garamond"/>
          <w:b/>
          <w:bCs/>
          <w:color w:val="000000" w:themeColor="text1"/>
          <w:vertAlign w:val="superscript"/>
          <w:lang w:val="sq-AL"/>
        </w:rPr>
        <w:footnoteReference w:id="30"/>
      </w:r>
      <w:r w:rsidRPr="0036019C">
        <w:rPr>
          <w:rFonts w:ascii="Garamond" w:hAnsi="Garamond"/>
          <w:b/>
          <w:bCs/>
          <w:color w:val="000000" w:themeColor="text1"/>
          <w:lang w:val="sq-AL"/>
        </w:rPr>
        <w:t>.</w:t>
      </w:r>
    </w:p>
    <w:p w14:paraId="41DC86AF" w14:textId="63C2620C" w:rsidR="00B06BDA" w:rsidRPr="0036019C" w:rsidRDefault="00CC4E19" w:rsidP="00CC4E19">
      <w:pPr>
        <w:pStyle w:val="ListParagraph"/>
        <w:autoSpaceDE/>
        <w:autoSpaceDN/>
        <w:adjustRightInd/>
        <w:spacing w:after="0" w:line="240" w:lineRule="auto"/>
        <w:ind w:left="284"/>
        <w:contextualSpacing/>
        <w:jc w:val="both"/>
        <w:rPr>
          <w:rFonts w:ascii="Garamond" w:hAnsi="Garamond" w:cs="Times New Roman"/>
          <w:b/>
          <w:bCs/>
          <w:color w:val="000000" w:themeColor="text1"/>
        </w:rPr>
      </w:pPr>
      <w:r w:rsidRPr="0036019C">
        <w:rPr>
          <w:rFonts w:ascii="Garamond" w:hAnsi="Garamond" w:cs="Times New Roman"/>
          <w:b/>
          <w:bCs/>
          <w:color w:val="000000" w:themeColor="text1"/>
        </w:rPr>
        <w:t xml:space="preserve">4.3.1 </w:t>
      </w:r>
      <w:r w:rsidR="00B06BDA" w:rsidRPr="0036019C">
        <w:rPr>
          <w:rFonts w:ascii="Garamond" w:hAnsi="Garamond" w:cs="Times New Roman"/>
          <w:b/>
          <w:bCs/>
          <w:color w:val="000000" w:themeColor="text1"/>
        </w:rPr>
        <w:t>Menaxhimi i drejtpërdrejtë (grante)</w:t>
      </w:r>
    </w:p>
    <w:p w14:paraId="4395B84B" w14:textId="77777777" w:rsidR="00B06BDA" w:rsidRPr="0036019C" w:rsidRDefault="00B06BDA" w:rsidP="00CC4E19">
      <w:pPr>
        <w:pStyle w:val="ListParagraph"/>
        <w:spacing w:after="0" w:line="240" w:lineRule="auto"/>
        <w:ind w:left="0" w:firstLine="284"/>
        <w:jc w:val="both"/>
        <w:rPr>
          <w:rFonts w:ascii="Garamond" w:hAnsi="Garamond" w:cs="Times New Roman"/>
          <w:b/>
          <w:color w:val="000000" w:themeColor="text1"/>
        </w:rPr>
      </w:pPr>
      <w:r w:rsidRPr="0036019C">
        <w:rPr>
          <w:rFonts w:ascii="Garamond" w:eastAsia="Calibri" w:hAnsi="Garamond" w:cs="Times New Roman"/>
          <w:b/>
          <w:color w:val="000000" w:themeColor="text1"/>
        </w:rPr>
        <w:t xml:space="preserve">4.3.1.1. </w:t>
      </w:r>
      <w:r w:rsidRPr="0036019C">
        <w:rPr>
          <w:rFonts w:ascii="Garamond" w:hAnsi="Garamond" w:cs="Times New Roman"/>
          <w:b/>
          <w:bCs/>
          <w:color w:val="000000" w:themeColor="text1"/>
        </w:rPr>
        <w:t>Grantet për Bashkëpunim Institucional (Grantet e Binjakëzimit)</w:t>
      </w:r>
    </w:p>
    <w:p w14:paraId="61CBEB1D" w14:textId="77777777" w:rsidR="00B06BDA" w:rsidRPr="0036019C" w:rsidRDefault="00B06BDA" w:rsidP="00CC4E19">
      <w:pPr>
        <w:ind w:firstLine="284"/>
        <w:jc w:val="both"/>
        <w:rPr>
          <w:rFonts w:ascii="Garamond" w:hAnsi="Garamond"/>
          <w:color w:val="000000" w:themeColor="text1"/>
          <w:lang w:val="sq-AL"/>
        </w:rPr>
      </w:pPr>
      <w:r w:rsidRPr="0036019C">
        <w:rPr>
          <w:rFonts w:ascii="Garamond" w:hAnsi="Garamond"/>
          <w:b/>
          <w:color w:val="000000" w:themeColor="text1"/>
          <w:lang w:val="sq-AL"/>
        </w:rPr>
        <w:t xml:space="preserve">a) </w:t>
      </w:r>
      <w:r w:rsidRPr="0036019C">
        <w:rPr>
          <w:rFonts w:ascii="Garamond" w:hAnsi="Garamond"/>
          <w:b/>
          <w:bCs/>
          <w:color w:val="000000" w:themeColor="text1"/>
          <w:lang w:val="sq-AL"/>
        </w:rPr>
        <w:t>Qëllimi i grantit/granteve</w:t>
      </w:r>
    </w:p>
    <w:p w14:paraId="67079784" w14:textId="77777777" w:rsidR="00B06BDA" w:rsidRPr="0036019C" w:rsidRDefault="00B06BDA" w:rsidP="00CC4E19">
      <w:pPr>
        <w:ind w:firstLine="284"/>
        <w:jc w:val="both"/>
        <w:rPr>
          <w:rFonts w:ascii="Garamond" w:hAnsi="Garamond"/>
          <w:color w:val="000000" w:themeColor="text1"/>
          <w:lang w:val="sq-AL"/>
        </w:rPr>
      </w:pPr>
      <w:r w:rsidRPr="0036019C">
        <w:rPr>
          <w:rFonts w:ascii="Garamond" w:hAnsi="Garamond"/>
          <w:color w:val="000000" w:themeColor="text1"/>
          <w:lang w:val="sq-AL"/>
        </w:rPr>
        <w:t>Pjesë e Rezultatit 1 do të zbatohet përmes një Granti për Bashkëpunim Institucional (Granti Binjakëzimi).</w:t>
      </w:r>
    </w:p>
    <w:p w14:paraId="294C96F2" w14:textId="77777777" w:rsidR="00B06BDA" w:rsidRPr="0036019C" w:rsidRDefault="00B06BDA" w:rsidP="00CC4E19">
      <w:pPr>
        <w:ind w:firstLine="284"/>
        <w:jc w:val="both"/>
        <w:rPr>
          <w:rFonts w:ascii="Garamond" w:hAnsi="Garamond"/>
          <w:b/>
          <w:color w:val="000000" w:themeColor="text1"/>
          <w:lang w:val="sq-AL"/>
        </w:rPr>
      </w:pPr>
      <w:r w:rsidRPr="0036019C">
        <w:rPr>
          <w:rFonts w:ascii="Garamond" w:hAnsi="Garamond"/>
          <w:b/>
          <w:color w:val="000000" w:themeColor="text1"/>
          <w:lang w:val="sq-AL"/>
        </w:rPr>
        <w:t xml:space="preserve">b) </w:t>
      </w:r>
      <w:r w:rsidRPr="0036019C">
        <w:rPr>
          <w:rFonts w:ascii="Garamond" w:hAnsi="Garamond"/>
          <w:b/>
          <w:bCs/>
          <w:color w:val="000000" w:themeColor="text1"/>
          <w:lang w:val="sq-AL"/>
        </w:rPr>
        <w:t>Lloji i aplikantëve të synuar</w:t>
      </w:r>
    </w:p>
    <w:p w14:paraId="6B970754" w14:textId="77777777" w:rsidR="00CC4E19" w:rsidRPr="0036019C" w:rsidRDefault="00B06BDA" w:rsidP="00CC4E19">
      <w:pPr>
        <w:pStyle w:val="NormalWeb"/>
        <w:spacing w:before="0" w:beforeAutospacing="0" w:after="0" w:afterAutospacing="0"/>
        <w:ind w:firstLine="284"/>
        <w:rPr>
          <w:rFonts w:ascii="Garamond" w:hAnsi="Garamond"/>
          <w:color w:val="000000" w:themeColor="text1"/>
          <w:lang w:val="sq-AL" w:eastAsia="en-US"/>
        </w:rPr>
      </w:pPr>
      <w:r w:rsidRPr="0036019C">
        <w:rPr>
          <w:rFonts w:ascii="Garamond" w:hAnsi="Garamond"/>
          <w:color w:val="000000" w:themeColor="text1"/>
          <w:lang w:val="sq-AL" w:eastAsia="en-US"/>
        </w:rPr>
        <w:t>Aplikantët duhet të jenë administrata të Shteteve Anëtare të BE-së ose organe të mandatuara prej tyre.</w:t>
      </w:r>
    </w:p>
    <w:p w14:paraId="2377C31B" w14:textId="452A971E" w:rsidR="00B06BDA" w:rsidRPr="0036019C" w:rsidRDefault="00B06BDA" w:rsidP="00CC4E19">
      <w:pPr>
        <w:pStyle w:val="NormalWeb"/>
        <w:numPr>
          <w:ilvl w:val="2"/>
          <w:numId w:val="20"/>
        </w:numPr>
        <w:spacing w:before="0" w:beforeAutospacing="0" w:after="0" w:afterAutospacing="0"/>
        <w:rPr>
          <w:rFonts w:ascii="Garamond" w:hAnsi="Garamond"/>
          <w:color w:val="000000" w:themeColor="text1"/>
          <w:lang w:val="sq-AL" w:eastAsia="en-US"/>
        </w:rPr>
      </w:pPr>
      <w:r w:rsidRPr="0036019C">
        <w:rPr>
          <w:rFonts w:ascii="Garamond" w:hAnsi="Garamond"/>
          <w:b/>
          <w:color w:val="000000" w:themeColor="text1"/>
          <w:lang w:val="sq-AL"/>
        </w:rPr>
        <w:t>Menaxhimi i Drejtpërdrejtë (Prokurim)</w:t>
      </w:r>
    </w:p>
    <w:p w14:paraId="32C9E04F" w14:textId="560A337C" w:rsidR="00CC4E19" w:rsidRPr="0036019C" w:rsidRDefault="00B06BDA" w:rsidP="00CC4E19">
      <w:pPr>
        <w:ind w:firstLine="284"/>
        <w:jc w:val="both"/>
        <w:rPr>
          <w:rFonts w:ascii="Garamond" w:hAnsi="Garamond"/>
          <w:color w:val="000000" w:themeColor="text1"/>
          <w:lang w:val="sq-AL"/>
        </w:rPr>
      </w:pPr>
      <w:r w:rsidRPr="0036019C">
        <w:rPr>
          <w:rFonts w:ascii="Garamond" w:hAnsi="Garamond"/>
          <w:color w:val="000000" w:themeColor="text1"/>
          <w:lang w:val="sq-AL"/>
        </w:rPr>
        <w:t xml:space="preserve">Prokurimi, i kombinuar me modalitete të tjera zbatimi, do të kontribuojë </w:t>
      </w:r>
      <w:r w:rsidR="00C347BB">
        <w:rPr>
          <w:rFonts w:ascii="Garamond" w:hAnsi="Garamond"/>
          <w:color w:val="000000" w:themeColor="text1"/>
          <w:lang w:val="sq-AL"/>
        </w:rPr>
        <w:t xml:space="preserve">në pjesën </w:t>
      </w:r>
      <w:r w:rsidRPr="0036019C">
        <w:rPr>
          <w:rFonts w:ascii="Garamond" w:hAnsi="Garamond"/>
          <w:color w:val="000000" w:themeColor="text1"/>
          <w:lang w:val="sq-AL"/>
        </w:rPr>
        <w:t>e Rezultateve 1 dhe 2.</w:t>
      </w:r>
    </w:p>
    <w:p w14:paraId="2E2738F3" w14:textId="711E4F01" w:rsidR="00B06BDA" w:rsidRPr="0036019C" w:rsidRDefault="00B06BDA" w:rsidP="00CC4E19">
      <w:pPr>
        <w:ind w:firstLine="284"/>
        <w:jc w:val="both"/>
        <w:rPr>
          <w:rFonts w:ascii="Garamond" w:hAnsi="Garamond"/>
          <w:color w:val="000000" w:themeColor="text1"/>
          <w:lang w:val="sq-AL"/>
        </w:rPr>
      </w:pPr>
      <w:r w:rsidRPr="0036019C">
        <w:rPr>
          <w:rFonts w:ascii="Garamond" w:hAnsi="Garamond"/>
          <w:b/>
          <w:bCs/>
          <w:color w:val="000000" w:themeColor="text1"/>
          <w:lang w:val="sq-AL"/>
        </w:rPr>
        <w:t>4.3.3 Menaxhimi i tërthortë me një entitet të vlerësuar sipas kolonës</w:t>
      </w:r>
      <w:r w:rsidRPr="0036019C">
        <w:rPr>
          <w:rStyle w:val="FootnoteReference"/>
          <w:rFonts w:ascii="Garamond" w:hAnsi="Garamond"/>
          <w:b/>
          <w:bCs/>
          <w:color w:val="000000" w:themeColor="text1"/>
          <w:lang w:val="sq-AL"/>
        </w:rPr>
        <w:t xml:space="preserve"> </w:t>
      </w:r>
      <w:r w:rsidRPr="0036019C">
        <w:rPr>
          <w:rStyle w:val="FootnoteReference"/>
          <w:rFonts w:ascii="Garamond" w:hAnsi="Garamond"/>
          <w:b/>
          <w:bCs/>
          <w:color w:val="000000" w:themeColor="text1"/>
          <w:lang w:val="sq-AL"/>
        </w:rPr>
        <w:footnoteReference w:id="31"/>
      </w:r>
    </w:p>
    <w:p w14:paraId="31C09B12"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Një pjesë e këtij veprimi, lidhur me fushën e mbështetjes 1, mund të zbatohet përmes menaxhimit të tërthortë me një entitet të vlerësuar sipas kolonës, i cili do të përzgjidhet nga shërbimet e Komisionit duke përdorur kriteret e mëposhtme: </w:t>
      </w:r>
    </w:p>
    <w:p w14:paraId="4509BE61" w14:textId="77777777" w:rsidR="00B06BDA" w:rsidRPr="0036019C" w:rsidRDefault="00B06BDA" w:rsidP="00CC4E19">
      <w:pPr>
        <w:pStyle w:val="TEKSTIIIII"/>
      </w:pPr>
      <w:r w:rsidRPr="0036019C">
        <w:t>- Njohuri dhe ekspertizë të provuar në fushën e drejtësisë për të miturit; gjykim me kusht; të drejtat e njeriut, barazia dhe Kartën e të Drejtave Themelore; demokracia; bashkëpunimi policor dhe gjyqësor, duke përfshirë atë midis Bashkimit Evropian dhe Shqipërisë; ose luftimi i rrjeteve të krimit të organizuar, korrupsionit të nivelit të lartë dhe pastrimit të parave.</w:t>
      </w:r>
    </w:p>
    <w:p w14:paraId="21D97BF6" w14:textId="77777777" w:rsidR="00B06BDA" w:rsidRPr="0036019C" w:rsidRDefault="00B06BDA" w:rsidP="00CC4E19">
      <w:pPr>
        <w:pStyle w:val="TEKSTIIIII"/>
      </w:pPr>
      <w:r w:rsidRPr="0036019C">
        <w:t>- Një histori suksesi dhe kapacitet për të zhvilluar marrëdhënie të mira pune me partnerë lokalë dhe ndërkombëtarë.</w:t>
      </w:r>
    </w:p>
    <w:p w14:paraId="2F755559" w14:textId="77777777" w:rsidR="00B06BDA" w:rsidRPr="0036019C" w:rsidRDefault="00B06BDA" w:rsidP="00CC4E19">
      <w:pPr>
        <w:pStyle w:val="TEKSTIIIII"/>
      </w:pPr>
      <w:r w:rsidRPr="0036019C">
        <w:t>- Kapacitet operacional dhe logjistik i provuar dhe ekspertizë në fushat përkatëse.</w:t>
      </w:r>
    </w:p>
    <w:p w14:paraId="43580E06" w14:textId="77777777" w:rsidR="00B06BDA" w:rsidRPr="0036019C" w:rsidRDefault="00B06BDA" w:rsidP="00CC4E19">
      <w:pPr>
        <w:pStyle w:val="TEKSTIIIII"/>
      </w:pPr>
      <w:r w:rsidRPr="0036019C">
        <w:t>Zbatimi nga këta entitete përfshin kontributin në arritjen e Rezultatit 1 dhe produkteve përkatëse.</w:t>
      </w:r>
    </w:p>
    <w:p w14:paraId="241EDC17"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Një pjesë e këtij veprimi mund të zbatohet përmes menaxhimit të tërthortë me Agjencinë Austriake të Zhvillimit (ADA/AAZH). Ky zbatim përfshin pjesën e veprimit që lidhet me monitorimin e vetingut gjyqësor. Entiteti i parashikuar është përzgjedhur duke përdorur kriteret e mëposhtme: përvoja në zbatimin e Operacionit Ndërkombëtar të Monitorimit të procesit aktual të vetingut në Shqipëri, ekspertizë teknike, kapacitet operacional dhe kapacitet i provuar për të kryer punën e pritshme në kohë dhe me rezultate të kënaqshme. </w:t>
      </w:r>
    </w:p>
    <w:p w14:paraId="4EEE2503" w14:textId="77777777" w:rsidR="00B06BDA" w:rsidRPr="0036019C" w:rsidRDefault="00B06BDA" w:rsidP="00B06BDA">
      <w:pPr>
        <w:pStyle w:val="NormalWeb"/>
        <w:spacing w:before="0" w:beforeAutospacing="0" w:after="0" w:afterAutospacing="0"/>
        <w:ind w:firstLine="284"/>
        <w:rPr>
          <w:rFonts w:ascii="Garamond" w:hAnsi="Garamond"/>
          <w:color w:val="000000" w:themeColor="text1"/>
          <w:lang w:val="sq-AL" w:eastAsia="en-US"/>
        </w:rPr>
      </w:pPr>
      <w:r w:rsidRPr="0036019C">
        <w:rPr>
          <w:rFonts w:ascii="Garamond" w:hAnsi="Garamond"/>
          <w:color w:val="000000" w:themeColor="text1"/>
          <w:lang w:val="sq-AL" w:eastAsia="en-US"/>
        </w:rPr>
        <w:t>Komisioni autorizon që shpenzimet e kryera në kuadër të mbështetjes për Operacionin Ndërkombëtar të Monitorimit, të njihen si të pranueshme që nga data 1 shtator 2025, për shkak të natyrës së tyre sensitive dhe prioritetit të lartë.</w:t>
      </w:r>
    </w:p>
    <w:p w14:paraId="210EC8F2"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 rast se entiteti i parashikuar do të duhet të zëvendësohet, shërbimet e Komisionit mund të përzgjedhin një entitet zëvendësues duke përdorur të njëjtat kritere. Nëse entiteti zëvendësohet, vendimi për zëvendësimin duhet të jetë i arsyetuar.</w:t>
      </w:r>
    </w:p>
    <w:p w14:paraId="4F3FB21F"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lastRenderedPageBreak/>
        <w:t xml:space="preserve">Një pjesë e këtij veprimi, lidhur me fushën e mbështetjes 2, mund të zbatohet përmes menaxhimit të tërthortë me një entitet të vlerësuar sipas kolonës, i cili do të përzgjidhet nga shërbimet e Komisionit duke përdorur kriteret e mëposhtme: </w:t>
      </w:r>
    </w:p>
    <w:p w14:paraId="59A130AB" w14:textId="77777777" w:rsidR="00B06BDA" w:rsidRPr="0036019C" w:rsidRDefault="00B06BDA" w:rsidP="00CC4E19">
      <w:pPr>
        <w:pStyle w:val="TEKSTIIIII"/>
      </w:pPr>
      <w:r w:rsidRPr="0036019C">
        <w:t>- Njohuri dhe ekspertizë të provuar në fushën e zhvillimit të kapaciteteve të shërbimit civil; sistemet e Menaxhimit të Burimeve Njerëzore; qeverisja lokale dhe zhvillimi territorial i integruar; mbrojtja e të dhënave; auditimi i jashtëm; statistikat zyrtare; Garancia për Fëmijë; kultura ose barazia gjinore.</w:t>
      </w:r>
    </w:p>
    <w:p w14:paraId="17D4EF0F" w14:textId="77777777" w:rsidR="00B06BDA" w:rsidRPr="0036019C" w:rsidRDefault="00B06BDA" w:rsidP="00CC4E19">
      <w:pPr>
        <w:pStyle w:val="TEKSTIIIII"/>
      </w:pPr>
      <w:r w:rsidRPr="0036019C">
        <w:t>- Një histori suksesi dhe kapacitet për të zhvilluar marrëdhënie të mira pune me partnerë lokalë dhe ndërkombëtarë.</w:t>
      </w:r>
    </w:p>
    <w:p w14:paraId="5EE3CB3E" w14:textId="77777777" w:rsidR="00B06BDA" w:rsidRPr="0036019C" w:rsidRDefault="00B06BDA" w:rsidP="00CC4E19">
      <w:pPr>
        <w:pStyle w:val="TEKSTIIIII"/>
      </w:pPr>
      <w:r w:rsidRPr="0036019C">
        <w:t>- Kapacitet operacional dhe logjistik i provuar dhe ekspertizë në fushat përkatëse.</w:t>
      </w:r>
    </w:p>
    <w:p w14:paraId="63F8FD96" w14:textId="77777777" w:rsidR="00B06BDA" w:rsidRPr="0036019C" w:rsidRDefault="00B06BDA" w:rsidP="00CC4E19">
      <w:pPr>
        <w:pStyle w:val="TEKSTIIIII"/>
      </w:pPr>
      <w:r w:rsidRPr="0036019C">
        <w:t>Zbatimi nga këta entitete përfshin kontributin në arritjen e Rezultatit 2 dhe produkteve përkatëse.</w:t>
      </w:r>
    </w:p>
    <w:p w14:paraId="62254B31" w14:textId="77777777" w:rsidR="00B06BDA" w:rsidRPr="0036019C" w:rsidRDefault="00B06BDA" w:rsidP="00CC4E19">
      <w:pPr>
        <w:pStyle w:val="TEKSTIIIII"/>
      </w:pPr>
      <w:r w:rsidRPr="0036019C">
        <w:t xml:space="preserve">Një pjesë e këtij veprimi, lidhur me fushën e mbështetjes 3, mund të zbatohet përmes menaxhimit të tërthortë me një entitet të vlerësuar sipas kolonës, i cili do të përzgjidhet nga shërbimet e Komisionit duke përdorur kriteret e mëposhtme: </w:t>
      </w:r>
    </w:p>
    <w:p w14:paraId="4BC27FA0" w14:textId="77777777" w:rsidR="00B06BDA" w:rsidRPr="0036019C" w:rsidRDefault="00B06BDA" w:rsidP="00CC4E19">
      <w:pPr>
        <w:pStyle w:val="TEKSTIIIII"/>
      </w:pPr>
      <w:r w:rsidRPr="0036019C">
        <w:t>- Njohuri dhe ekspertizë të provuar në fushën e CRM, duke përfshirë kuadrin politik, hartëzimin, ndikimin social dhe mjedisor, investimet, kërkimin dhe inovacionin.</w:t>
      </w:r>
    </w:p>
    <w:p w14:paraId="7FA6FB62" w14:textId="77777777" w:rsidR="00B06BDA" w:rsidRPr="0036019C" w:rsidRDefault="00B06BDA" w:rsidP="00CC4E19">
      <w:pPr>
        <w:pStyle w:val="TEKSTIIIII"/>
      </w:pPr>
      <w:r w:rsidRPr="0036019C">
        <w:t>- Një histori suksesi dhe kapacitet për të zhvilluar marrëdhënie të mira pune me partnerë lokalë dhe ndërkombëtarë.</w:t>
      </w:r>
    </w:p>
    <w:p w14:paraId="4406CBC6" w14:textId="77777777" w:rsidR="00B06BDA" w:rsidRPr="0036019C" w:rsidRDefault="00B06BDA" w:rsidP="00CC4E19">
      <w:pPr>
        <w:pStyle w:val="TEKSTIIIII"/>
      </w:pPr>
      <w:r w:rsidRPr="0036019C">
        <w:t>- Kapacitet operacional dhe logjistik i provuar dhe ekspertizë në fushat përkatëse.</w:t>
      </w:r>
    </w:p>
    <w:p w14:paraId="53C4376E"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Zbatimi nga këta entitete përfshin kontributin në arritjen e Rezultatit 3 dhe produkteve përkatëse.</w:t>
      </w:r>
    </w:p>
    <w:p w14:paraId="298F6243" w14:textId="77777777" w:rsidR="00B06BDA" w:rsidRPr="0036019C" w:rsidRDefault="00B06BDA" w:rsidP="00CC4E19">
      <w:pPr>
        <w:pStyle w:val="TEKSTIIIII"/>
        <w:rPr>
          <w:b/>
        </w:rPr>
      </w:pPr>
      <w:r w:rsidRPr="0036019C">
        <w:rPr>
          <w:b/>
        </w:rPr>
        <w:t>4.3.4 Ndryshimet nga menaxhimi i tërthortë në menaxhimin e drejtpërdrejtë (dhe anasjelltas) për shkak të rrethanave të jashtëzakonshme</w:t>
      </w:r>
    </w:p>
    <w:p w14:paraId="7CB95C02"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Nëse modaliteti i zbatimit nën menaxhimin e drejtpërdrejtë, siç përcaktohet në seksionin 4.3.1.1 (grante për bashkëpunim institucional) dhe në seksionin 4.3.2 (prokurimi), nuk mund të zbatohet për shkak të rrethanave jashtë kontrollit të Komisionit, do të përdoret modaliteti i zbatimit përmes menaxhimit të tërthortë me një entitet të vlerësuar sipas kolonës, sipas seksionit 4.3.3.</w:t>
      </w:r>
    </w:p>
    <w:p w14:paraId="6E0BB75A"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Nëse modaliteti i zbatimit nën menaxhimin e tërthortë, lidhur me auditimin e jashtëm dhe mbrojtjen e të dhënave, siç përcaktohet në seksionin 4.3.3, nuk mund të zbatohet për shkak të rrethanave jashtë kontrollit të Komisionit, do të përdoret modaliteti i zbatimit përmes granteve (grante për bashkëpunim institucional) sipas elementeve të binjakëzimit të granteve, të përcaktuara në seksionin 4.3.1.1.</w:t>
      </w:r>
    </w:p>
    <w:p w14:paraId="5285F6FF"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Nëse modaliteti i zbatimit nën menaxhimin e tërthortë, siç përcaktohet në seksionin 4.3.3, duke përjashtuar pjesën që lidhet me auditimin e jashtëm dhe zhvillimin territorial të integruar, nuk mund të zbatohet për shkak të rrethanave jashtë kontrollit të Komisionit, do të përdoret modaliteti i zbatimit përmes prokurimit nën menaxhimin e drejtpërdrejtë sipas elementeve të përcaktuara në seksionin 4.3.2.</w:t>
      </w:r>
    </w:p>
    <w:p w14:paraId="786185DA" w14:textId="77777777" w:rsidR="00B06BDA" w:rsidRPr="0036019C" w:rsidRDefault="00B06BDA" w:rsidP="00CC4E19">
      <w:pPr>
        <w:pStyle w:val="TEKSTIIIII"/>
        <w:rPr>
          <w:b/>
          <w:bCs/>
        </w:rPr>
      </w:pPr>
      <w:r w:rsidRPr="0036019C">
        <w:rPr>
          <w:b/>
        </w:rPr>
        <w:t>4.4. Fusha e përfitueshmërisë gjeografike për prokurimin dhe grantet – vetëm nëse do të përdoren prokurimi ose grantet</w:t>
      </w:r>
    </w:p>
    <w:p w14:paraId="5058E7A4" w14:textId="379EAE9F" w:rsidR="00B06BDA" w:rsidRDefault="00B06BDA" w:rsidP="00B06BDA">
      <w:pPr>
        <w:ind w:firstLine="284"/>
        <w:jc w:val="both"/>
        <w:rPr>
          <w:rFonts w:ascii="Garamond" w:hAnsi="Garamond"/>
          <w:i/>
          <w:iCs/>
          <w:color w:val="000000" w:themeColor="text1"/>
          <w:lang w:val="sq-AL"/>
        </w:rPr>
      </w:pPr>
      <w:r w:rsidRPr="0036019C">
        <w:rPr>
          <w:rFonts w:ascii="Garamond" w:hAnsi="Garamond"/>
          <w:color w:val="000000" w:themeColor="text1"/>
          <w:lang w:val="sq-AL"/>
        </w:rPr>
        <w:t>Përfitueshmëria gjeografike në lidhje me vendin e themelimit për pjesëmarrje në procedurat e prokurimit dhe dhënies së granteve, si dhe në lidhje me origjinën e furnizimeve të blera, siç përcaktohet në aktin themelor dhe dokumentet kontraktuale përkatëse, do të zbatohet, duke iu nënshtruar dispozitave të mëposhtme. Zyrtari autorizues përgjegjës i Komisionit mund të zgjasë përfitueshmërinë gjeografike bazuar në urgjencë ose në mungesën e shërbimeve në tregjet e vendeve ose territoreve përkatëse, ose në raste të tjera të arsyetuara siç duhet, ku zbatimi i rregullave të përfitueshmërisë do ta bënte realizimin e këtij plani veprimi të pamundur ose jashtëzakonisht të vështirë (Neni 28(10) i Rregullores NDICI</w:t>
      </w:r>
      <w:r w:rsidRPr="0036019C">
        <w:rPr>
          <w:rFonts w:ascii="Garamond" w:hAnsi="Garamond"/>
          <w:i/>
          <w:iCs/>
          <w:color w:val="000000" w:themeColor="text1"/>
          <w:lang w:val="sq-AL"/>
        </w:rPr>
        <w:t>/IFZHBN (Instrumenti i Fqinjësisë, Zhvillimit dhe Bashkëpunimit Ndërkombëtar).</w:t>
      </w:r>
    </w:p>
    <w:p w14:paraId="5D9DE1BA" w14:textId="0CE97FDB" w:rsidR="00014EEB" w:rsidRDefault="00014EEB" w:rsidP="00B06BDA">
      <w:pPr>
        <w:ind w:firstLine="284"/>
        <w:jc w:val="both"/>
        <w:rPr>
          <w:rFonts w:ascii="Garamond" w:hAnsi="Garamond"/>
          <w:i/>
          <w:iCs/>
          <w:color w:val="000000" w:themeColor="text1"/>
          <w:lang w:val="sq-AL"/>
        </w:rPr>
      </w:pPr>
    </w:p>
    <w:p w14:paraId="74DA9B85" w14:textId="018D288B" w:rsidR="00014EEB" w:rsidRDefault="00014EEB" w:rsidP="00B06BDA">
      <w:pPr>
        <w:ind w:firstLine="284"/>
        <w:jc w:val="both"/>
        <w:rPr>
          <w:rFonts w:ascii="Garamond" w:hAnsi="Garamond"/>
          <w:i/>
          <w:iCs/>
          <w:color w:val="000000" w:themeColor="text1"/>
          <w:lang w:val="sq-AL"/>
        </w:rPr>
      </w:pPr>
    </w:p>
    <w:p w14:paraId="1F590D47" w14:textId="365F19C9" w:rsidR="00014EEB" w:rsidRDefault="00014EEB" w:rsidP="00B06BDA">
      <w:pPr>
        <w:ind w:firstLine="284"/>
        <w:jc w:val="both"/>
        <w:rPr>
          <w:rFonts w:ascii="Garamond" w:hAnsi="Garamond"/>
          <w:i/>
          <w:iCs/>
          <w:color w:val="000000" w:themeColor="text1"/>
          <w:lang w:val="sq-AL"/>
        </w:rPr>
      </w:pPr>
    </w:p>
    <w:p w14:paraId="796D13D0" w14:textId="689E0859" w:rsidR="00014EEB" w:rsidRDefault="00014EEB" w:rsidP="00B06BDA">
      <w:pPr>
        <w:ind w:firstLine="284"/>
        <w:jc w:val="both"/>
        <w:rPr>
          <w:rFonts w:ascii="Garamond" w:hAnsi="Garamond"/>
          <w:i/>
          <w:iCs/>
          <w:color w:val="000000" w:themeColor="text1"/>
          <w:lang w:val="sq-AL"/>
        </w:rPr>
      </w:pPr>
    </w:p>
    <w:p w14:paraId="11B32CDB" w14:textId="21CC7DF7" w:rsidR="00014EEB" w:rsidRDefault="00014EEB" w:rsidP="00B06BDA">
      <w:pPr>
        <w:ind w:firstLine="284"/>
        <w:jc w:val="both"/>
        <w:rPr>
          <w:rFonts w:ascii="Garamond" w:hAnsi="Garamond"/>
          <w:i/>
          <w:iCs/>
          <w:color w:val="000000" w:themeColor="text1"/>
          <w:lang w:val="sq-AL"/>
        </w:rPr>
      </w:pPr>
    </w:p>
    <w:p w14:paraId="3D092D3F" w14:textId="24198C6D" w:rsidR="00014EEB" w:rsidRDefault="00014EEB" w:rsidP="00B06BDA">
      <w:pPr>
        <w:ind w:firstLine="284"/>
        <w:jc w:val="both"/>
        <w:rPr>
          <w:rFonts w:ascii="Garamond" w:hAnsi="Garamond"/>
          <w:i/>
          <w:iCs/>
          <w:color w:val="000000" w:themeColor="text1"/>
          <w:lang w:val="sq-AL"/>
        </w:rPr>
      </w:pPr>
    </w:p>
    <w:p w14:paraId="032CF077" w14:textId="77777777" w:rsidR="00014EEB" w:rsidRPr="0036019C" w:rsidRDefault="00014EEB" w:rsidP="00B06BDA">
      <w:pPr>
        <w:ind w:firstLine="284"/>
        <w:jc w:val="both"/>
        <w:rPr>
          <w:rFonts w:ascii="Garamond" w:hAnsi="Garamond"/>
          <w:i/>
          <w:iCs/>
          <w:color w:val="000000" w:themeColor="text1"/>
          <w:lang w:val="sq-AL"/>
        </w:rPr>
      </w:pPr>
    </w:p>
    <w:p w14:paraId="7DBB6AB2" w14:textId="77777777" w:rsidR="00B06BDA" w:rsidRPr="0036019C" w:rsidRDefault="00B06BDA" w:rsidP="00CC4E19">
      <w:pPr>
        <w:pStyle w:val="TEKSTIIIII"/>
        <w:rPr>
          <w:b/>
          <w:bCs/>
        </w:rPr>
      </w:pPr>
      <w:r w:rsidRPr="0036019C">
        <w:rPr>
          <w:b/>
        </w:rPr>
        <w:t>4.5. Buxheti Indikativ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1535"/>
        <w:gridCol w:w="11"/>
        <w:gridCol w:w="1874"/>
        <w:gridCol w:w="1427"/>
        <w:gridCol w:w="1798"/>
      </w:tblGrid>
      <w:tr w:rsidR="00B06BDA" w:rsidRPr="00014EEB" w14:paraId="3B956F1F" w14:textId="77777777" w:rsidTr="00CC1C79">
        <w:trPr>
          <w:trHeight w:val="517"/>
        </w:trPr>
        <w:tc>
          <w:tcPr>
            <w:tcW w:w="1316" w:type="pct"/>
            <w:vMerge w:val="restart"/>
            <w:vAlign w:val="center"/>
            <w:hideMark/>
          </w:tcPr>
          <w:p w14:paraId="19F932FD" w14:textId="567CEE77" w:rsidR="00B06BDA" w:rsidRPr="00014EEB" w:rsidRDefault="00B06BDA" w:rsidP="000F72F0">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 xml:space="preserve">Buxheti </w:t>
            </w:r>
            <w:r w:rsidR="00CC1C79" w:rsidRPr="00014EEB">
              <w:rPr>
                <w:rFonts w:ascii="Garamond" w:hAnsi="Garamond"/>
                <w:b/>
                <w:bCs/>
                <w:color w:val="000000" w:themeColor="text1"/>
                <w:sz w:val="18"/>
                <w:szCs w:val="18"/>
                <w:lang w:val="sq-AL"/>
              </w:rPr>
              <w:t>indikativ</w:t>
            </w:r>
          </w:p>
        </w:tc>
        <w:tc>
          <w:tcPr>
            <w:tcW w:w="857" w:type="pct"/>
            <w:gridSpan w:val="2"/>
            <w:vMerge w:val="restart"/>
            <w:vAlign w:val="center"/>
            <w:hideMark/>
          </w:tcPr>
          <w:p w14:paraId="0825E55C" w14:textId="6375B16B" w:rsidR="00B06BDA" w:rsidRPr="00014EEB" w:rsidRDefault="00B06BDA" w:rsidP="000F72F0">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Kontributi i BE-së 2025 (</w:t>
            </w:r>
            <w:r w:rsidR="00CC1C79" w:rsidRPr="00014EEB">
              <w:rPr>
                <w:rFonts w:ascii="Garamond" w:hAnsi="Garamond"/>
                <w:b/>
                <w:bCs/>
                <w:color w:val="000000" w:themeColor="text1"/>
                <w:sz w:val="18"/>
                <w:szCs w:val="18"/>
                <w:lang w:val="sq-AL"/>
              </w:rPr>
              <w:t>euro</w:t>
            </w:r>
            <w:r w:rsidRPr="00014EEB">
              <w:rPr>
                <w:rFonts w:ascii="Garamond" w:hAnsi="Garamond"/>
                <w:b/>
                <w:bCs/>
                <w:color w:val="000000" w:themeColor="text1"/>
                <w:sz w:val="18"/>
                <w:szCs w:val="18"/>
                <w:lang w:val="sq-AL"/>
              </w:rPr>
              <w:t>)</w:t>
            </w:r>
          </w:p>
        </w:tc>
        <w:tc>
          <w:tcPr>
            <w:tcW w:w="1039" w:type="pct"/>
            <w:vMerge w:val="restart"/>
            <w:vAlign w:val="center"/>
            <w:hideMark/>
          </w:tcPr>
          <w:p w14:paraId="30DCBEE8" w14:textId="4D20F2EB" w:rsidR="00B06BDA" w:rsidRPr="00014EEB" w:rsidRDefault="00B06BDA" w:rsidP="000F72F0">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Kontributi i BE-së 2026 (</w:t>
            </w:r>
            <w:r w:rsidR="00CC1C79" w:rsidRPr="00014EEB">
              <w:rPr>
                <w:rFonts w:ascii="Garamond" w:hAnsi="Garamond"/>
                <w:b/>
                <w:bCs/>
                <w:color w:val="000000" w:themeColor="text1"/>
                <w:sz w:val="18"/>
                <w:szCs w:val="18"/>
                <w:lang w:val="sq-AL"/>
              </w:rPr>
              <w:t>euro</w:t>
            </w:r>
            <w:r w:rsidRPr="00014EEB">
              <w:rPr>
                <w:rFonts w:ascii="Garamond" w:hAnsi="Garamond"/>
                <w:b/>
                <w:bCs/>
                <w:color w:val="000000" w:themeColor="text1"/>
                <w:sz w:val="18"/>
                <w:szCs w:val="18"/>
                <w:lang w:val="sq-AL"/>
              </w:rPr>
              <w:t>)</w:t>
            </w:r>
          </w:p>
        </w:tc>
        <w:tc>
          <w:tcPr>
            <w:tcW w:w="791" w:type="pct"/>
            <w:vMerge w:val="restart"/>
            <w:vAlign w:val="center"/>
            <w:hideMark/>
          </w:tcPr>
          <w:p w14:paraId="1F94A4DF" w14:textId="10F1B1C1" w:rsidR="00B06BDA" w:rsidRPr="00014EEB" w:rsidRDefault="00B06BDA" w:rsidP="000F72F0">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Kontributi i BE-së 2027 (</w:t>
            </w:r>
            <w:r w:rsidR="00CC1C79" w:rsidRPr="00014EEB">
              <w:rPr>
                <w:rFonts w:ascii="Garamond" w:hAnsi="Garamond"/>
                <w:b/>
                <w:bCs/>
                <w:color w:val="000000" w:themeColor="text1"/>
                <w:sz w:val="18"/>
                <w:szCs w:val="18"/>
                <w:lang w:val="sq-AL"/>
              </w:rPr>
              <w:t>euro</w:t>
            </w:r>
            <w:r w:rsidRPr="00014EEB">
              <w:rPr>
                <w:rFonts w:ascii="Garamond" w:hAnsi="Garamond"/>
                <w:b/>
                <w:bCs/>
                <w:color w:val="000000" w:themeColor="text1"/>
                <w:sz w:val="18"/>
                <w:szCs w:val="18"/>
                <w:lang w:val="sq-AL"/>
              </w:rPr>
              <w:t>)</w:t>
            </w:r>
          </w:p>
        </w:tc>
        <w:tc>
          <w:tcPr>
            <w:tcW w:w="989" w:type="pct"/>
            <w:vMerge w:val="restart"/>
            <w:vAlign w:val="center"/>
            <w:hideMark/>
          </w:tcPr>
          <w:p w14:paraId="2485C9A4" w14:textId="703511CF" w:rsidR="00B06BDA" w:rsidRPr="00014EEB" w:rsidRDefault="00B06BDA" w:rsidP="000F72F0">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 xml:space="preserve">Kontributi total i BE-së </w:t>
            </w:r>
            <w:r w:rsidR="00D20604">
              <w:rPr>
                <w:rFonts w:ascii="Garamond" w:hAnsi="Garamond"/>
                <w:b/>
                <w:bCs/>
                <w:color w:val="000000" w:themeColor="text1"/>
                <w:sz w:val="18"/>
                <w:szCs w:val="18"/>
                <w:lang w:val="sq-AL"/>
              </w:rPr>
              <w:t>2025–2027</w:t>
            </w:r>
            <w:r w:rsidRPr="00014EEB">
              <w:rPr>
                <w:rFonts w:ascii="Garamond" w:hAnsi="Garamond"/>
                <w:b/>
                <w:bCs/>
                <w:color w:val="000000" w:themeColor="text1"/>
                <w:sz w:val="18"/>
                <w:szCs w:val="18"/>
                <w:lang w:val="sq-AL"/>
              </w:rPr>
              <w:t xml:space="preserve"> (</w:t>
            </w:r>
            <w:r w:rsidR="00CC1C79" w:rsidRPr="00014EEB">
              <w:rPr>
                <w:rFonts w:ascii="Garamond" w:hAnsi="Garamond"/>
                <w:b/>
                <w:bCs/>
                <w:color w:val="000000" w:themeColor="text1"/>
                <w:sz w:val="18"/>
                <w:szCs w:val="18"/>
                <w:lang w:val="sq-AL"/>
              </w:rPr>
              <w:t>euro</w:t>
            </w:r>
            <w:r w:rsidRPr="00014EEB">
              <w:rPr>
                <w:rFonts w:ascii="Garamond" w:hAnsi="Garamond"/>
                <w:b/>
                <w:bCs/>
                <w:color w:val="000000" w:themeColor="text1"/>
                <w:sz w:val="18"/>
                <w:szCs w:val="18"/>
                <w:lang w:val="sq-AL"/>
              </w:rPr>
              <w:t>)</w:t>
            </w:r>
          </w:p>
        </w:tc>
      </w:tr>
      <w:tr w:rsidR="00B06BDA" w:rsidRPr="00014EEB" w14:paraId="69FAEEFE" w14:textId="77777777" w:rsidTr="00CC1C79">
        <w:trPr>
          <w:trHeight w:val="517"/>
        </w:trPr>
        <w:tc>
          <w:tcPr>
            <w:tcW w:w="1316" w:type="pct"/>
            <w:vMerge/>
            <w:vAlign w:val="center"/>
            <w:hideMark/>
          </w:tcPr>
          <w:p w14:paraId="6ED4CA3B" w14:textId="77777777" w:rsidR="00B06BDA" w:rsidRPr="00014EEB" w:rsidRDefault="00B06BDA" w:rsidP="000F72F0">
            <w:pPr>
              <w:jc w:val="center"/>
              <w:rPr>
                <w:rFonts w:ascii="Garamond" w:hAnsi="Garamond"/>
                <w:b/>
                <w:bCs/>
                <w:color w:val="000000" w:themeColor="text1"/>
                <w:sz w:val="18"/>
                <w:szCs w:val="18"/>
                <w:lang w:val="sq-AL"/>
              </w:rPr>
            </w:pPr>
          </w:p>
        </w:tc>
        <w:tc>
          <w:tcPr>
            <w:tcW w:w="857" w:type="pct"/>
            <w:gridSpan w:val="2"/>
            <w:vMerge/>
            <w:vAlign w:val="center"/>
            <w:hideMark/>
          </w:tcPr>
          <w:p w14:paraId="745F2EB2" w14:textId="77777777" w:rsidR="00B06BDA" w:rsidRPr="00014EEB" w:rsidRDefault="00B06BDA" w:rsidP="000F72F0">
            <w:pPr>
              <w:jc w:val="center"/>
              <w:rPr>
                <w:rFonts w:ascii="Garamond" w:hAnsi="Garamond"/>
                <w:b/>
                <w:bCs/>
                <w:color w:val="000000" w:themeColor="text1"/>
                <w:sz w:val="18"/>
                <w:szCs w:val="18"/>
                <w:lang w:val="sq-AL"/>
              </w:rPr>
            </w:pPr>
          </w:p>
        </w:tc>
        <w:tc>
          <w:tcPr>
            <w:tcW w:w="1039" w:type="pct"/>
            <w:vMerge/>
            <w:vAlign w:val="center"/>
            <w:hideMark/>
          </w:tcPr>
          <w:p w14:paraId="028F46D9" w14:textId="77777777" w:rsidR="00B06BDA" w:rsidRPr="00014EEB" w:rsidRDefault="00B06BDA" w:rsidP="000F72F0">
            <w:pPr>
              <w:jc w:val="center"/>
              <w:rPr>
                <w:rFonts w:ascii="Garamond" w:hAnsi="Garamond"/>
                <w:b/>
                <w:bCs/>
                <w:color w:val="000000" w:themeColor="text1"/>
                <w:sz w:val="18"/>
                <w:szCs w:val="18"/>
                <w:lang w:val="sq-AL"/>
              </w:rPr>
            </w:pPr>
          </w:p>
        </w:tc>
        <w:tc>
          <w:tcPr>
            <w:tcW w:w="791" w:type="pct"/>
            <w:vMerge/>
            <w:vAlign w:val="center"/>
            <w:hideMark/>
          </w:tcPr>
          <w:p w14:paraId="4D9DA0C3" w14:textId="77777777" w:rsidR="00B06BDA" w:rsidRPr="00014EEB" w:rsidRDefault="00B06BDA" w:rsidP="000F72F0">
            <w:pPr>
              <w:jc w:val="center"/>
              <w:rPr>
                <w:rFonts w:ascii="Garamond" w:hAnsi="Garamond"/>
                <w:b/>
                <w:bCs/>
                <w:color w:val="000000" w:themeColor="text1"/>
                <w:sz w:val="18"/>
                <w:szCs w:val="18"/>
                <w:lang w:val="sq-AL"/>
              </w:rPr>
            </w:pPr>
          </w:p>
        </w:tc>
        <w:tc>
          <w:tcPr>
            <w:tcW w:w="989" w:type="pct"/>
            <w:vMerge/>
            <w:vAlign w:val="center"/>
            <w:hideMark/>
          </w:tcPr>
          <w:p w14:paraId="332D3FF2" w14:textId="77777777" w:rsidR="00B06BDA" w:rsidRPr="00014EEB" w:rsidRDefault="00B06BDA" w:rsidP="000F72F0">
            <w:pPr>
              <w:jc w:val="center"/>
              <w:rPr>
                <w:rFonts w:ascii="Garamond" w:hAnsi="Garamond"/>
                <w:b/>
                <w:bCs/>
                <w:color w:val="000000" w:themeColor="text1"/>
                <w:sz w:val="18"/>
                <w:szCs w:val="18"/>
                <w:lang w:val="sq-AL"/>
              </w:rPr>
            </w:pPr>
          </w:p>
        </w:tc>
      </w:tr>
      <w:tr w:rsidR="00B06BDA" w:rsidRPr="00014EEB" w14:paraId="114630D1" w14:textId="77777777" w:rsidTr="00CC1C79">
        <w:trPr>
          <w:trHeight w:val="20"/>
        </w:trPr>
        <w:tc>
          <w:tcPr>
            <w:tcW w:w="1316" w:type="pct"/>
            <w:vAlign w:val="center"/>
            <w:hideMark/>
          </w:tcPr>
          <w:p w14:paraId="5AAF7C6F" w14:textId="1E688718" w:rsidR="00B06BDA" w:rsidRPr="00014EEB" w:rsidRDefault="00B06BDA" w:rsidP="000F72F0">
            <w:pPr>
              <w:jc w:val="center"/>
              <w:rPr>
                <w:rFonts w:ascii="Garamond" w:hAnsi="Garamond"/>
                <w:b/>
                <w:bCs/>
                <w:color w:val="000000" w:themeColor="text1"/>
                <w:sz w:val="18"/>
                <w:szCs w:val="18"/>
                <w:lang w:val="sq-AL"/>
              </w:rPr>
            </w:pPr>
          </w:p>
        </w:tc>
        <w:tc>
          <w:tcPr>
            <w:tcW w:w="851" w:type="pct"/>
            <w:vAlign w:val="center"/>
            <w:hideMark/>
          </w:tcPr>
          <w:p w14:paraId="19459953" w14:textId="77777777" w:rsidR="00B06BDA" w:rsidRPr="00014EEB" w:rsidRDefault="00B06BDA" w:rsidP="000F72F0">
            <w:pPr>
              <w:jc w:val="center"/>
              <w:rPr>
                <w:rFonts w:ascii="Garamond" w:hAnsi="Garamond"/>
                <w:b/>
                <w:bCs/>
                <w:color w:val="000000" w:themeColor="text1"/>
                <w:sz w:val="18"/>
                <w:szCs w:val="18"/>
                <w:lang w:val="sq-AL"/>
              </w:rPr>
            </w:pPr>
          </w:p>
        </w:tc>
        <w:tc>
          <w:tcPr>
            <w:tcW w:w="2833" w:type="pct"/>
            <w:gridSpan w:val="4"/>
            <w:vAlign w:val="center"/>
          </w:tcPr>
          <w:p w14:paraId="1E17C751" w14:textId="77777777" w:rsidR="00B06BDA" w:rsidRPr="00014EEB" w:rsidRDefault="00B06BDA" w:rsidP="000F72F0">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Modalitetet e zbatimit</w:t>
            </w:r>
          </w:p>
        </w:tc>
      </w:tr>
      <w:tr w:rsidR="00B06BDA" w:rsidRPr="00014EEB" w14:paraId="355C669E" w14:textId="77777777" w:rsidTr="00CC1C79">
        <w:trPr>
          <w:trHeight w:val="20"/>
        </w:trPr>
        <w:tc>
          <w:tcPr>
            <w:tcW w:w="1316" w:type="pct"/>
            <w:hideMark/>
          </w:tcPr>
          <w:p w14:paraId="4CCB72DA" w14:textId="77777777" w:rsidR="00B06BDA" w:rsidRPr="00014EEB" w:rsidRDefault="00B06BDA" w:rsidP="00CC4E19">
            <w:pPr>
              <w:rPr>
                <w:rFonts w:ascii="Garamond" w:hAnsi="Garamond"/>
                <w:b/>
                <w:bCs/>
                <w:color w:val="000000" w:themeColor="text1"/>
                <w:sz w:val="18"/>
                <w:szCs w:val="18"/>
                <w:lang w:val="sq-AL"/>
              </w:rPr>
            </w:pPr>
            <w:r w:rsidRPr="00014EEB">
              <w:rPr>
                <w:rStyle w:val="Strong"/>
                <w:rFonts w:ascii="Garamond" w:hAnsi="Garamond"/>
                <w:color w:val="000000" w:themeColor="text1"/>
                <w:sz w:val="18"/>
                <w:szCs w:val="18"/>
                <w:lang w:val="sq-AL"/>
              </w:rPr>
              <w:t>Metodat e zbatimit – shihni seksionin 4.3</w:t>
            </w:r>
          </w:p>
        </w:tc>
        <w:tc>
          <w:tcPr>
            <w:tcW w:w="857" w:type="pct"/>
            <w:gridSpan w:val="2"/>
            <w:vAlign w:val="center"/>
            <w:hideMark/>
          </w:tcPr>
          <w:p w14:paraId="3402067D"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w:t>
            </w:r>
          </w:p>
        </w:tc>
        <w:tc>
          <w:tcPr>
            <w:tcW w:w="1039" w:type="pct"/>
            <w:vAlign w:val="center"/>
            <w:hideMark/>
          </w:tcPr>
          <w:p w14:paraId="4CBFB576"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w:t>
            </w:r>
          </w:p>
        </w:tc>
        <w:tc>
          <w:tcPr>
            <w:tcW w:w="791" w:type="pct"/>
            <w:vAlign w:val="center"/>
            <w:hideMark/>
          </w:tcPr>
          <w:p w14:paraId="71A157B7"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w:t>
            </w:r>
          </w:p>
        </w:tc>
        <w:tc>
          <w:tcPr>
            <w:tcW w:w="989" w:type="pct"/>
            <w:vAlign w:val="center"/>
            <w:hideMark/>
          </w:tcPr>
          <w:p w14:paraId="55AEFE3E"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w:t>
            </w:r>
          </w:p>
        </w:tc>
      </w:tr>
      <w:tr w:rsidR="00B06BDA" w:rsidRPr="00014EEB" w14:paraId="4C8B537A" w14:textId="77777777" w:rsidTr="00CC1C79">
        <w:trPr>
          <w:trHeight w:val="20"/>
        </w:trPr>
        <w:tc>
          <w:tcPr>
            <w:tcW w:w="1316" w:type="pct"/>
            <w:hideMark/>
          </w:tcPr>
          <w:p w14:paraId="34D989ED" w14:textId="77777777" w:rsidR="00B06BDA" w:rsidRPr="00014EEB" w:rsidRDefault="00B06BDA" w:rsidP="00CC4E19">
            <w:pPr>
              <w:rPr>
                <w:rFonts w:ascii="Garamond" w:hAnsi="Garamond"/>
                <w:b/>
                <w:bCs/>
                <w:color w:val="000000" w:themeColor="text1"/>
                <w:sz w:val="18"/>
                <w:szCs w:val="18"/>
                <w:lang w:val="sq-AL"/>
              </w:rPr>
            </w:pPr>
            <w:r w:rsidRPr="00014EEB">
              <w:rPr>
                <w:rStyle w:val="Strong"/>
                <w:rFonts w:ascii="Garamond" w:hAnsi="Garamond"/>
                <w:color w:val="000000" w:themeColor="text1"/>
                <w:sz w:val="18"/>
                <w:szCs w:val="18"/>
                <w:lang w:val="sq-AL"/>
              </w:rPr>
              <w:t>Grantet – (menaxhim i drejtpërdrejtë) shihni seksionin 4.3.1</w:t>
            </w:r>
          </w:p>
        </w:tc>
        <w:tc>
          <w:tcPr>
            <w:tcW w:w="857" w:type="pct"/>
            <w:gridSpan w:val="2"/>
            <w:vAlign w:val="center"/>
            <w:hideMark/>
          </w:tcPr>
          <w:p w14:paraId="188D0A5D" w14:textId="008AF08E"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p>
        </w:tc>
        <w:tc>
          <w:tcPr>
            <w:tcW w:w="1039" w:type="pct"/>
            <w:vAlign w:val="center"/>
            <w:hideMark/>
          </w:tcPr>
          <w:p w14:paraId="75D34D46" w14:textId="0F3555EA"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1,000,000.00 </w:t>
            </w:r>
          </w:p>
        </w:tc>
        <w:tc>
          <w:tcPr>
            <w:tcW w:w="791" w:type="pct"/>
            <w:vAlign w:val="center"/>
            <w:hideMark/>
          </w:tcPr>
          <w:p w14:paraId="46487F2C"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w:t>
            </w:r>
          </w:p>
        </w:tc>
        <w:tc>
          <w:tcPr>
            <w:tcW w:w="989" w:type="pct"/>
            <w:vAlign w:val="center"/>
            <w:hideMark/>
          </w:tcPr>
          <w:p w14:paraId="6643A7DA" w14:textId="5076FD98"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1,000,000.00 </w:t>
            </w:r>
          </w:p>
        </w:tc>
      </w:tr>
      <w:tr w:rsidR="00B06BDA" w:rsidRPr="00014EEB" w14:paraId="34BC7C13" w14:textId="77777777" w:rsidTr="00CC1C79">
        <w:trPr>
          <w:trHeight w:val="20"/>
        </w:trPr>
        <w:tc>
          <w:tcPr>
            <w:tcW w:w="1316" w:type="pct"/>
            <w:hideMark/>
          </w:tcPr>
          <w:p w14:paraId="180E3DC6" w14:textId="77777777" w:rsidR="00B06BDA" w:rsidRPr="00014EEB" w:rsidRDefault="00B06BDA" w:rsidP="00CC4E19">
            <w:pPr>
              <w:rPr>
                <w:rFonts w:ascii="Garamond" w:hAnsi="Garamond"/>
                <w:b/>
                <w:bCs/>
                <w:color w:val="000000" w:themeColor="text1"/>
                <w:sz w:val="18"/>
                <w:szCs w:val="18"/>
                <w:lang w:val="sq-AL"/>
              </w:rPr>
            </w:pPr>
            <w:r w:rsidRPr="00014EEB">
              <w:rPr>
                <w:rStyle w:val="Strong"/>
                <w:rFonts w:ascii="Garamond" w:hAnsi="Garamond"/>
                <w:color w:val="000000" w:themeColor="text1"/>
                <w:sz w:val="18"/>
                <w:szCs w:val="18"/>
                <w:lang w:val="sq-AL"/>
              </w:rPr>
              <w:t>Prokurimi (menaxhim i drejtpërdrejtë – sipas seksionit 4.3.2)</w:t>
            </w:r>
          </w:p>
        </w:tc>
        <w:tc>
          <w:tcPr>
            <w:tcW w:w="857" w:type="pct"/>
            <w:gridSpan w:val="2"/>
            <w:vAlign w:val="center"/>
            <w:hideMark/>
          </w:tcPr>
          <w:p w14:paraId="75648F39" w14:textId="0BC59FFC"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16,563,000.00 </w:t>
            </w:r>
          </w:p>
        </w:tc>
        <w:tc>
          <w:tcPr>
            <w:tcW w:w="1039" w:type="pct"/>
            <w:vAlign w:val="center"/>
            <w:hideMark/>
          </w:tcPr>
          <w:p w14:paraId="2DD763B0" w14:textId="4023C3A5"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9,050,000.00 </w:t>
            </w:r>
          </w:p>
        </w:tc>
        <w:tc>
          <w:tcPr>
            <w:tcW w:w="791" w:type="pct"/>
            <w:vAlign w:val="center"/>
            <w:hideMark/>
          </w:tcPr>
          <w:p w14:paraId="3B1812A8" w14:textId="4AB71773"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10,200,000.00 </w:t>
            </w:r>
          </w:p>
        </w:tc>
        <w:tc>
          <w:tcPr>
            <w:tcW w:w="989" w:type="pct"/>
            <w:vAlign w:val="center"/>
            <w:hideMark/>
          </w:tcPr>
          <w:p w14:paraId="259087F5" w14:textId="6C39A011"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35,813,000.00 </w:t>
            </w:r>
          </w:p>
        </w:tc>
      </w:tr>
      <w:tr w:rsidR="00B06BDA" w:rsidRPr="00014EEB" w14:paraId="4DB77ED9" w14:textId="77777777" w:rsidTr="00CC1C79">
        <w:trPr>
          <w:trHeight w:val="20"/>
        </w:trPr>
        <w:tc>
          <w:tcPr>
            <w:tcW w:w="1316" w:type="pct"/>
            <w:hideMark/>
          </w:tcPr>
          <w:p w14:paraId="3DF0B5FA" w14:textId="77777777" w:rsidR="00B06BDA" w:rsidRPr="00014EEB" w:rsidRDefault="00B06BDA" w:rsidP="00CC4E19">
            <w:pPr>
              <w:rPr>
                <w:rFonts w:ascii="Garamond" w:hAnsi="Garamond"/>
                <w:b/>
                <w:bCs/>
                <w:color w:val="000000" w:themeColor="text1"/>
                <w:sz w:val="18"/>
                <w:szCs w:val="18"/>
                <w:lang w:val="sq-AL"/>
              </w:rPr>
            </w:pPr>
            <w:r w:rsidRPr="00014EEB">
              <w:rPr>
                <w:rStyle w:val="Strong"/>
                <w:rFonts w:ascii="Garamond" w:hAnsi="Garamond"/>
                <w:color w:val="000000" w:themeColor="text1"/>
                <w:sz w:val="18"/>
                <w:szCs w:val="18"/>
                <w:lang w:val="sq-AL"/>
              </w:rPr>
              <w:t>Menaxhimi i tërthortë me entitete të vlerësuara sipas shtyllave – shihni seksionin 4.3.3</w:t>
            </w:r>
          </w:p>
        </w:tc>
        <w:tc>
          <w:tcPr>
            <w:tcW w:w="857" w:type="pct"/>
            <w:gridSpan w:val="2"/>
            <w:vAlign w:val="center"/>
            <w:hideMark/>
          </w:tcPr>
          <w:p w14:paraId="5681FFD3" w14:textId="2035F607"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17,000,000.00 </w:t>
            </w:r>
          </w:p>
        </w:tc>
        <w:tc>
          <w:tcPr>
            <w:tcW w:w="1039" w:type="pct"/>
            <w:vAlign w:val="center"/>
            <w:hideMark/>
          </w:tcPr>
          <w:p w14:paraId="544030D8" w14:textId="24437A98"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19,950,000.00 </w:t>
            </w:r>
          </w:p>
        </w:tc>
        <w:tc>
          <w:tcPr>
            <w:tcW w:w="791" w:type="pct"/>
            <w:vAlign w:val="center"/>
            <w:hideMark/>
          </w:tcPr>
          <w:p w14:paraId="3D9EBD96" w14:textId="0E7534D6"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26,237,000.00 </w:t>
            </w:r>
          </w:p>
        </w:tc>
        <w:tc>
          <w:tcPr>
            <w:tcW w:w="989" w:type="pct"/>
            <w:vAlign w:val="center"/>
            <w:hideMark/>
          </w:tcPr>
          <w:p w14:paraId="0DDC0BA5" w14:textId="4C0F25E1" w:rsidR="00B06BDA" w:rsidRPr="00014EEB" w:rsidRDefault="000F72F0"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00B06BDA" w:rsidRPr="00014EEB">
              <w:rPr>
                <w:rFonts w:ascii="Garamond" w:hAnsi="Garamond"/>
                <w:color w:val="000000" w:themeColor="text1"/>
                <w:sz w:val="18"/>
                <w:szCs w:val="18"/>
                <w:lang w:val="sq-AL"/>
              </w:rPr>
              <w:t xml:space="preserve">63,187,000.00 </w:t>
            </w:r>
          </w:p>
        </w:tc>
      </w:tr>
      <w:tr w:rsidR="00B06BDA" w:rsidRPr="00014EEB" w14:paraId="285B34B1" w14:textId="77777777" w:rsidTr="00CC1C79">
        <w:trPr>
          <w:trHeight w:val="20"/>
        </w:trPr>
        <w:tc>
          <w:tcPr>
            <w:tcW w:w="1316" w:type="pct"/>
            <w:hideMark/>
          </w:tcPr>
          <w:p w14:paraId="138A36BB" w14:textId="77777777" w:rsidR="00B06BDA" w:rsidRPr="00014EEB" w:rsidRDefault="00B06BDA" w:rsidP="00CC4E19">
            <w:pPr>
              <w:rPr>
                <w:rFonts w:ascii="Garamond" w:hAnsi="Garamond"/>
                <w:b/>
                <w:bCs/>
                <w:color w:val="000000" w:themeColor="text1"/>
                <w:sz w:val="18"/>
                <w:szCs w:val="18"/>
                <w:lang w:val="sq-AL"/>
              </w:rPr>
            </w:pPr>
            <w:r w:rsidRPr="00014EEB">
              <w:rPr>
                <w:rStyle w:val="Strong"/>
                <w:rFonts w:ascii="Garamond" w:hAnsi="Garamond"/>
                <w:color w:val="000000" w:themeColor="text1"/>
                <w:sz w:val="18"/>
                <w:szCs w:val="18"/>
                <w:lang w:val="sq-AL"/>
              </w:rPr>
              <w:t>Vlerësimi – shihni seksionin 5.2</w:t>
            </w:r>
          </w:p>
        </w:tc>
        <w:tc>
          <w:tcPr>
            <w:tcW w:w="857" w:type="pct"/>
            <w:gridSpan w:val="2"/>
            <w:vAlign w:val="center"/>
            <w:hideMark/>
          </w:tcPr>
          <w:p w14:paraId="38626CFD"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1039" w:type="pct"/>
            <w:hideMark/>
          </w:tcPr>
          <w:p w14:paraId="32FC0392"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791" w:type="pct"/>
            <w:hideMark/>
          </w:tcPr>
          <w:p w14:paraId="0921D3D4"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989" w:type="pct"/>
            <w:hideMark/>
          </w:tcPr>
          <w:p w14:paraId="71C8330C"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r>
      <w:tr w:rsidR="00B06BDA" w:rsidRPr="00014EEB" w14:paraId="2D743494" w14:textId="77777777" w:rsidTr="00CC1C79">
        <w:trPr>
          <w:trHeight w:val="20"/>
        </w:trPr>
        <w:tc>
          <w:tcPr>
            <w:tcW w:w="1316" w:type="pct"/>
            <w:hideMark/>
          </w:tcPr>
          <w:p w14:paraId="4E014257" w14:textId="77777777" w:rsidR="00B06BDA" w:rsidRPr="00014EEB" w:rsidRDefault="00B06BDA" w:rsidP="00CC4E19">
            <w:pPr>
              <w:rPr>
                <w:rFonts w:ascii="Garamond" w:hAnsi="Garamond"/>
                <w:b/>
                <w:bCs/>
                <w:color w:val="000000" w:themeColor="text1"/>
                <w:sz w:val="18"/>
                <w:szCs w:val="18"/>
                <w:lang w:val="sq-AL"/>
              </w:rPr>
            </w:pPr>
            <w:r w:rsidRPr="00014EEB">
              <w:rPr>
                <w:rStyle w:val="Strong"/>
                <w:rFonts w:ascii="Garamond" w:hAnsi="Garamond"/>
                <w:color w:val="000000" w:themeColor="text1"/>
                <w:sz w:val="18"/>
                <w:szCs w:val="18"/>
                <w:lang w:val="sq-AL"/>
              </w:rPr>
              <w:t>Auditimi dhe verifikimi – shihni seksionin 6</w:t>
            </w:r>
          </w:p>
        </w:tc>
        <w:tc>
          <w:tcPr>
            <w:tcW w:w="857" w:type="pct"/>
            <w:gridSpan w:val="2"/>
            <w:hideMark/>
          </w:tcPr>
          <w:p w14:paraId="215AEDDB"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1039" w:type="pct"/>
            <w:hideMark/>
          </w:tcPr>
          <w:p w14:paraId="3863B3C4"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791" w:type="pct"/>
            <w:hideMark/>
          </w:tcPr>
          <w:p w14:paraId="63F42B6F"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989" w:type="pct"/>
            <w:hideMark/>
          </w:tcPr>
          <w:p w14:paraId="29333B3C"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r>
      <w:tr w:rsidR="00B06BDA" w:rsidRPr="00014EEB" w14:paraId="3BFEE2D5" w14:textId="77777777" w:rsidTr="00CC1C79">
        <w:trPr>
          <w:trHeight w:val="20"/>
        </w:trPr>
        <w:tc>
          <w:tcPr>
            <w:tcW w:w="1316" w:type="pct"/>
            <w:hideMark/>
          </w:tcPr>
          <w:p w14:paraId="5E11EC0D" w14:textId="77777777" w:rsidR="00B06BDA" w:rsidRPr="00014EEB" w:rsidRDefault="00B06BDA" w:rsidP="00CC4E19">
            <w:pPr>
              <w:rPr>
                <w:rFonts w:ascii="Garamond" w:hAnsi="Garamond"/>
                <w:b/>
                <w:bCs/>
                <w:color w:val="000000" w:themeColor="text1"/>
                <w:sz w:val="18"/>
                <w:szCs w:val="18"/>
                <w:lang w:val="sq-AL"/>
              </w:rPr>
            </w:pPr>
            <w:r w:rsidRPr="00014EEB">
              <w:rPr>
                <w:rStyle w:val="Strong"/>
                <w:rFonts w:ascii="Garamond" w:hAnsi="Garamond"/>
                <w:color w:val="000000" w:themeColor="text1"/>
                <w:sz w:val="18"/>
                <w:szCs w:val="18"/>
                <w:lang w:val="sq-AL"/>
              </w:rPr>
              <w:t>Komunikimi strategjik dhe diplomacia publike – shihni seksionin 7</w:t>
            </w:r>
          </w:p>
        </w:tc>
        <w:tc>
          <w:tcPr>
            <w:tcW w:w="857" w:type="pct"/>
            <w:gridSpan w:val="2"/>
            <w:hideMark/>
          </w:tcPr>
          <w:p w14:paraId="7099AA34"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1039" w:type="pct"/>
            <w:hideMark/>
          </w:tcPr>
          <w:p w14:paraId="522373EB"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791" w:type="pct"/>
            <w:hideMark/>
          </w:tcPr>
          <w:p w14:paraId="3522CEEC"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989" w:type="pct"/>
            <w:hideMark/>
          </w:tcPr>
          <w:p w14:paraId="1368F154"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r>
      <w:tr w:rsidR="00B06BDA" w:rsidRPr="00014EEB" w14:paraId="2A9B77C1" w14:textId="77777777" w:rsidTr="00CC1C79">
        <w:trPr>
          <w:trHeight w:val="20"/>
        </w:trPr>
        <w:tc>
          <w:tcPr>
            <w:tcW w:w="1316" w:type="pct"/>
            <w:hideMark/>
          </w:tcPr>
          <w:p w14:paraId="3C50CB83" w14:textId="77777777" w:rsidR="00B06BDA" w:rsidRPr="00014EEB" w:rsidRDefault="00B06BDA" w:rsidP="00CC4E19">
            <w:pPr>
              <w:rPr>
                <w:rFonts w:ascii="Garamond" w:hAnsi="Garamond"/>
                <w:color w:val="000000" w:themeColor="text1"/>
                <w:sz w:val="18"/>
                <w:szCs w:val="18"/>
                <w:lang w:val="sq-AL"/>
              </w:rPr>
            </w:pPr>
            <w:r w:rsidRPr="00014EEB">
              <w:rPr>
                <w:rFonts w:ascii="Garamond" w:hAnsi="Garamond"/>
                <w:color w:val="000000" w:themeColor="text1"/>
                <w:sz w:val="18"/>
                <w:szCs w:val="18"/>
                <w:lang w:val="sq-AL"/>
              </w:rPr>
              <w:t xml:space="preserve"> </w:t>
            </w:r>
            <w:r w:rsidRPr="00014EEB">
              <w:rPr>
                <w:rStyle w:val="Strong"/>
                <w:rFonts w:ascii="Garamond" w:hAnsi="Garamond"/>
                <w:color w:val="000000" w:themeColor="text1"/>
                <w:sz w:val="18"/>
                <w:szCs w:val="18"/>
                <w:lang w:val="sq-AL"/>
              </w:rPr>
              <w:t>Kontigjencat</w:t>
            </w:r>
          </w:p>
        </w:tc>
        <w:tc>
          <w:tcPr>
            <w:tcW w:w="857" w:type="pct"/>
            <w:gridSpan w:val="2"/>
            <w:vAlign w:val="center"/>
            <w:hideMark/>
          </w:tcPr>
          <w:p w14:paraId="029C3B08"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1039" w:type="pct"/>
            <w:hideMark/>
          </w:tcPr>
          <w:p w14:paraId="3E915E99"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791" w:type="pct"/>
            <w:hideMark/>
          </w:tcPr>
          <w:p w14:paraId="69E6F25E"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c>
          <w:tcPr>
            <w:tcW w:w="989" w:type="pct"/>
            <w:vAlign w:val="center"/>
            <w:hideMark/>
          </w:tcPr>
          <w:p w14:paraId="5BECE85F" w14:textId="77777777" w:rsidR="00B06BDA" w:rsidRPr="00014EEB" w:rsidRDefault="00B06BDA" w:rsidP="00CC4E19">
            <w:pPr>
              <w:jc w:val="right"/>
              <w:rPr>
                <w:rFonts w:ascii="Garamond" w:hAnsi="Garamond"/>
                <w:color w:val="000000" w:themeColor="text1"/>
                <w:sz w:val="18"/>
                <w:szCs w:val="18"/>
                <w:lang w:val="sq-AL"/>
              </w:rPr>
            </w:pPr>
            <w:r w:rsidRPr="00014EEB">
              <w:rPr>
                <w:rFonts w:ascii="Garamond" w:hAnsi="Garamond"/>
                <w:color w:val="000000" w:themeColor="text1"/>
                <w:sz w:val="18"/>
                <w:szCs w:val="18"/>
                <w:lang w:val="sq-AL"/>
              </w:rPr>
              <w:t>E pazbatueshme</w:t>
            </w:r>
          </w:p>
        </w:tc>
      </w:tr>
      <w:tr w:rsidR="00B06BDA" w:rsidRPr="00014EEB" w14:paraId="4AE4D365" w14:textId="77777777" w:rsidTr="00CC1C79">
        <w:trPr>
          <w:trHeight w:val="20"/>
        </w:trPr>
        <w:tc>
          <w:tcPr>
            <w:tcW w:w="1316" w:type="pct"/>
            <w:hideMark/>
          </w:tcPr>
          <w:p w14:paraId="294DE887" w14:textId="77777777" w:rsidR="00B06BDA" w:rsidRPr="00014EEB" w:rsidRDefault="00B06BDA" w:rsidP="00CC4E19">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Totali</w:t>
            </w:r>
          </w:p>
        </w:tc>
        <w:tc>
          <w:tcPr>
            <w:tcW w:w="857" w:type="pct"/>
            <w:gridSpan w:val="2"/>
            <w:vAlign w:val="center"/>
            <w:hideMark/>
          </w:tcPr>
          <w:p w14:paraId="2CDE4C79" w14:textId="77777777" w:rsidR="00B06BDA" w:rsidRPr="00014EEB" w:rsidRDefault="00B06BDA" w:rsidP="00CC4E19">
            <w:pPr>
              <w:jc w:val="center"/>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 xml:space="preserve">33,563,000.00 </w:t>
            </w:r>
          </w:p>
        </w:tc>
        <w:tc>
          <w:tcPr>
            <w:tcW w:w="1039" w:type="pct"/>
            <w:vAlign w:val="center"/>
            <w:hideMark/>
          </w:tcPr>
          <w:p w14:paraId="67289818" w14:textId="77777777" w:rsidR="00B06BDA" w:rsidRPr="00014EEB" w:rsidRDefault="00B06BDA" w:rsidP="00CC4E19">
            <w:pPr>
              <w:jc w:val="right"/>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 xml:space="preserve">30,000,000.00 </w:t>
            </w:r>
          </w:p>
        </w:tc>
        <w:tc>
          <w:tcPr>
            <w:tcW w:w="791" w:type="pct"/>
            <w:vAlign w:val="center"/>
            <w:hideMark/>
          </w:tcPr>
          <w:p w14:paraId="1B5FBE44" w14:textId="77777777" w:rsidR="00B06BDA" w:rsidRPr="00014EEB" w:rsidRDefault="00B06BDA" w:rsidP="00CC4E19">
            <w:pPr>
              <w:jc w:val="right"/>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 xml:space="preserve">36,437,000.00 </w:t>
            </w:r>
          </w:p>
        </w:tc>
        <w:tc>
          <w:tcPr>
            <w:tcW w:w="989" w:type="pct"/>
            <w:vAlign w:val="center"/>
            <w:hideMark/>
          </w:tcPr>
          <w:p w14:paraId="4312FF9C" w14:textId="77777777" w:rsidR="00B06BDA" w:rsidRPr="00014EEB" w:rsidRDefault="00B06BDA" w:rsidP="00CC4E19">
            <w:pPr>
              <w:jc w:val="right"/>
              <w:rPr>
                <w:rFonts w:ascii="Garamond" w:hAnsi="Garamond"/>
                <w:b/>
                <w:bCs/>
                <w:color w:val="000000" w:themeColor="text1"/>
                <w:sz w:val="18"/>
                <w:szCs w:val="18"/>
                <w:lang w:val="sq-AL"/>
              </w:rPr>
            </w:pPr>
            <w:r w:rsidRPr="00014EEB">
              <w:rPr>
                <w:rFonts w:ascii="Garamond" w:hAnsi="Garamond"/>
                <w:b/>
                <w:bCs/>
                <w:color w:val="000000" w:themeColor="text1"/>
                <w:sz w:val="18"/>
                <w:szCs w:val="18"/>
                <w:lang w:val="sq-AL"/>
              </w:rPr>
              <w:t xml:space="preserve">100,000,000.00 </w:t>
            </w:r>
          </w:p>
        </w:tc>
      </w:tr>
    </w:tbl>
    <w:p w14:paraId="478EADB8" w14:textId="77777777" w:rsidR="00B06BDA" w:rsidRPr="0036019C" w:rsidRDefault="00B06BDA" w:rsidP="00B06BDA">
      <w:pPr>
        <w:ind w:firstLine="284"/>
        <w:jc w:val="both"/>
        <w:rPr>
          <w:rFonts w:ascii="Garamond" w:hAnsi="Garamond"/>
          <w:color w:val="000000" w:themeColor="text1"/>
          <w:lang w:val="sq-AL"/>
        </w:rPr>
      </w:pPr>
    </w:p>
    <w:p w14:paraId="47AB587D" w14:textId="77777777" w:rsidR="00B06BDA" w:rsidRPr="0036019C" w:rsidRDefault="00B06BDA" w:rsidP="00CC4E19">
      <w:pPr>
        <w:pStyle w:val="TEKSTIIIII"/>
        <w:rPr>
          <w:b/>
        </w:rPr>
      </w:pPr>
      <w:bookmarkStart w:id="14" w:name="_Toc391992328"/>
      <w:bookmarkStart w:id="15" w:name="_Toc391999078"/>
      <w:r w:rsidRPr="0036019C">
        <w:rPr>
          <w:b/>
        </w:rPr>
        <w:t>5. MATJA E PERFORMANCËS</w:t>
      </w:r>
    </w:p>
    <w:p w14:paraId="136E9BCA" w14:textId="1FDB49EC" w:rsidR="00B06BDA" w:rsidRPr="0036019C" w:rsidRDefault="00B06BDA" w:rsidP="00CC4E19">
      <w:pPr>
        <w:pStyle w:val="TEKSTIIIII"/>
        <w:rPr>
          <w:b/>
        </w:rPr>
      </w:pPr>
      <w:bookmarkStart w:id="16" w:name="_Toc511058505"/>
      <w:bookmarkStart w:id="17" w:name="_Toc511232425"/>
      <w:bookmarkStart w:id="18" w:name="_Toc518990942"/>
      <w:bookmarkStart w:id="19" w:name="_Toc518991018"/>
      <w:r w:rsidRPr="0036019C">
        <w:rPr>
          <w:b/>
        </w:rPr>
        <w:t>5.1</w:t>
      </w:r>
      <w:bookmarkEnd w:id="16"/>
      <w:bookmarkEnd w:id="17"/>
      <w:bookmarkEnd w:id="18"/>
      <w:bookmarkEnd w:id="19"/>
      <w:r w:rsidR="00CC4E19" w:rsidRPr="0036019C">
        <w:rPr>
          <w:b/>
        </w:rPr>
        <w:t xml:space="preserve"> </w:t>
      </w:r>
      <w:r w:rsidRPr="0036019C">
        <w:rPr>
          <w:b/>
        </w:rPr>
        <w:t>Monitorimi dhe raportimi</w:t>
      </w:r>
    </w:p>
    <w:p w14:paraId="155B48D6" w14:textId="77777777" w:rsidR="00B06BDA" w:rsidRPr="0036019C" w:rsidRDefault="00B06BDA" w:rsidP="00B06BDA">
      <w:pPr>
        <w:ind w:firstLine="284"/>
        <w:jc w:val="both"/>
        <w:rPr>
          <w:rFonts w:ascii="Garamond" w:eastAsia="Arial Unicode MS" w:hAnsi="Garamond"/>
          <w:color w:val="000000" w:themeColor="text1"/>
          <w:lang w:val="sq-AL" w:eastAsia="de-DE"/>
        </w:rPr>
      </w:pPr>
      <w:r w:rsidRPr="0036019C">
        <w:rPr>
          <w:rFonts w:ascii="Garamond" w:hAnsi="Garamond"/>
          <w:color w:val="000000" w:themeColor="text1"/>
          <w:lang w:val="sq-AL"/>
        </w:rPr>
        <w:t>Aktivitetet e monitorimit të kryera për këtë veprim do të synojnë të identifikojnë sukseset, problemet dhe/ose rreziqet e mundshme, në mënyrë që të merren masat korrigjuese në kohën e duhur. Të dy llojet e monitorimit të brendshëm do të kryhen në mënyrë gjithëpërfshirëse, duke përfshirë aktorët kyç</w:t>
      </w:r>
      <w:r w:rsidRPr="0036019C">
        <w:rPr>
          <w:rFonts w:ascii="Garamond" w:eastAsia="Arial Unicode MS" w:hAnsi="Garamond"/>
          <w:color w:val="000000" w:themeColor="text1"/>
          <w:lang w:val="sq-AL" w:eastAsia="de-DE"/>
        </w:rPr>
        <w:t>.</w:t>
      </w:r>
      <w:bookmarkStart w:id="20" w:name="_Toc511058506"/>
      <w:bookmarkStart w:id="21" w:name="_Toc511232426"/>
      <w:bookmarkStart w:id="22" w:name="_Toc518990943"/>
      <w:bookmarkStart w:id="23" w:name="_Toc518991019"/>
    </w:p>
    <w:bookmarkEnd w:id="20"/>
    <w:bookmarkEnd w:id="21"/>
    <w:bookmarkEnd w:id="22"/>
    <w:bookmarkEnd w:id="23"/>
    <w:p w14:paraId="6A05F2E9" w14:textId="77777777" w:rsidR="00B06BDA" w:rsidRPr="0036019C" w:rsidRDefault="00B06BDA" w:rsidP="00B06BDA">
      <w:pPr>
        <w:ind w:firstLine="284"/>
        <w:jc w:val="both"/>
        <w:rPr>
          <w:rFonts w:ascii="Garamond" w:eastAsia="Arial Unicode MS" w:hAnsi="Garamond"/>
          <w:bCs/>
          <w:i/>
          <w:color w:val="000000" w:themeColor="text1"/>
          <w:lang w:val="sq-AL" w:eastAsia="de-DE"/>
        </w:rPr>
      </w:pPr>
      <w:r w:rsidRPr="0036019C">
        <w:rPr>
          <w:rFonts w:ascii="Garamond" w:eastAsia="Arial Unicode MS" w:hAnsi="Garamond"/>
          <w:bCs/>
          <w:i/>
          <w:color w:val="000000" w:themeColor="text1"/>
          <w:lang w:val="sq-AL" w:eastAsia="de-DE"/>
        </w:rPr>
        <w:t>Monitorimi i brendshëm</w:t>
      </w:r>
    </w:p>
    <w:p w14:paraId="0144C531" w14:textId="77777777" w:rsidR="00B06BDA" w:rsidRPr="0036019C" w:rsidRDefault="00B06BDA" w:rsidP="00B06BDA">
      <w:pPr>
        <w:ind w:firstLine="284"/>
        <w:jc w:val="both"/>
        <w:rPr>
          <w:rFonts w:ascii="Garamond" w:eastAsia="Arial Unicode MS" w:hAnsi="Garamond"/>
          <w:color w:val="000000" w:themeColor="text1"/>
          <w:lang w:val="sq-AL" w:eastAsia="de-DE"/>
        </w:rPr>
      </w:pPr>
      <w:r w:rsidRPr="0036019C">
        <w:rPr>
          <w:rFonts w:ascii="Garamond" w:hAnsi="Garamond"/>
          <w:color w:val="000000" w:themeColor="text1"/>
          <w:lang w:val="sq-AL"/>
        </w:rPr>
        <w:t>Monitorimi teknik dhe financiar i përditshëm i zbatimit të këtij veprimi ose pjesëve të veprimit, do të jetë një proces i vazhdueshëm dhe pjesë e përgjegjësive të partnerëve zbatues dhe të Komisionit</w:t>
      </w:r>
      <w:r w:rsidRPr="0036019C">
        <w:rPr>
          <w:rFonts w:ascii="Garamond" w:eastAsia="Arial Unicode MS" w:hAnsi="Garamond"/>
          <w:color w:val="000000" w:themeColor="text1"/>
          <w:lang w:val="sq-AL" w:eastAsia="de-DE"/>
        </w:rPr>
        <w:t xml:space="preserve">. </w:t>
      </w:r>
    </w:p>
    <w:p w14:paraId="464D9588" w14:textId="77777777" w:rsidR="00B06BDA" w:rsidRPr="0036019C" w:rsidRDefault="00B06BDA" w:rsidP="00B06BDA">
      <w:pPr>
        <w:keepNext/>
        <w:numPr>
          <w:ilvl w:val="2"/>
          <w:numId w:val="0"/>
        </w:numPr>
        <w:tabs>
          <w:tab w:val="num" w:pos="426"/>
        </w:tabs>
        <w:ind w:firstLine="284"/>
        <w:jc w:val="both"/>
        <w:outlineLvl w:val="2"/>
        <w:rPr>
          <w:rFonts w:ascii="Garamond" w:eastAsia="Arial Unicode MS" w:hAnsi="Garamond"/>
          <w:bCs/>
          <w:i/>
          <w:iCs/>
          <w:color w:val="000000" w:themeColor="text1"/>
          <w:lang w:val="sq-AL" w:eastAsia="de-DE"/>
        </w:rPr>
      </w:pPr>
      <w:r w:rsidRPr="0036019C">
        <w:rPr>
          <w:rFonts w:ascii="Garamond" w:hAnsi="Garamond"/>
          <w:i/>
          <w:iCs/>
          <w:color w:val="000000" w:themeColor="text1"/>
          <w:lang w:val="sq-AL"/>
        </w:rPr>
        <w:t>Monitorimi i jashtëm</w:t>
      </w:r>
    </w:p>
    <w:p w14:paraId="296E6D1B" w14:textId="77777777" w:rsidR="00B06BDA" w:rsidRPr="0036019C" w:rsidRDefault="00B06BDA" w:rsidP="00B06BDA">
      <w:pPr>
        <w:ind w:firstLine="284"/>
        <w:jc w:val="both"/>
        <w:rPr>
          <w:rFonts w:ascii="Garamond" w:eastAsia="Arial Unicode MS" w:hAnsi="Garamond"/>
          <w:color w:val="000000" w:themeColor="text1"/>
          <w:lang w:val="sq-AL" w:eastAsia="de-DE"/>
        </w:rPr>
      </w:pPr>
      <w:r w:rsidRPr="0036019C">
        <w:rPr>
          <w:rFonts w:ascii="Garamond" w:hAnsi="Garamond"/>
          <w:color w:val="000000" w:themeColor="text1"/>
          <w:lang w:val="sq-AL"/>
        </w:rPr>
        <w:t>Sipas rregullave dhe procedurave të Komisionit, Komisioni mund të kryejë monitorim shtesë nëpërmjet konsulentëve të jashtëm të pavarur të angazhuar nga Komisioni. Monitorimi i jashtëm mbështetet nga të dy llojet e monitorimit të brendshëm të përshkruara më sipër.</w:t>
      </w:r>
      <w:bookmarkStart w:id="24" w:name="_Toc511058509"/>
      <w:bookmarkStart w:id="25" w:name="_Toc511232429"/>
      <w:bookmarkStart w:id="26" w:name="_Toc518990946"/>
      <w:bookmarkStart w:id="27" w:name="_Toc518991022"/>
    </w:p>
    <w:p w14:paraId="0C5C7CEE" w14:textId="7E6FD849" w:rsidR="00B06BDA" w:rsidRPr="0036019C" w:rsidRDefault="00B06BDA" w:rsidP="00CC4E19">
      <w:pPr>
        <w:pStyle w:val="TEKSTIIIII"/>
        <w:rPr>
          <w:b/>
          <w:bCs/>
        </w:rPr>
      </w:pPr>
      <w:r w:rsidRPr="0036019C">
        <w:rPr>
          <w:b/>
        </w:rPr>
        <w:t>5.2</w:t>
      </w:r>
      <w:bookmarkEnd w:id="24"/>
      <w:bookmarkEnd w:id="25"/>
      <w:bookmarkEnd w:id="26"/>
      <w:bookmarkEnd w:id="27"/>
      <w:r w:rsidR="00CC4E19" w:rsidRPr="0036019C">
        <w:rPr>
          <w:b/>
        </w:rPr>
        <w:t xml:space="preserve"> </w:t>
      </w:r>
      <w:r w:rsidRPr="0036019C">
        <w:rPr>
          <w:b/>
        </w:rPr>
        <w:t>Vlerësimi</w:t>
      </w:r>
    </w:p>
    <w:bookmarkEnd w:id="14"/>
    <w:bookmarkEnd w:id="15"/>
    <w:p w14:paraId="53315AF3"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 xml:space="preserve">Komisioni mund të kryejë një vlerësim afatmesëm, përfundimtar ose </w:t>
      </w:r>
      <w:r w:rsidRPr="0036019C">
        <w:rPr>
          <w:rFonts w:ascii="Garamond" w:hAnsi="Garamond"/>
          <w:i/>
          <w:color w:val="000000" w:themeColor="text1"/>
          <w:lang w:val="sq-AL"/>
        </w:rPr>
        <w:t>ex post</w:t>
      </w:r>
      <w:r w:rsidRPr="0036019C">
        <w:rPr>
          <w:rFonts w:ascii="Garamond" w:hAnsi="Garamond"/>
          <w:color w:val="000000" w:themeColor="text1"/>
          <w:lang w:val="sq-AL"/>
        </w:rPr>
        <w:t xml:space="preserve"> për këtë veprim ose pjesë të veprimit. Në rast se një vlerësim afatmesëm ose përfundimtar nuk është parashikuar, Komisioni, gjatë zbatimit, mund të vendosë të kryejë një vlerësim të tillë për arsye bindëse, qoftë me vendimin e tij, qoftë me iniciativë të Qeverisë së Shqipërisë. Sipas udhëzimeve të Better Regulation</w:t>
      </w:r>
      <w:r w:rsidRPr="0036019C">
        <w:rPr>
          <w:rStyle w:val="FootnoteReference"/>
          <w:rFonts w:ascii="Garamond" w:hAnsi="Garamond"/>
          <w:color w:val="000000" w:themeColor="text1"/>
          <w:lang w:val="sq-AL"/>
        </w:rPr>
        <w:footnoteReference w:id="32"/>
      </w:r>
      <w:r w:rsidRPr="0036019C">
        <w:rPr>
          <w:rFonts w:ascii="Garamond" w:hAnsi="Garamond"/>
          <w:color w:val="000000" w:themeColor="text1"/>
          <w:lang w:val="sq-AL"/>
        </w:rPr>
        <w:t xml:space="preserve"> (Rregullimit më të Mirë) vlerësimet mund të identifikohen si rezultat i vendimeve të reja strategjike ose reagimeve të rëndësishme (negative) mbi performancën (p.sh. probleme në zbatim, gjetje nga rezultatet e monitorimit, ankesa ose shkelje, raporte auditimi).</w:t>
      </w:r>
    </w:p>
    <w:p w14:paraId="277B07BA" w14:textId="30861EFC"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lastRenderedPageBreak/>
        <w:t>Në frymën e partneritetit, shërbimet e Komisionit dhe Qeveria e Shqipërisë, si dhe aktorë kyç të tjerë, mund të kryejnë</w:t>
      </w:r>
      <w:r w:rsidR="00C347BB">
        <w:rPr>
          <w:rFonts w:ascii="Garamond" w:hAnsi="Garamond"/>
          <w:color w:val="000000" w:themeColor="text1"/>
          <w:lang w:val="sq-AL"/>
        </w:rPr>
        <w:t>,</w:t>
      </w:r>
      <w:r w:rsidRPr="0036019C">
        <w:rPr>
          <w:rFonts w:ascii="Garamond" w:hAnsi="Garamond"/>
          <w:color w:val="000000" w:themeColor="text1"/>
          <w:lang w:val="sq-AL"/>
        </w:rPr>
        <w:t xml:space="preserve"> gjithashtu</w:t>
      </w:r>
      <w:r w:rsidR="00C347BB">
        <w:rPr>
          <w:rFonts w:ascii="Garamond" w:hAnsi="Garamond"/>
          <w:color w:val="000000" w:themeColor="text1"/>
          <w:lang w:val="sq-AL"/>
        </w:rPr>
        <w:t>,</w:t>
      </w:r>
      <w:r w:rsidRPr="0036019C">
        <w:rPr>
          <w:rFonts w:ascii="Garamond" w:hAnsi="Garamond"/>
          <w:color w:val="000000" w:themeColor="text1"/>
          <w:lang w:val="sq-AL"/>
        </w:rPr>
        <w:t xml:space="preserve"> vlerësime të përbashkëta.</w:t>
      </w:r>
    </w:p>
    <w:p w14:paraId="35E4302E"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Qeveria e Shqipërisë dhe aktorët e tjerë kyç do të kontribuojnë dhe do të sigurojnë informacionin e nevojshëm për ushtrimet e ndryshme të vlerësimit. Pas dakordësisë midis palëve, raportet e vlerësimit mund të bëhen publike për të lejuar aktorët përkatës, duke përfshirë përfaqësuesit e shoqërisë civile, të shprehin mendimet e tyre, duke kontribuar kështu në funksionin e llogaridhënies së vlerësimit.</w:t>
      </w:r>
    </w:p>
    <w:p w14:paraId="0E1924BD" w14:textId="5E8DD566"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Si rezultat i një vlerësimi, dhe kur është e nevojshme, në marrëveshje me Qeverinë e Shqipërisë, Komisioni dhe partneri zbatues vendosin së bashku për veprimet pasuese që duhen ndërmarrë dhe çdo rregullim të nevojshëm, duke përfshirë, nëse</w:t>
      </w:r>
      <w:r w:rsidR="000F72F0" w:rsidRPr="0036019C">
        <w:rPr>
          <w:rFonts w:ascii="Garamond" w:hAnsi="Garamond"/>
          <w:color w:val="000000" w:themeColor="text1"/>
          <w:lang w:val="sq-AL"/>
        </w:rPr>
        <w:t xml:space="preserve"> </w:t>
      </w:r>
      <w:r w:rsidRPr="0036019C">
        <w:rPr>
          <w:rFonts w:ascii="Garamond" w:hAnsi="Garamond"/>
          <w:color w:val="000000" w:themeColor="text1"/>
          <w:lang w:val="sq-AL"/>
        </w:rPr>
        <w:t>specifikohet, riorientimin e komponentëve përkatës.</w:t>
      </w:r>
    </w:p>
    <w:p w14:paraId="75A319D5" w14:textId="77777777" w:rsidR="00B06BDA" w:rsidRPr="0036019C" w:rsidRDefault="00B06BDA" w:rsidP="00CC4E19">
      <w:pPr>
        <w:pStyle w:val="TEKSTIIIII"/>
        <w:rPr>
          <w:b/>
        </w:rPr>
      </w:pPr>
      <w:r w:rsidRPr="0036019C">
        <w:rPr>
          <w:b/>
        </w:rPr>
        <w:t>5. AUDITIMI DHE VERIFIKIMET</w:t>
      </w:r>
    </w:p>
    <w:p w14:paraId="0D2302E8" w14:textId="20FD42CC"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Pa c</w:t>
      </w:r>
      <w:r w:rsidR="00014EEB">
        <w:rPr>
          <w:rFonts w:ascii="Garamond" w:hAnsi="Garamond"/>
          <w:color w:val="000000" w:themeColor="text1"/>
          <w:lang w:val="sq-AL"/>
        </w:rPr>
        <w:t>e</w:t>
      </w:r>
      <w:r w:rsidRPr="0036019C">
        <w:rPr>
          <w:rFonts w:ascii="Garamond" w:hAnsi="Garamond"/>
          <w:color w:val="000000" w:themeColor="text1"/>
          <w:lang w:val="sq-AL"/>
        </w:rPr>
        <w:t xml:space="preserve">nuar detyrimet që zbatohen për kontratat e lidhura për realizimin e ndërhyrjeve në kuadër të këtij veprimi, Komisioni, mbi bazën e një vlerësimi të rrezikut, mund të kontraktojë auditime ose detyra verifikimi të pavarura për një ose më shumë kontrata ose marrëveshje të lidhura për ndërhyrje ose pjesë të tyre që rrjedhin nga ky veprim. </w:t>
      </w:r>
    </w:p>
    <w:p w14:paraId="133341F2" w14:textId="77777777" w:rsidR="00B06BDA" w:rsidRPr="0036019C" w:rsidRDefault="00B06BDA" w:rsidP="00CC4E19">
      <w:pPr>
        <w:pStyle w:val="TEKSTIIIII"/>
        <w:rPr>
          <w:b/>
        </w:rPr>
      </w:pPr>
      <w:r w:rsidRPr="0036019C">
        <w:rPr>
          <w:b/>
        </w:rPr>
        <w:t>6. KOMUNIKIMI STRATEGJIK DHE DIPLOMACIA PUBLIKE</w:t>
      </w:r>
    </w:p>
    <w:p w14:paraId="30759537" w14:textId="77777777" w:rsidR="00B06BDA" w:rsidRPr="0036019C" w:rsidRDefault="00B06BDA" w:rsidP="00B06BDA">
      <w:pPr>
        <w:pStyle w:val="NormalWeb"/>
        <w:spacing w:before="0" w:beforeAutospacing="0" w:after="0" w:afterAutospacing="0"/>
        <w:ind w:firstLine="284"/>
        <w:rPr>
          <w:rFonts w:ascii="Garamond" w:hAnsi="Garamond"/>
          <w:color w:val="000000" w:themeColor="text1"/>
          <w:lang w:val="sq-AL" w:eastAsia="en-US"/>
        </w:rPr>
      </w:pPr>
      <w:r w:rsidRPr="0036019C">
        <w:rPr>
          <w:rFonts w:ascii="Garamond" w:hAnsi="Garamond"/>
          <w:color w:val="000000" w:themeColor="text1"/>
          <w:lang w:val="sq-AL" w:eastAsia="en-US"/>
        </w:rPr>
        <w:t xml:space="preserve">Të gjitha entitetet që zbatojnë ndërhyrje të jashtme të financuara nga BE-ja, kanë detyrimin kontraktual që të informojnë audiencat përkatëse mbi mbështetjen e Bashkimit për punën e tyre, duke vendosur emblemën e BE-së dhe një deklaratë të shkurtër për financimin, sipas rastit, në të gjitha materialet e komunikimit që lidhen me ndërhyrjet përkatëse. Për këtë qëllim, ato duhet të respektojnë udhëzimet e dhëna në dokumentin udhëzues të vitit 2022 </w:t>
      </w:r>
      <w:r w:rsidRPr="0036019C">
        <w:rPr>
          <w:rFonts w:ascii="Garamond" w:hAnsi="Garamond"/>
          <w:i/>
          <w:iCs/>
          <w:color w:val="000000" w:themeColor="text1"/>
          <w:lang w:val="sq-AL"/>
        </w:rPr>
        <w:t>Komunikimi dhe rritja e vizibilitetit të BE-së: Udhëzime për veprimet e jashtme</w:t>
      </w:r>
      <w:r w:rsidRPr="0036019C">
        <w:rPr>
          <w:rFonts w:ascii="Garamond" w:hAnsi="Garamond"/>
          <w:color w:val="000000" w:themeColor="text1"/>
          <w:lang w:val="sq-AL" w:eastAsia="en-US"/>
        </w:rPr>
        <w:t xml:space="preserve"> (ose çdo dokument pasues).</w:t>
      </w:r>
    </w:p>
    <w:p w14:paraId="29EA3094" w14:textId="77777777" w:rsidR="00B06BDA" w:rsidRPr="0036019C" w:rsidRDefault="00B06BDA" w:rsidP="00B06BDA">
      <w:pPr>
        <w:ind w:firstLine="284"/>
        <w:jc w:val="both"/>
        <w:rPr>
          <w:rFonts w:ascii="Garamond" w:hAnsi="Garamond"/>
          <w:color w:val="000000" w:themeColor="text1"/>
          <w:lang w:val="sq-AL"/>
        </w:rPr>
      </w:pPr>
      <w:r w:rsidRPr="0036019C">
        <w:rPr>
          <w:rFonts w:ascii="Garamond" w:hAnsi="Garamond"/>
          <w:color w:val="000000" w:themeColor="text1"/>
          <w:lang w:val="sq-AL"/>
        </w:rPr>
        <w:t>Ky detyrim do të zbatohet njëlloj, pavarësisht nëse ndërhyrjet përkatëse zbatohen nga Komisioni, vendi partner, ofruesit e shërbimeve, përfituesit e granteve apo entitete të besuara ose të deleguara si agjencitë e OKB-së, institucionet financiare ndërkombëtare dhe agjencitë e Shteteve Anëtare të BE-së. Në çdo rast, një referencë për detyrimet kontraktuale përkatëse duhet të përfshihet në marrëveshjen për financim, kontratat e prokurimit dhe të granteve, si dhe në marrëveshjet e kontributeve.</w:t>
      </w:r>
    </w:p>
    <w:p w14:paraId="00174CEA" w14:textId="2C9B393C" w:rsidR="00B06BDA" w:rsidRPr="0036019C" w:rsidRDefault="00B06BDA" w:rsidP="000335E3">
      <w:pPr>
        <w:tabs>
          <w:tab w:val="left" w:pos="4678"/>
          <w:tab w:val="left" w:pos="9356"/>
        </w:tabs>
        <w:ind w:firstLine="284"/>
        <w:rPr>
          <w:rFonts w:ascii="Garamond" w:hAnsi="Garamond"/>
          <w:lang w:val="sq-AL"/>
        </w:rPr>
      </w:pPr>
    </w:p>
    <w:p w14:paraId="5207E805" w14:textId="77777777" w:rsidR="00DC471E" w:rsidRPr="0036019C" w:rsidRDefault="00DC471E" w:rsidP="00DC471E">
      <w:pPr>
        <w:pStyle w:val="TEKSTIIIII"/>
        <w:jc w:val="center"/>
      </w:pPr>
      <w:r w:rsidRPr="0036019C">
        <w:t>Marrëveshja e Financimit IPA III - Shtojca II - Kushtet e Përgjithshme (v. maj, 2025)</w:t>
      </w:r>
    </w:p>
    <w:p w14:paraId="59EF727C" w14:textId="77777777" w:rsidR="00DC471E" w:rsidRPr="0036019C" w:rsidRDefault="00DC471E" w:rsidP="00DC471E">
      <w:pPr>
        <w:pStyle w:val="TEKSTIIIII"/>
        <w:jc w:val="center"/>
      </w:pPr>
    </w:p>
    <w:p w14:paraId="70DD3149" w14:textId="77777777" w:rsidR="00C133F3" w:rsidRPr="0036019C" w:rsidRDefault="00C133F3" w:rsidP="00C133F3">
      <w:pPr>
        <w:pStyle w:val="TEKSTIIIII"/>
        <w:jc w:val="center"/>
        <w:rPr>
          <w:rStyle w:val="Bodytext2"/>
          <w:rFonts w:ascii="Garamond" w:hAnsi="Garamond"/>
          <w:sz w:val="24"/>
          <w:szCs w:val="24"/>
        </w:rPr>
      </w:pPr>
      <w:r w:rsidRPr="0036019C">
        <w:rPr>
          <w:rStyle w:val="Bodytext2"/>
          <w:rFonts w:ascii="Garamond" w:hAnsi="Garamond"/>
          <w:sz w:val="24"/>
          <w:szCs w:val="24"/>
        </w:rPr>
        <w:t>SHTOJCA II – KUSHTET E PËRGJITHSHME</w:t>
      </w:r>
    </w:p>
    <w:p w14:paraId="70B8AE6F" w14:textId="77777777" w:rsidR="00C133F3" w:rsidRPr="0036019C" w:rsidRDefault="00C133F3" w:rsidP="00C133F3">
      <w:pPr>
        <w:pStyle w:val="TEKSTIIIII"/>
        <w:jc w:val="center"/>
      </w:pPr>
    </w:p>
    <w:p w14:paraId="7808CE55" w14:textId="46394539" w:rsidR="00C133F3" w:rsidRPr="0036019C" w:rsidRDefault="00C133F3" w:rsidP="00C133F3">
      <w:pPr>
        <w:pStyle w:val="TEKSTIIIII"/>
        <w:jc w:val="left"/>
        <w:rPr>
          <w:rStyle w:val="Bodytext2"/>
          <w:rFonts w:ascii="Garamond" w:hAnsi="Garamond"/>
          <w:sz w:val="24"/>
          <w:szCs w:val="24"/>
        </w:rPr>
      </w:pPr>
      <w:r w:rsidRPr="0036019C">
        <w:rPr>
          <w:rStyle w:val="Bodytext2"/>
          <w:rFonts w:ascii="Garamond" w:hAnsi="Garamond"/>
          <w:sz w:val="24"/>
          <w:szCs w:val="24"/>
        </w:rPr>
        <w:t>Përmbajtja</w:t>
      </w:r>
    </w:p>
    <w:p w14:paraId="34990DBB" w14:textId="6F5F1CFB"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Pjesa I: Dispozitat e zbatueshme për aktivitetet për të cilat përfituesi IPA III është autoritet kontraktues në kuadrin e MIVP-së</w:t>
      </w:r>
    </w:p>
    <w:p w14:paraId="47C540CD" w14:textId="428FD20D"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 </w:t>
      </w:r>
      <w:r w:rsidR="00091000" w:rsidRPr="0036019C">
        <w:rPr>
          <w:rStyle w:val="Bodytext2"/>
          <w:rFonts w:ascii="Garamond" w:hAnsi="Garamond"/>
          <w:sz w:val="24"/>
          <w:szCs w:val="24"/>
        </w:rPr>
        <w:t>–</w:t>
      </w:r>
      <w:r w:rsidRPr="0036019C">
        <w:rPr>
          <w:rStyle w:val="Bodytext2"/>
          <w:rFonts w:ascii="Garamond" w:hAnsi="Garamond"/>
          <w:sz w:val="24"/>
          <w:szCs w:val="24"/>
        </w:rPr>
        <w:t xml:space="preserve"> Parime të përgjithshme</w:t>
      </w:r>
    </w:p>
    <w:p w14:paraId="7553D934" w14:textId="3F3695B4"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Neni 1a</w:t>
      </w:r>
      <w:r w:rsidR="00091000">
        <w:rPr>
          <w:rStyle w:val="Bodytext2"/>
          <w:rFonts w:ascii="Garamond" w:hAnsi="Garamond"/>
          <w:sz w:val="24"/>
          <w:szCs w:val="24"/>
        </w:rPr>
        <w:t xml:space="preserve"> </w:t>
      </w:r>
      <w:r w:rsidR="00091000" w:rsidRPr="0036019C">
        <w:rPr>
          <w:rStyle w:val="Bodytext2"/>
          <w:rFonts w:ascii="Garamond" w:hAnsi="Garamond"/>
          <w:sz w:val="24"/>
          <w:szCs w:val="24"/>
        </w:rPr>
        <w:t>–</w:t>
      </w:r>
      <w:r w:rsidR="00091000">
        <w:rPr>
          <w:rStyle w:val="Bodytext2"/>
          <w:rFonts w:ascii="Garamond" w:hAnsi="Garamond"/>
          <w:sz w:val="24"/>
          <w:szCs w:val="24"/>
        </w:rPr>
        <w:t xml:space="preserve"> </w:t>
      </w:r>
      <w:r w:rsidRPr="0036019C">
        <w:rPr>
          <w:rStyle w:val="Bodytext2"/>
          <w:rFonts w:ascii="Garamond" w:hAnsi="Garamond"/>
          <w:sz w:val="24"/>
          <w:szCs w:val="24"/>
        </w:rPr>
        <w:t>Prokurimi dhe dhënia e granteve</w:t>
      </w:r>
    </w:p>
    <w:p w14:paraId="2CC08CD6" w14:textId="39731D17"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Neni 1b – Përjashtimi dhe sanksionet administrative</w:t>
      </w:r>
    </w:p>
    <w:p w14:paraId="71E7CBC6" w14:textId="0B56E30B"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2 </w:t>
      </w:r>
      <w:r w:rsidR="00091000" w:rsidRPr="0036019C">
        <w:rPr>
          <w:rStyle w:val="Bodytext2"/>
          <w:rFonts w:ascii="Garamond" w:hAnsi="Garamond"/>
          <w:sz w:val="24"/>
          <w:szCs w:val="24"/>
        </w:rPr>
        <w:t>–</w:t>
      </w:r>
      <w:r w:rsidRPr="0036019C">
        <w:rPr>
          <w:rStyle w:val="Bodytext2"/>
          <w:rFonts w:ascii="Garamond" w:hAnsi="Garamond"/>
          <w:sz w:val="24"/>
          <w:szCs w:val="24"/>
        </w:rPr>
        <w:t xml:space="preserve"> Komunikimi dhe Vizibiliteti</w:t>
      </w:r>
    </w:p>
    <w:p w14:paraId="6481698E" w14:textId="0580C4EB"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3 </w:t>
      </w:r>
      <w:r w:rsidR="00091000" w:rsidRPr="0036019C">
        <w:rPr>
          <w:rStyle w:val="Bodytext2"/>
          <w:rFonts w:ascii="Garamond" w:hAnsi="Garamond"/>
          <w:sz w:val="24"/>
          <w:szCs w:val="24"/>
        </w:rPr>
        <w:t>–</w:t>
      </w:r>
      <w:r w:rsidRPr="0036019C">
        <w:rPr>
          <w:rStyle w:val="Bodytext2"/>
          <w:rFonts w:ascii="Garamond" w:hAnsi="Garamond"/>
          <w:sz w:val="24"/>
          <w:szCs w:val="24"/>
        </w:rPr>
        <w:t xml:space="preserve"> Kontrollet </w:t>
      </w:r>
      <w:r w:rsidR="00091000" w:rsidRPr="00091000">
        <w:rPr>
          <w:rStyle w:val="Bodytext2"/>
          <w:rFonts w:ascii="Garamond" w:hAnsi="Garamond"/>
          <w:i/>
          <w:iCs/>
          <w:sz w:val="24"/>
          <w:szCs w:val="24"/>
        </w:rPr>
        <w:t xml:space="preserve">ex-ante </w:t>
      </w:r>
      <w:r w:rsidRPr="0036019C">
        <w:rPr>
          <w:rStyle w:val="Bodytext2"/>
          <w:rFonts w:ascii="Garamond" w:hAnsi="Garamond"/>
          <w:sz w:val="24"/>
          <w:szCs w:val="24"/>
        </w:rPr>
        <w:t xml:space="preserve">për procedurat e granteve dhe prokurimit dhe kontrollet </w:t>
      </w:r>
      <w:r w:rsidR="00CE6415" w:rsidRPr="00CE6415">
        <w:rPr>
          <w:rStyle w:val="Bodytext2"/>
          <w:rFonts w:ascii="Garamond" w:hAnsi="Garamond"/>
          <w:i/>
          <w:iCs/>
          <w:sz w:val="24"/>
          <w:szCs w:val="24"/>
        </w:rPr>
        <w:t xml:space="preserve">ex-post </w:t>
      </w:r>
      <w:r w:rsidRPr="0036019C">
        <w:rPr>
          <w:rStyle w:val="Bodytext2"/>
          <w:rFonts w:ascii="Garamond" w:hAnsi="Garamond"/>
          <w:sz w:val="24"/>
          <w:szCs w:val="24"/>
        </w:rPr>
        <w:t>për kontratat dhe grantet që do të kryhen nga Komisioni</w:t>
      </w:r>
    </w:p>
    <w:p w14:paraId="53BB6BE3" w14:textId="786946FE"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4 </w:t>
      </w:r>
      <w:r w:rsidR="00091000" w:rsidRPr="0036019C">
        <w:rPr>
          <w:rStyle w:val="Bodytext2"/>
          <w:rFonts w:ascii="Garamond" w:hAnsi="Garamond"/>
          <w:sz w:val="24"/>
          <w:szCs w:val="24"/>
        </w:rPr>
        <w:t>–</w:t>
      </w:r>
      <w:r w:rsidRPr="0036019C">
        <w:rPr>
          <w:rStyle w:val="Bodytext2"/>
          <w:rFonts w:ascii="Garamond" w:hAnsi="Garamond"/>
          <w:sz w:val="24"/>
          <w:szCs w:val="24"/>
        </w:rPr>
        <w:t xml:space="preserve"> Llogaritë bankare, sistemet e kontabilitetit dhe shpenzimet e pranuara</w:t>
      </w:r>
    </w:p>
    <w:p w14:paraId="5826D49B" w14:textId="790940A1"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Neni 5</w:t>
      </w:r>
      <w:r w:rsidR="00091000">
        <w:rPr>
          <w:rStyle w:val="Bodytext2"/>
          <w:rFonts w:ascii="Garamond" w:hAnsi="Garamond"/>
          <w:sz w:val="24"/>
          <w:szCs w:val="24"/>
        </w:rPr>
        <w:t xml:space="preserve"> </w:t>
      </w:r>
      <w:r w:rsidR="00091000" w:rsidRPr="0036019C">
        <w:rPr>
          <w:rStyle w:val="Bodytext2"/>
          <w:rFonts w:ascii="Garamond" w:hAnsi="Garamond"/>
          <w:sz w:val="24"/>
          <w:szCs w:val="24"/>
        </w:rPr>
        <w:t>–</w:t>
      </w:r>
      <w:r w:rsidR="00091000">
        <w:rPr>
          <w:rStyle w:val="Bodytext2"/>
          <w:rFonts w:ascii="Garamond" w:hAnsi="Garamond"/>
          <w:sz w:val="24"/>
          <w:szCs w:val="24"/>
        </w:rPr>
        <w:t xml:space="preserve"> </w:t>
      </w:r>
      <w:r w:rsidRPr="0036019C">
        <w:rPr>
          <w:rStyle w:val="Bodytext2"/>
          <w:rFonts w:ascii="Garamond" w:hAnsi="Garamond"/>
          <w:sz w:val="24"/>
          <w:szCs w:val="24"/>
        </w:rPr>
        <w:t>Dispozitat për pagesat e kryera nga Komisioni për përfituesin IPA III</w:t>
      </w:r>
    </w:p>
    <w:p w14:paraId="64B722C9" w14:textId="404C03E9"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6 </w:t>
      </w:r>
      <w:r w:rsidR="00091000" w:rsidRPr="0036019C">
        <w:rPr>
          <w:rStyle w:val="Bodytext2"/>
          <w:rFonts w:ascii="Garamond" w:hAnsi="Garamond"/>
          <w:sz w:val="24"/>
          <w:szCs w:val="24"/>
        </w:rPr>
        <w:t>–</w:t>
      </w:r>
      <w:r w:rsidRPr="0036019C">
        <w:rPr>
          <w:rStyle w:val="Bodytext2"/>
          <w:rFonts w:ascii="Garamond" w:hAnsi="Garamond"/>
          <w:sz w:val="24"/>
          <w:szCs w:val="24"/>
        </w:rPr>
        <w:t xml:space="preserve"> Ndërprerja e pagesave</w:t>
      </w:r>
    </w:p>
    <w:p w14:paraId="60BE691C" w14:textId="2E1DC600"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7 </w:t>
      </w:r>
      <w:r w:rsidR="00091000" w:rsidRPr="0036019C">
        <w:rPr>
          <w:rStyle w:val="Bodytext2"/>
          <w:rFonts w:ascii="Garamond" w:hAnsi="Garamond"/>
          <w:sz w:val="24"/>
          <w:szCs w:val="24"/>
        </w:rPr>
        <w:t>–</w:t>
      </w:r>
      <w:r w:rsidRPr="0036019C">
        <w:rPr>
          <w:rStyle w:val="Bodytext2"/>
          <w:rFonts w:ascii="Garamond" w:hAnsi="Garamond"/>
          <w:sz w:val="24"/>
          <w:szCs w:val="24"/>
        </w:rPr>
        <w:t xml:space="preserve"> Rikuperimi i fondeve</w:t>
      </w:r>
    </w:p>
    <w:p w14:paraId="03D34D30" w14:textId="742D0AE0"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Neni 7a – Korrigjimet financiare dhe mbyllja</w:t>
      </w:r>
    </w:p>
    <w:p w14:paraId="5C44E122" w14:textId="4F41C9E5"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Pjesa II: Dispozitat e zbatueshme për mbështetjen buxhetore</w:t>
      </w:r>
    </w:p>
    <w:p w14:paraId="597DC61E" w14:textId="3CC709CA"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Neni 8 – Dialogu mbi politikat</w:t>
      </w:r>
    </w:p>
    <w:p w14:paraId="492654E6" w14:textId="074C7FAE"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9 </w:t>
      </w:r>
      <w:r w:rsidR="00091000" w:rsidRPr="0036019C">
        <w:rPr>
          <w:rStyle w:val="Bodytext2"/>
          <w:rFonts w:ascii="Garamond" w:hAnsi="Garamond"/>
          <w:sz w:val="24"/>
          <w:szCs w:val="24"/>
        </w:rPr>
        <w:t>–</w:t>
      </w:r>
      <w:r w:rsidRPr="0036019C">
        <w:rPr>
          <w:rStyle w:val="Bodytext2"/>
          <w:rFonts w:ascii="Garamond" w:hAnsi="Garamond"/>
          <w:sz w:val="24"/>
          <w:szCs w:val="24"/>
        </w:rPr>
        <w:t xml:space="preserve"> Verifikimi i kushteve dhe disbursimit</w:t>
      </w:r>
    </w:p>
    <w:p w14:paraId="55AE1FD8" w14:textId="274C5665"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lastRenderedPageBreak/>
        <w:t>Neni 10 – Transparenca e mbështetjes buxhetore</w:t>
      </w:r>
    </w:p>
    <w:p w14:paraId="691ACD9A" w14:textId="6758A385"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11 </w:t>
      </w:r>
      <w:r w:rsidR="00091000" w:rsidRPr="0036019C">
        <w:rPr>
          <w:rStyle w:val="Bodytext2"/>
          <w:rFonts w:ascii="Garamond" w:hAnsi="Garamond"/>
          <w:sz w:val="24"/>
          <w:szCs w:val="24"/>
        </w:rPr>
        <w:t>–</w:t>
      </w:r>
      <w:r w:rsidRPr="0036019C">
        <w:rPr>
          <w:rStyle w:val="Bodytext2"/>
          <w:rFonts w:ascii="Garamond" w:hAnsi="Garamond"/>
          <w:sz w:val="24"/>
          <w:szCs w:val="24"/>
        </w:rPr>
        <w:t xml:space="preserve"> Rikuperimi i mbështetjes buxhetore</w:t>
      </w:r>
    </w:p>
    <w:p w14:paraId="444E7B9D" w14:textId="724C867F"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Pjesa III: Dispozitat e zbatueshme për këtë Marrëveshje Financimi në tërësi, pavarësisht metodës së zbatimit</w:t>
      </w:r>
    </w:p>
    <w:p w14:paraId="11E91ABE" w14:textId="3107C8F8"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12 </w:t>
      </w:r>
      <w:r w:rsidR="00CE6415" w:rsidRPr="0036019C">
        <w:rPr>
          <w:rStyle w:val="Bodytext2"/>
          <w:rFonts w:ascii="Garamond" w:hAnsi="Garamond"/>
          <w:sz w:val="24"/>
          <w:szCs w:val="24"/>
        </w:rPr>
        <w:t>–</w:t>
      </w:r>
      <w:r w:rsidRPr="0036019C">
        <w:rPr>
          <w:rStyle w:val="Bodytext2"/>
          <w:rFonts w:ascii="Garamond" w:hAnsi="Garamond"/>
          <w:sz w:val="24"/>
          <w:szCs w:val="24"/>
        </w:rPr>
        <w:t>Periudha e ekzekutimit, periudha e zbatimit operacional dhe afati i kontraktimit</w:t>
      </w:r>
    </w:p>
    <w:p w14:paraId="36B3A34C" w14:textId="4FB84442"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13 </w:t>
      </w:r>
      <w:r w:rsidR="00CE6415" w:rsidRPr="0036019C">
        <w:rPr>
          <w:rStyle w:val="Bodytext2"/>
          <w:rFonts w:ascii="Garamond" w:hAnsi="Garamond"/>
          <w:sz w:val="24"/>
          <w:szCs w:val="24"/>
        </w:rPr>
        <w:t>–</w:t>
      </w:r>
      <w:r w:rsidRPr="0036019C">
        <w:rPr>
          <w:rStyle w:val="Bodytext2"/>
          <w:rFonts w:ascii="Garamond" w:hAnsi="Garamond"/>
          <w:sz w:val="24"/>
          <w:szCs w:val="24"/>
        </w:rPr>
        <w:t xml:space="preserve"> Lejet dhe autorizimi</w:t>
      </w:r>
    </w:p>
    <w:p w14:paraId="248C5DE6" w14:textId="6C6666A2"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14 </w:t>
      </w:r>
      <w:r w:rsidR="00CE6415" w:rsidRPr="0036019C">
        <w:rPr>
          <w:rStyle w:val="Bodytext2"/>
          <w:rFonts w:ascii="Garamond" w:hAnsi="Garamond"/>
          <w:sz w:val="24"/>
          <w:szCs w:val="24"/>
        </w:rPr>
        <w:t>–</w:t>
      </w:r>
      <w:r w:rsidRPr="0036019C">
        <w:rPr>
          <w:rStyle w:val="Bodytext2"/>
          <w:rFonts w:ascii="Garamond" w:hAnsi="Garamond"/>
          <w:sz w:val="24"/>
          <w:szCs w:val="24"/>
        </w:rPr>
        <w:t xml:space="preserve"> Kërkesat e raportimit</w:t>
      </w:r>
    </w:p>
    <w:p w14:paraId="37FAF861" w14:textId="0A7D43AE"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15 </w:t>
      </w:r>
      <w:r w:rsidR="00CE6415" w:rsidRPr="0036019C">
        <w:rPr>
          <w:rStyle w:val="Bodytext2"/>
          <w:rFonts w:ascii="Garamond" w:hAnsi="Garamond"/>
          <w:sz w:val="24"/>
          <w:szCs w:val="24"/>
        </w:rPr>
        <w:t>–</w:t>
      </w:r>
      <w:r w:rsidRPr="0036019C">
        <w:rPr>
          <w:rStyle w:val="Bodytext2"/>
          <w:rFonts w:ascii="Garamond" w:hAnsi="Garamond"/>
          <w:sz w:val="24"/>
          <w:szCs w:val="24"/>
        </w:rPr>
        <w:t xml:space="preserve"> Të drejtat e pronësisë intelektuale</w:t>
      </w:r>
    </w:p>
    <w:p w14:paraId="32176114" w14:textId="4031A588"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16 </w:t>
      </w:r>
      <w:r w:rsidR="00CE6415" w:rsidRPr="0036019C">
        <w:rPr>
          <w:rStyle w:val="Bodytext2"/>
          <w:rFonts w:ascii="Garamond" w:hAnsi="Garamond"/>
          <w:sz w:val="24"/>
          <w:szCs w:val="24"/>
        </w:rPr>
        <w:t>–</w:t>
      </w:r>
      <w:r w:rsidRPr="0036019C">
        <w:rPr>
          <w:rStyle w:val="Bodytext2"/>
          <w:rFonts w:ascii="Garamond" w:hAnsi="Garamond"/>
          <w:sz w:val="24"/>
          <w:szCs w:val="24"/>
        </w:rPr>
        <w:t xml:space="preserve"> Konsultimi ndërmjet përfituesit IPA dhe Komisionit</w:t>
      </w:r>
    </w:p>
    <w:p w14:paraId="45F40CD0" w14:textId="7B4CA581"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17 </w:t>
      </w:r>
      <w:r w:rsidR="00CE6415" w:rsidRPr="0036019C">
        <w:rPr>
          <w:rStyle w:val="Bodytext2"/>
          <w:rFonts w:ascii="Garamond" w:hAnsi="Garamond"/>
          <w:sz w:val="24"/>
          <w:szCs w:val="24"/>
        </w:rPr>
        <w:t>–</w:t>
      </w:r>
      <w:r w:rsidRPr="0036019C">
        <w:rPr>
          <w:rStyle w:val="Bodytext2"/>
          <w:rFonts w:ascii="Garamond" w:hAnsi="Garamond"/>
          <w:sz w:val="24"/>
          <w:szCs w:val="24"/>
        </w:rPr>
        <w:t xml:space="preserve"> Ndryshimet e Marrëveshjes së Financimit</w:t>
      </w:r>
    </w:p>
    <w:p w14:paraId="3E9C6B84" w14:textId="423439B6"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18 </w:t>
      </w:r>
      <w:r w:rsidR="00CE6415" w:rsidRPr="0036019C">
        <w:rPr>
          <w:rStyle w:val="Bodytext2"/>
          <w:rFonts w:ascii="Garamond" w:hAnsi="Garamond"/>
          <w:sz w:val="24"/>
          <w:szCs w:val="24"/>
        </w:rPr>
        <w:t>–</w:t>
      </w:r>
      <w:r w:rsidRPr="0036019C">
        <w:rPr>
          <w:rStyle w:val="Bodytext2"/>
          <w:rFonts w:ascii="Garamond" w:hAnsi="Garamond"/>
          <w:sz w:val="24"/>
          <w:szCs w:val="24"/>
        </w:rPr>
        <w:t xml:space="preserve"> Pezullimi i kësaj Marrëveshjeje Financimi</w:t>
      </w:r>
    </w:p>
    <w:p w14:paraId="11D58CA2" w14:textId="6F2F17BA"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19 </w:t>
      </w:r>
      <w:r w:rsidR="00CE6415" w:rsidRPr="0036019C">
        <w:rPr>
          <w:rStyle w:val="Bodytext2"/>
          <w:rFonts w:ascii="Garamond" w:hAnsi="Garamond"/>
          <w:sz w:val="24"/>
          <w:szCs w:val="24"/>
        </w:rPr>
        <w:t>–</w:t>
      </w:r>
      <w:r w:rsidRPr="0036019C">
        <w:rPr>
          <w:rStyle w:val="Bodytext2"/>
          <w:rFonts w:ascii="Garamond" w:hAnsi="Garamond"/>
          <w:sz w:val="24"/>
          <w:szCs w:val="24"/>
        </w:rPr>
        <w:t xml:space="preserve"> Zgjidhja e kësaj Marrëveshjeje Financimi</w:t>
      </w:r>
    </w:p>
    <w:p w14:paraId="4880E8FC" w14:textId="156D1194"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Neni 20 – Ligji i zbatueshëm, zgjidhja e mosmarrëveshjeve</w:t>
      </w:r>
    </w:p>
    <w:p w14:paraId="1476E5FD" w14:textId="730CBDAB" w:rsidR="00C133F3" w:rsidRPr="0036019C" w:rsidRDefault="00C133F3" w:rsidP="00C133F3">
      <w:pPr>
        <w:pStyle w:val="TEKSTIIIII"/>
        <w:rPr>
          <w:rStyle w:val="Bodytext2"/>
          <w:rFonts w:ascii="Garamond" w:hAnsi="Garamond"/>
          <w:sz w:val="24"/>
          <w:szCs w:val="24"/>
        </w:rPr>
      </w:pPr>
      <w:r w:rsidRPr="0036019C">
        <w:rPr>
          <w:rStyle w:val="Bodytext2"/>
          <w:rFonts w:ascii="Garamond" w:hAnsi="Garamond"/>
          <w:sz w:val="24"/>
          <w:szCs w:val="24"/>
        </w:rPr>
        <w:t xml:space="preserve">Neni 21 </w:t>
      </w:r>
      <w:r w:rsidR="00CE6415" w:rsidRPr="0036019C">
        <w:rPr>
          <w:rStyle w:val="Bodytext2"/>
          <w:rFonts w:ascii="Garamond" w:hAnsi="Garamond"/>
          <w:sz w:val="24"/>
          <w:szCs w:val="24"/>
        </w:rPr>
        <w:t>–</w:t>
      </w:r>
      <w:r w:rsidRPr="0036019C">
        <w:rPr>
          <w:rStyle w:val="Bodytext2"/>
          <w:rFonts w:ascii="Garamond" w:hAnsi="Garamond"/>
          <w:sz w:val="24"/>
          <w:szCs w:val="24"/>
        </w:rPr>
        <w:t xml:space="preserve"> Masat kufizuese të BE-së</w:t>
      </w:r>
    </w:p>
    <w:p w14:paraId="1E21667D" w14:textId="58D9950A" w:rsidR="00C133F3" w:rsidRPr="0036019C" w:rsidRDefault="00C133F3" w:rsidP="00C133F3">
      <w:pPr>
        <w:pStyle w:val="TEKSTIIIII"/>
        <w:jc w:val="left"/>
        <w:rPr>
          <w:rStyle w:val="Bodytext2"/>
          <w:rFonts w:ascii="Garamond" w:hAnsi="Garamond"/>
          <w:sz w:val="24"/>
          <w:szCs w:val="24"/>
        </w:rPr>
      </w:pPr>
    </w:p>
    <w:p w14:paraId="531A6FAB" w14:textId="77777777" w:rsidR="00BE19F3" w:rsidRPr="0036019C" w:rsidRDefault="00BE19F3" w:rsidP="00C224FB">
      <w:pPr>
        <w:pStyle w:val="Heading10"/>
        <w:spacing w:before="0" w:after="0" w:line="240" w:lineRule="auto"/>
        <w:ind w:firstLine="284"/>
        <w:rPr>
          <w:rFonts w:ascii="Garamond" w:hAnsi="Garamond"/>
          <w:bCs w:val="0"/>
          <w:sz w:val="24"/>
          <w:szCs w:val="24"/>
        </w:rPr>
      </w:pPr>
      <w:r w:rsidRPr="0036019C">
        <w:rPr>
          <w:rFonts w:ascii="Garamond" w:hAnsi="Garamond"/>
          <w:bCs w:val="0"/>
          <w:sz w:val="24"/>
          <w:szCs w:val="24"/>
        </w:rPr>
        <w:t>Pjesa I: Dispozitat e zbatueshme për aktivitetet për të cilat përfituesi IPA III</w:t>
      </w:r>
    </w:p>
    <w:p w14:paraId="383AD7D3" w14:textId="77777777" w:rsidR="00BE19F3" w:rsidRPr="0036019C" w:rsidRDefault="00BE19F3" w:rsidP="00C224FB">
      <w:pPr>
        <w:pStyle w:val="Heading10"/>
        <w:spacing w:before="0" w:after="0" w:line="240" w:lineRule="auto"/>
        <w:ind w:firstLine="284"/>
        <w:rPr>
          <w:rFonts w:ascii="Garamond" w:hAnsi="Garamond"/>
          <w:sz w:val="24"/>
          <w:szCs w:val="24"/>
        </w:rPr>
      </w:pPr>
      <w:r w:rsidRPr="0036019C">
        <w:rPr>
          <w:rFonts w:ascii="Garamond" w:hAnsi="Garamond"/>
          <w:bCs w:val="0"/>
          <w:sz w:val="24"/>
          <w:szCs w:val="24"/>
        </w:rPr>
        <w:t>është autoritet kontraktues në kuadrin e MIVP-së</w:t>
      </w:r>
    </w:p>
    <w:p w14:paraId="61BE6E7D" w14:textId="77777777" w:rsidR="00C224FB" w:rsidRPr="0036019C" w:rsidRDefault="00C224FB" w:rsidP="00C224FB">
      <w:pPr>
        <w:pStyle w:val="Heading20"/>
        <w:spacing w:after="0" w:line="240" w:lineRule="auto"/>
        <w:ind w:firstLine="284"/>
        <w:jc w:val="both"/>
        <w:rPr>
          <w:rFonts w:ascii="Garamond" w:hAnsi="Garamond"/>
          <w:b w:val="0"/>
          <w:bCs w:val="0"/>
          <w:sz w:val="24"/>
          <w:szCs w:val="24"/>
        </w:rPr>
      </w:pPr>
    </w:p>
    <w:p w14:paraId="6932964D" w14:textId="77777777" w:rsidR="00C224FB" w:rsidRPr="0036019C" w:rsidRDefault="00BE19F3" w:rsidP="00C224FB">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w:t>
      </w:r>
    </w:p>
    <w:p w14:paraId="44769849" w14:textId="5E668990" w:rsidR="00BE19F3" w:rsidRDefault="00BE19F3" w:rsidP="00C224FB">
      <w:pPr>
        <w:pStyle w:val="Heading20"/>
        <w:spacing w:after="0" w:line="240" w:lineRule="auto"/>
        <w:ind w:firstLine="284"/>
        <w:rPr>
          <w:rFonts w:ascii="Garamond" w:hAnsi="Garamond"/>
          <w:bCs w:val="0"/>
          <w:sz w:val="24"/>
          <w:szCs w:val="24"/>
        </w:rPr>
      </w:pPr>
      <w:r w:rsidRPr="0036019C">
        <w:rPr>
          <w:rFonts w:ascii="Garamond" w:hAnsi="Garamond"/>
          <w:bCs w:val="0"/>
          <w:sz w:val="24"/>
          <w:szCs w:val="24"/>
        </w:rPr>
        <w:t>Parime të përgjithshme</w:t>
      </w:r>
    </w:p>
    <w:p w14:paraId="1EB84A15" w14:textId="77777777" w:rsidR="00CE6415" w:rsidRPr="0036019C" w:rsidRDefault="00CE6415" w:rsidP="00C224FB">
      <w:pPr>
        <w:pStyle w:val="Heading20"/>
        <w:spacing w:after="0" w:line="240" w:lineRule="auto"/>
        <w:ind w:firstLine="284"/>
        <w:rPr>
          <w:rFonts w:ascii="Garamond" w:hAnsi="Garamond"/>
          <w:sz w:val="24"/>
          <w:szCs w:val="24"/>
        </w:rPr>
      </w:pPr>
    </w:p>
    <w:p w14:paraId="14BD122C" w14:textId="73F3FE31"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CE6415">
        <w:rPr>
          <w:rFonts w:ascii="Garamond" w:hAnsi="Garamond"/>
          <w:lang w:val="sq-AL"/>
        </w:rPr>
        <w:t>.</w:t>
      </w:r>
      <w:r w:rsidRPr="0036019C">
        <w:rPr>
          <w:rFonts w:ascii="Garamond" w:hAnsi="Garamond"/>
          <w:lang w:val="sq-AL"/>
        </w:rPr>
        <w:t xml:space="preserve"> Qëllimi i </w:t>
      </w:r>
      <w:r w:rsidR="00CE6415" w:rsidRPr="0036019C">
        <w:rPr>
          <w:rFonts w:ascii="Garamond" w:hAnsi="Garamond"/>
          <w:lang w:val="sq-AL"/>
        </w:rPr>
        <w:t xml:space="preserve">pjesës </w:t>
      </w:r>
      <w:r w:rsidRPr="0036019C">
        <w:rPr>
          <w:rFonts w:ascii="Garamond" w:hAnsi="Garamond"/>
          <w:lang w:val="sq-AL"/>
        </w:rPr>
        <w:t xml:space="preserve">I është të përcaktojë rregullat për zbatimin e detyrave të besuara për ekzekutimin e buxhetit siç përshkruhet </w:t>
      </w:r>
      <w:r w:rsidR="00C347BB">
        <w:rPr>
          <w:rFonts w:ascii="Garamond" w:hAnsi="Garamond"/>
          <w:lang w:val="sq-AL"/>
        </w:rPr>
        <w:t>në shtojcën</w:t>
      </w:r>
      <w:r w:rsidRPr="0036019C">
        <w:rPr>
          <w:rFonts w:ascii="Garamond" w:hAnsi="Garamond"/>
          <w:lang w:val="sq-AL"/>
        </w:rPr>
        <w:t xml:space="preserve"> I, si dhe të përcaktojë të drejtat dhe detyrimet e përfituesit IPA III dhe të Komisionit në kryerjen e këtyre detyrave.</w:t>
      </w:r>
    </w:p>
    <w:p w14:paraId="346ED9CF"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Pjesa I zbatohet për detyrat e ekzekutimit të buxhetit që i janë besuar përfituesit IPA III vetëm në lidhje me kontributin e BE-së, ose të kombinuar me fondet e përfituesit IPA III ose fondet e një pale të tretë, në rastin kur këto fonde zbatohen me bashkëfinancim të përbashkët.</w:t>
      </w:r>
    </w:p>
    <w:p w14:paraId="1BA69A0A" w14:textId="46199169"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2</w:t>
      </w:r>
      <w:r w:rsidR="00CE6415">
        <w:rPr>
          <w:rFonts w:ascii="Garamond" w:hAnsi="Garamond"/>
          <w:lang w:val="sq-AL"/>
        </w:rPr>
        <w:t>.</w:t>
      </w:r>
      <w:r w:rsidRPr="0036019C">
        <w:rPr>
          <w:rFonts w:ascii="Garamond" w:hAnsi="Garamond"/>
          <w:lang w:val="sq-AL"/>
        </w:rPr>
        <w:t xml:space="preserve"> Përfituesi IPA III mbetet përgjegjës për përmbushjen e detyrimeve të përcaktuara në këtë Marrëveshje Financimi dhe në Marrëveshjen Financiare Kuadër të Partneritetit (MFKP). Në zbatim të neneve 6, 18, 19 dhe 21, Komisioni rezervon të drejtën të ndërpresë pagesat dhe të pezullojë dhe/ose zgjidhë këtë Marrëveshje Financimi.</w:t>
      </w:r>
    </w:p>
    <w:p w14:paraId="6170422E" w14:textId="26D86FD5"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3</w:t>
      </w:r>
      <w:r w:rsidR="00CE6415">
        <w:rPr>
          <w:rFonts w:ascii="Garamond" w:hAnsi="Garamond"/>
          <w:lang w:val="sq-AL"/>
        </w:rPr>
        <w:t>.</w:t>
      </w:r>
      <w:r w:rsidRPr="0036019C">
        <w:rPr>
          <w:rFonts w:ascii="Garamond" w:hAnsi="Garamond"/>
          <w:lang w:val="sq-AL"/>
        </w:rPr>
        <w:t xml:space="preserve"> Përfituesi IPA III respekton kontributin minimal të specifikuar </w:t>
      </w:r>
      <w:r w:rsidR="00C347BB">
        <w:rPr>
          <w:rFonts w:ascii="Garamond" w:hAnsi="Garamond"/>
          <w:lang w:val="sq-AL"/>
        </w:rPr>
        <w:t>në shtojcën</w:t>
      </w:r>
      <w:r w:rsidRPr="0036019C">
        <w:rPr>
          <w:rFonts w:ascii="Garamond" w:hAnsi="Garamond"/>
          <w:lang w:val="sq-AL"/>
        </w:rPr>
        <w:t xml:space="preserve"> I. Në rastin e kontributeve si nga përfituesi IPA III edhe nga BE-ja, kontributi i përfituesit IPA III vihet në dispozicion njëkohësisht me kontributin korrespondues të BE-së.</w:t>
      </w:r>
    </w:p>
    <w:p w14:paraId="2AA7C2AB" w14:textId="2815E032"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4</w:t>
      </w:r>
      <w:r w:rsidR="00CE6415">
        <w:rPr>
          <w:rFonts w:ascii="Garamond" w:hAnsi="Garamond"/>
          <w:lang w:val="sq-AL"/>
        </w:rPr>
        <w:t>.</w:t>
      </w:r>
      <w:r w:rsidRPr="0036019C">
        <w:rPr>
          <w:rFonts w:ascii="Garamond" w:hAnsi="Garamond"/>
          <w:lang w:val="sq-AL"/>
        </w:rPr>
        <w:t xml:space="preserve"> Për qëllimet e zbatimit </w:t>
      </w:r>
      <w:r w:rsidR="0036019C" w:rsidRPr="0036019C">
        <w:rPr>
          <w:rFonts w:ascii="Garamond" w:hAnsi="Garamond"/>
          <w:lang w:val="sq-AL"/>
        </w:rPr>
        <w:t xml:space="preserve">të nenit </w:t>
      </w:r>
      <w:r w:rsidRPr="0036019C">
        <w:rPr>
          <w:rFonts w:ascii="Garamond" w:hAnsi="Garamond"/>
          <w:lang w:val="sq-AL"/>
        </w:rPr>
        <w:t>25 të MFKP-së për mbrojtjen e të dhënave, të dhënat personale duhet:</w:t>
      </w:r>
    </w:p>
    <w:p w14:paraId="00E3D971" w14:textId="33D72853" w:rsidR="00BE19F3" w:rsidRPr="0036019C" w:rsidRDefault="00BE19F3" w:rsidP="00C224FB">
      <w:pPr>
        <w:pStyle w:val="ListParagraph"/>
        <w:spacing w:after="0" w:line="240" w:lineRule="auto"/>
        <w:ind w:left="0" w:firstLine="284"/>
        <w:rPr>
          <w:rFonts w:ascii="Garamond" w:hAnsi="Garamond"/>
        </w:rPr>
      </w:pPr>
      <w:r w:rsidRPr="0036019C">
        <w:rPr>
          <w:rFonts w:ascii="Garamond" w:hAnsi="Garamond" w:cs="Symbol"/>
        </w:rPr>
        <w:t xml:space="preserve">- </w:t>
      </w:r>
      <w:r w:rsidRPr="0036019C">
        <w:rPr>
          <w:rFonts w:ascii="Garamond" w:hAnsi="Garamond"/>
        </w:rPr>
        <w:t>të përpunohen në mënyrë të ligjshme, të drejtë dhe transparente në lidhje me subjektin e të dhënave;</w:t>
      </w:r>
    </w:p>
    <w:p w14:paraId="401963D2" w14:textId="15D4AFCC" w:rsidR="00BE19F3" w:rsidRPr="0036019C" w:rsidRDefault="00BE19F3" w:rsidP="00C224FB">
      <w:pPr>
        <w:pStyle w:val="ListParagraph"/>
        <w:spacing w:after="0" w:line="240" w:lineRule="auto"/>
        <w:ind w:left="0" w:firstLine="284"/>
        <w:rPr>
          <w:rFonts w:ascii="Garamond" w:hAnsi="Garamond"/>
        </w:rPr>
      </w:pPr>
      <w:r w:rsidRPr="0036019C">
        <w:rPr>
          <w:rFonts w:ascii="Garamond" w:hAnsi="Garamond" w:cs="Symbol"/>
        </w:rPr>
        <w:t xml:space="preserve">- </w:t>
      </w:r>
      <w:r w:rsidRPr="0036019C">
        <w:rPr>
          <w:rFonts w:ascii="Garamond" w:hAnsi="Garamond"/>
        </w:rPr>
        <w:t>të mblidhen për qëllime të specifikuara, të qarta dhe të ligjshme, si dhe të mos përpunohen më tej në çfarëdo mënyre që nuk është në pajtim me këto qëllime;</w:t>
      </w:r>
    </w:p>
    <w:p w14:paraId="291749BB" w14:textId="21DC3210" w:rsidR="00BE19F3" w:rsidRPr="0036019C" w:rsidRDefault="00BE19F3" w:rsidP="00C224FB">
      <w:pPr>
        <w:pStyle w:val="ListParagraph"/>
        <w:spacing w:after="0" w:line="240" w:lineRule="auto"/>
        <w:ind w:left="0" w:firstLine="284"/>
        <w:rPr>
          <w:rFonts w:ascii="Garamond" w:hAnsi="Garamond"/>
        </w:rPr>
      </w:pPr>
      <w:r w:rsidRPr="0036019C">
        <w:rPr>
          <w:rFonts w:ascii="Garamond" w:hAnsi="Garamond" w:cs="Symbol"/>
        </w:rPr>
        <w:t xml:space="preserve">- </w:t>
      </w:r>
      <w:r w:rsidRPr="0036019C">
        <w:rPr>
          <w:rFonts w:ascii="Garamond" w:hAnsi="Garamond"/>
        </w:rPr>
        <w:t>të jenë të mjaftueshme, relevante dhe të kufizuara në masën që është e nevojshme për qëllimet për të cilat përpunohen;</w:t>
      </w:r>
    </w:p>
    <w:p w14:paraId="7D745316" w14:textId="21CC82EB" w:rsidR="00BE19F3" w:rsidRPr="0036019C" w:rsidRDefault="00BE19F3" w:rsidP="00C224FB">
      <w:pPr>
        <w:pStyle w:val="ListParagraph"/>
        <w:spacing w:after="0" w:line="240" w:lineRule="auto"/>
        <w:ind w:left="0" w:firstLine="284"/>
        <w:rPr>
          <w:rFonts w:ascii="Garamond" w:hAnsi="Garamond"/>
        </w:rPr>
      </w:pPr>
      <w:r w:rsidRPr="0036019C">
        <w:rPr>
          <w:rFonts w:ascii="Garamond" w:hAnsi="Garamond" w:cs="Symbol"/>
        </w:rPr>
        <w:t xml:space="preserve">- </w:t>
      </w:r>
      <w:r w:rsidRPr="0036019C">
        <w:rPr>
          <w:rFonts w:ascii="Garamond" w:hAnsi="Garamond"/>
        </w:rPr>
        <w:t>të jenë të sakta dhe, sipas rastit, të përditësohen;</w:t>
      </w:r>
    </w:p>
    <w:p w14:paraId="72A4701F" w14:textId="205B36C7" w:rsidR="00BE19F3" w:rsidRPr="0036019C" w:rsidRDefault="00BE19F3" w:rsidP="00C224FB">
      <w:pPr>
        <w:pStyle w:val="ListParagraph"/>
        <w:spacing w:after="0" w:line="240" w:lineRule="auto"/>
        <w:ind w:left="0" w:firstLine="284"/>
        <w:rPr>
          <w:rFonts w:ascii="Garamond" w:hAnsi="Garamond"/>
        </w:rPr>
      </w:pPr>
      <w:r w:rsidRPr="0036019C">
        <w:rPr>
          <w:rFonts w:ascii="Garamond" w:hAnsi="Garamond" w:cs="Symbol"/>
        </w:rPr>
        <w:t xml:space="preserve">- </w:t>
      </w:r>
      <w:r w:rsidRPr="0036019C">
        <w:rPr>
          <w:rFonts w:ascii="Garamond" w:hAnsi="Garamond"/>
        </w:rPr>
        <w:t>të përpunohen në një mënyrë që garanton sigurinë e duhur të të dhënave personale; dhe</w:t>
      </w:r>
    </w:p>
    <w:p w14:paraId="296E3C4A" w14:textId="51F2CCF2" w:rsidR="00BE19F3" w:rsidRPr="0036019C" w:rsidRDefault="00BE19F3" w:rsidP="00C224FB">
      <w:pPr>
        <w:pStyle w:val="ListParagraph"/>
        <w:spacing w:after="0" w:line="240" w:lineRule="auto"/>
        <w:ind w:left="0" w:firstLine="284"/>
        <w:rPr>
          <w:rFonts w:ascii="Garamond" w:hAnsi="Garamond"/>
        </w:rPr>
      </w:pPr>
      <w:r w:rsidRPr="0036019C">
        <w:rPr>
          <w:rFonts w:ascii="Garamond" w:hAnsi="Garamond" w:cs="Symbol"/>
        </w:rPr>
        <w:t xml:space="preserve">- </w:t>
      </w:r>
      <w:r w:rsidRPr="0036019C">
        <w:rPr>
          <w:rFonts w:ascii="Garamond" w:hAnsi="Garamond"/>
        </w:rPr>
        <w:t>të ruhen në një formë që mundëson identifikimin e subjekteve vetëm gjatë periudhës së nevojshme për qëllimet për të cilat përpunohen të dhënat personale.</w:t>
      </w:r>
    </w:p>
    <w:p w14:paraId="2CEF66EB" w14:textId="7FDCC511" w:rsidR="00BE19F3" w:rsidRPr="0036019C" w:rsidRDefault="00BE19F3" w:rsidP="00C224FB">
      <w:pPr>
        <w:pStyle w:val="BodyText"/>
        <w:ind w:firstLine="284"/>
        <w:rPr>
          <w:rFonts w:ascii="Garamond" w:hAnsi="Garamond"/>
          <w:lang w:val="sq-AL"/>
        </w:rPr>
      </w:pPr>
      <w:r w:rsidRPr="0036019C">
        <w:rPr>
          <w:rFonts w:ascii="Garamond" w:hAnsi="Garamond"/>
          <w:lang w:val="sq-AL"/>
        </w:rPr>
        <w:t xml:space="preserve">Të dhënat personale në dokumentet që ruhen nga përfituesi IPA III , në përputhje me pikën 2 </w:t>
      </w:r>
      <w:r w:rsidR="0036019C" w:rsidRPr="0036019C">
        <w:rPr>
          <w:rFonts w:ascii="Garamond" w:hAnsi="Garamond"/>
          <w:lang w:val="sq-AL"/>
        </w:rPr>
        <w:t xml:space="preserve">të nenit </w:t>
      </w:r>
      <w:r w:rsidRPr="0036019C">
        <w:rPr>
          <w:rFonts w:ascii="Garamond" w:hAnsi="Garamond"/>
          <w:lang w:val="sq-AL"/>
        </w:rPr>
        <w:t>1a, duhet të fshihen sapo të skadojnë afatet e përcaktuara në atë pikë.</w:t>
      </w:r>
    </w:p>
    <w:p w14:paraId="3A5C9A12" w14:textId="77777777" w:rsidR="00BE19F3" w:rsidRPr="0036019C" w:rsidRDefault="00BE19F3" w:rsidP="00C224FB">
      <w:pPr>
        <w:pStyle w:val="Heading20"/>
        <w:spacing w:after="0" w:line="240" w:lineRule="auto"/>
        <w:ind w:firstLine="284"/>
        <w:jc w:val="both"/>
        <w:rPr>
          <w:rFonts w:ascii="Garamond" w:hAnsi="Garamond"/>
          <w:sz w:val="24"/>
          <w:szCs w:val="24"/>
        </w:rPr>
      </w:pPr>
    </w:p>
    <w:p w14:paraId="60A94713" w14:textId="77777777" w:rsidR="00C224FB" w:rsidRPr="0036019C" w:rsidRDefault="00BE19F3" w:rsidP="00C224FB">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1a</w:t>
      </w:r>
    </w:p>
    <w:p w14:paraId="0D8F7EFB" w14:textId="5F307299" w:rsidR="00BE19F3" w:rsidRPr="0036019C" w:rsidRDefault="00BE19F3" w:rsidP="00C224FB">
      <w:pPr>
        <w:pStyle w:val="Heading20"/>
        <w:spacing w:after="0" w:line="240" w:lineRule="auto"/>
        <w:ind w:firstLine="284"/>
        <w:rPr>
          <w:rFonts w:ascii="Garamond" w:hAnsi="Garamond"/>
          <w:sz w:val="24"/>
          <w:szCs w:val="24"/>
        </w:rPr>
      </w:pPr>
      <w:r w:rsidRPr="0036019C">
        <w:rPr>
          <w:rFonts w:ascii="Garamond" w:hAnsi="Garamond"/>
          <w:bCs w:val="0"/>
          <w:sz w:val="24"/>
          <w:szCs w:val="24"/>
        </w:rPr>
        <w:t>Prokurimi dhe dhënia e granteve</w:t>
      </w:r>
    </w:p>
    <w:p w14:paraId="1D3AA113" w14:textId="77777777" w:rsidR="00C224FB" w:rsidRPr="0036019C" w:rsidRDefault="00C224FB" w:rsidP="00C224FB">
      <w:pPr>
        <w:pStyle w:val="BodyText"/>
        <w:tabs>
          <w:tab w:val="left" w:pos="380"/>
        </w:tabs>
        <w:ind w:firstLine="284"/>
        <w:rPr>
          <w:rFonts w:ascii="Garamond" w:hAnsi="Garamond"/>
          <w:lang w:val="sq-AL"/>
        </w:rPr>
      </w:pPr>
    </w:p>
    <w:p w14:paraId="55071FE0" w14:textId="60D77837"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CE6415">
        <w:rPr>
          <w:rFonts w:ascii="Garamond" w:hAnsi="Garamond"/>
          <w:lang w:val="sq-AL"/>
        </w:rPr>
        <w:t>.</w:t>
      </w:r>
      <w:r w:rsidRPr="0036019C">
        <w:rPr>
          <w:rFonts w:ascii="Garamond" w:hAnsi="Garamond"/>
          <w:lang w:val="sq-AL"/>
        </w:rPr>
        <w:t xml:space="preserve"> Pa cenuar nenin 18(5) të MFKP-së, detyrat e përcaktuara në pikën 1 </w:t>
      </w:r>
      <w:r w:rsidR="0036019C" w:rsidRPr="0036019C">
        <w:rPr>
          <w:rFonts w:ascii="Garamond" w:hAnsi="Garamond"/>
          <w:lang w:val="sq-AL"/>
        </w:rPr>
        <w:t xml:space="preserve">të nenit </w:t>
      </w:r>
      <w:r w:rsidRPr="0036019C">
        <w:rPr>
          <w:rFonts w:ascii="Garamond" w:hAnsi="Garamond"/>
          <w:lang w:val="sq-AL"/>
        </w:rPr>
        <w:t>1 realizohen nga përfituesi IPA III në përputhje me procedurat dhe dokumentet standarde të miratuara dhe të publikuara nga Komisioni për prokurimin dhe kontratat grant në veprimet e jashtme, veçanërisht me udhëzuesin praktik për procedurat e kontraktimit për veprimet e jashtme të Bashkimin Evropian (PRAG) që janë në fuqi në kohën e shpalljes së procedurës në fjalë, si dhe në përputhje me standardet e vizibilitetit dhe komunikimit të përcaktuara në nenin 2(2).</w:t>
      </w:r>
    </w:p>
    <w:p w14:paraId="0D5EB32A"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Përfituesi IPA III realizon procedurat e prokurimit dhe dhënies së grantit, lidh kontratat përkatëse dhe garanton që të gjitha dokumentet e nevojshme për gjurmën e auditit të jenë në gjuhën e kësaj Marrëveshjeje Financimi.</w:t>
      </w:r>
    </w:p>
    <w:p w14:paraId="050BFD1F" w14:textId="701AA187"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2</w:t>
      </w:r>
      <w:r w:rsidR="00CE6415">
        <w:rPr>
          <w:rFonts w:ascii="Garamond" w:hAnsi="Garamond"/>
          <w:lang w:val="sq-AL"/>
        </w:rPr>
        <w:t>.</w:t>
      </w:r>
      <w:r w:rsidRPr="0036019C">
        <w:rPr>
          <w:rFonts w:ascii="Garamond" w:hAnsi="Garamond"/>
          <w:lang w:val="sq-AL"/>
        </w:rPr>
        <w:t xml:space="preserve"> Pa cenuar nenin 49 të MFKP-së, përfituesi IPA III ruan të gjitha dokumentet shoqëruese financiare dhe kontraktuale që nga data e hyrjes në fuqi të kësaj Marrëveshjeje Financimi ose që nga një datë më e hershme nëse procedura e prokurimit, thirrja për projekt-propozime apo procedurës e granteve direkt është shpallur përpara hyrjes në fuqi të kësaj Marrëveshjeje Financimi, deri pesë vjet nga data e mbylljes së programit. Përfituesi IPA III ruan veçanërisht sa më poshtë:</w:t>
      </w:r>
    </w:p>
    <w:p w14:paraId="37FA3DD8" w14:textId="48B3BD31" w:rsidR="00BE19F3" w:rsidRPr="0036019C" w:rsidRDefault="00BE19F3" w:rsidP="00C224FB">
      <w:pPr>
        <w:pStyle w:val="BodyText"/>
        <w:tabs>
          <w:tab w:val="left" w:pos="780"/>
        </w:tabs>
        <w:ind w:firstLine="284"/>
        <w:rPr>
          <w:rFonts w:ascii="Garamond" w:hAnsi="Garamond"/>
          <w:lang w:val="sq-AL"/>
        </w:rPr>
      </w:pPr>
      <w:r w:rsidRPr="0036019C">
        <w:rPr>
          <w:rFonts w:ascii="Garamond" w:hAnsi="Garamond"/>
          <w:lang w:val="sq-AL"/>
        </w:rPr>
        <w:t>a) Procedurat e prokurimit:</w:t>
      </w:r>
    </w:p>
    <w:p w14:paraId="1623480F" w14:textId="71CC805C" w:rsidR="00BE19F3" w:rsidRPr="0036019C" w:rsidRDefault="00BE19F3" w:rsidP="00C224FB">
      <w:pPr>
        <w:pStyle w:val="BodyText"/>
        <w:tabs>
          <w:tab w:val="left" w:pos="800"/>
        </w:tabs>
        <w:ind w:firstLine="284"/>
        <w:rPr>
          <w:rFonts w:ascii="Garamond" w:hAnsi="Garamond"/>
          <w:lang w:val="sq-AL"/>
        </w:rPr>
      </w:pPr>
      <w:r w:rsidRPr="0036019C">
        <w:rPr>
          <w:rFonts w:ascii="Garamond" w:hAnsi="Garamond"/>
          <w:lang w:val="sq-AL"/>
        </w:rPr>
        <w:t>i. Parashikimi me provë të publikimit të njoftimit për prokurim, si dhe çdo korrigjim;</w:t>
      </w:r>
    </w:p>
    <w:p w14:paraId="629030F4" w14:textId="40E05B38" w:rsidR="00BE19F3" w:rsidRPr="0036019C" w:rsidRDefault="00BE19F3" w:rsidP="00C224FB">
      <w:pPr>
        <w:pStyle w:val="BodyText"/>
        <w:tabs>
          <w:tab w:val="left" w:pos="800"/>
          <w:tab w:val="left" w:pos="1140"/>
        </w:tabs>
        <w:ind w:firstLine="284"/>
        <w:rPr>
          <w:rFonts w:ascii="Garamond" w:hAnsi="Garamond"/>
          <w:lang w:val="sq-AL"/>
        </w:rPr>
      </w:pPr>
      <w:r w:rsidRPr="0036019C">
        <w:rPr>
          <w:rFonts w:ascii="Garamond" w:hAnsi="Garamond"/>
          <w:lang w:val="sq-AL"/>
        </w:rPr>
        <w:t>ii. Emërimi i komisionit të kualifikimit;</w:t>
      </w:r>
    </w:p>
    <w:p w14:paraId="50B2E1BF" w14:textId="0FFA0566" w:rsidR="00BE19F3" w:rsidRPr="0036019C" w:rsidRDefault="00BE19F3" w:rsidP="00C224FB">
      <w:pPr>
        <w:pStyle w:val="BodyText"/>
        <w:tabs>
          <w:tab w:val="left" w:pos="800"/>
          <w:tab w:val="left" w:pos="1200"/>
        </w:tabs>
        <w:ind w:firstLine="284"/>
        <w:rPr>
          <w:rFonts w:ascii="Garamond" w:hAnsi="Garamond"/>
          <w:lang w:val="sq-AL"/>
        </w:rPr>
      </w:pPr>
      <w:r w:rsidRPr="0036019C">
        <w:rPr>
          <w:rFonts w:ascii="Garamond" w:hAnsi="Garamond"/>
          <w:lang w:val="sq-AL"/>
        </w:rPr>
        <w:t>iii. Raporti i kualifikimit (duke përfshirë shtojcat) dhe aplikimet;</w:t>
      </w:r>
    </w:p>
    <w:p w14:paraId="798B45CF" w14:textId="77A16CDA" w:rsidR="00BE19F3" w:rsidRPr="0036019C" w:rsidRDefault="00BE19F3" w:rsidP="00C224FB">
      <w:pPr>
        <w:pStyle w:val="BodyText"/>
        <w:tabs>
          <w:tab w:val="left" w:pos="800"/>
          <w:tab w:val="left" w:pos="1180"/>
        </w:tabs>
        <w:ind w:firstLine="284"/>
        <w:rPr>
          <w:rFonts w:ascii="Garamond" w:hAnsi="Garamond"/>
          <w:lang w:val="sq-AL"/>
        </w:rPr>
      </w:pPr>
      <w:r w:rsidRPr="0036019C">
        <w:rPr>
          <w:rFonts w:ascii="Garamond" w:hAnsi="Garamond"/>
          <w:lang w:val="sq-AL"/>
        </w:rPr>
        <w:t>iv. Prova e publikimit të njoftimit të aplikantëve të kualifikuar;</w:t>
      </w:r>
    </w:p>
    <w:p w14:paraId="6F0205D7" w14:textId="6E729E1D" w:rsidR="00BE19F3" w:rsidRPr="0036019C" w:rsidRDefault="00BE19F3" w:rsidP="00C224FB">
      <w:pPr>
        <w:pStyle w:val="BodyText"/>
        <w:tabs>
          <w:tab w:val="left" w:pos="800"/>
          <w:tab w:val="left" w:pos="1120"/>
        </w:tabs>
        <w:ind w:firstLine="284"/>
        <w:rPr>
          <w:rFonts w:ascii="Garamond" w:hAnsi="Garamond"/>
          <w:lang w:val="sq-AL"/>
        </w:rPr>
      </w:pPr>
      <w:r w:rsidRPr="0036019C">
        <w:rPr>
          <w:rFonts w:ascii="Garamond" w:hAnsi="Garamond"/>
          <w:lang w:val="sq-AL"/>
        </w:rPr>
        <w:t>v. Letrat për aplikantët e skualifikuar;</w:t>
      </w:r>
    </w:p>
    <w:p w14:paraId="3BA6FBD2" w14:textId="3A21E5FE" w:rsidR="00BE19F3" w:rsidRPr="0036019C" w:rsidRDefault="00BE19F3" w:rsidP="00C224FB">
      <w:pPr>
        <w:pStyle w:val="BodyText"/>
        <w:tabs>
          <w:tab w:val="left" w:pos="800"/>
          <w:tab w:val="left" w:pos="1180"/>
        </w:tabs>
        <w:ind w:firstLine="284"/>
        <w:rPr>
          <w:rFonts w:ascii="Garamond" w:hAnsi="Garamond"/>
          <w:lang w:val="sq-AL"/>
        </w:rPr>
      </w:pPr>
      <w:r w:rsidRPr="0036019C">
        <w:rPr>
          <w:rFonts w:ascii="Garamond" w:hAnsi="Garamond"/>
          <w:lang w:val="sq-AL"/>
        </w:rPr>
        <w:t xml:space="preserve">vi. Ftesa për tender ose dokument të </w:t>
      </w:r>
      <w:r w:rsidR="00CE6415" w:rsidRPr="0036019C">
        <w:rPr>
          <w:rFonts w:ascii="Garamond" w:hAnsi="Garamond"/>
          <w:lang w:val="sq-AL"/>
        </w:rPr>
        <w:t>barasvlershëm</w:t>
      </w:r>
      <w:r w:rsidRPr="0036019C">
        <w:rPr>
          <w:rFonts w:ascii="Garamond" w:hAnsi="Garamond"/>
          <w:lang w:val="sq-AL"/>
        </w:rPr>
        <w:t>;</w:t>
      </w:r>
    </w:p>
    <w:p w14:paraId="101784BA" w14:textId="206E9F2D" w:rsidR="00BE19F3" w:rsidRPr="0036019C" w:rsidRDefault="00BE19F3" w:rsidP="00C224FB">
      <w:pPr>
        <w:pStyle w:val="BodyText"/>
        <w:tabs>
          <w:tab w:val="left" w:pos="800"/>
          <w:tab w:val="left" w:pos="1240"/>
        </w:tabs>
        <w:ind w:firstLine="284"/>
        <w:rPr>
          <w:rFonts w:ascii="Garamond" w:hAnsi="Garamond"/>
          <w:lang w:val="sq-AL"/>
        </w:rPr>
      </w:pPr>
      <w:r w:rsidRPr="0036019C">
        <w:rPr>
          <w:rFonts w:ascii="Garamond" w:hAnsi="Garamond"/>
          <w:lang w:val="sq-AL"/>
        </w:rPr>
        <w:t>vii. Dosja e tenderit, duke përfshirë shtojcat, sqarimet, procesverbalet e takimeve, provën e publikimin;</w:t>
      </w:r>
    </w:p>
    <w:p w14:paraId="714B9A73" w14:textId="1A0C1420" w:rsidR="00BE19F3" w:rsidRPr="0036019C" w:rsidRDefault="00BE19F3" w:rsidP="00C224FB">
      <w:pPr>
        <w:pStyle w:val="BodyText"/>
        <w:tabs>
          <w:tab w:val="left" w:pos="800"/>
        </w:tabs>
        <w:ind w:firstLine="284"/>
        <w:rPr>
          <w:rFonts w:ascii="Garamond" w:hAnsi="Garamond"/>
          <w:lang w:val="sq-AL"/>
        </w:rPr>
      </w:pPr>
      <w:r w:rsidRPr="0036019C">
        <w:rPr>
          <w:rFonts w:ascii="Garamond" w:hAnsi="Garamond"/>
          <w:lang w:val="sq-AL"/>
        </w:rPr>
        <w:t>viii. Emërimin e komisionit të vlerësimit;</w:t>
      </w:r>
    </w:p>
    <w:p w14:paraId="7C712788" w14:textId="54E71E36" w:rsidR="00BE19F3" w:rsidRPr="0036019C" w:rsidRDefault="00BE19F3" w:rsidP="00C224FB">
      <w:pPr>
        <w:pStyle w:val="BodyText"/>
        <w:tabs>
          <w:tab w:val="left" w:pos="800"/>
          <w:tab w:val="left" w:pos="1180"/>
        </w:tabs>
        <w:ind w:firstLine="284"/>
        <w:rPr>
          <w:rFonts w:ascii="Garamond" w:hAnsi="Garamond"/>
          <w:lang w:val="sq-AL"/>
        </w:rPr>
      </w:pPr>
      <w:r w:rsidRPr="0036019C">
        <w:rPr>
          <w:rFonts w:ascii="Garamond" w:hAnsi="Garamond"/>
          <w:lang w:val="sq-AL"/>
        </w:rPr>
        <w:t>ix. Raporti i hapjes së tenderit, duke përfshirë shtojcat;</w:t>
      </w:r>
    </w:p>
    <w:p w14:paraId="1C06930E" w14:textId="2D1613EC" w:rsidR="00BE19F3" w:rsidRPr="0036019C" w:rsidRDefault="00BE19F3" w:rsidP="00C224FB">
      <w:pPr>
        <w:pStyle w:val="BodyText"/>
        <w:tabs>
          <w:tab w:val="left" w:pos="800"/>
          <w:tab w:val="left" w:pos="1120"/>
        </w:tabs>
        <w:ind w:firstLine="284"/>
        <w:rPr>
          <w:rFonts w:ascii="Garamond" w:hAnsi="Garamond"/>
          <w:lang w:val="sq-AL"/>
        </w:rPr>
      </w:pPr>
      <w:r w:rsidRPr="0036019C">
        <w:rPr>
          <w:rFonts w:ascii="Garamond" w:hAnsi="Garamond"/>
          <w:lang w:val="sq-AL"/>
        </w:rPr>
        <w:t xml:space="preserve">x. Raporti i vlerësimit </w:t>
      </w:r>
      <w:r w:rsidR="00D91DF9">
        <w:rPr>
          <w:rFonts w:ascii="Garamond" w:hAnsi="Garamond"/>
          <w:lang w:val="sq-AL"/>
        </w:rPr>
        <w:t>/</w:t>
      </w:r>
      <w:r w:rsidRPr="0036019C">
        <w:rPr>
          <w:rFonts w:ascii="Garamond" w:hAnsi="Garamond"/>
          <w:lang w:val="sq-AL"/>
        </w:rPr>
        <w:t>negociatave, duke përfshirë shtojcat dhe ofertat e dorëzuara;</w:t>
      </w:r>
      <w:r w:rsidR="00C224FB" w:rsidRPr="0036019C">
        <w:rPr>
          <w:rStyle w:val="FootnoteReference"/>
          <w:rFonts w:ascii="Garamond" w:hAnsi="Garamond"/>
          <w:lang w:val="sq-AL"/>
        </w:rPr>
        <w:footnoteReference w:id="33"/>
      </w:r>
    </w:p>
    <w:p w14:paraId="4344434C" w14:textId="4DFA908B" w:rsidR="00BE19F3" w:rsidRPr="0036019C" w:rsidRDefault="00BE19F3" w:rsidP="00C224FB">
      <w:pPr>
        <w:pStyle w:val="BodyText"/>
        <w:tabs>
          <w:tab w:val="left" w:pos="800"/>
          <w:tab w:val="left" w:pos="1180"/>
        </w:tabs>
        <w:ind w:firstLine="284"/>
        <w:rPr>
          <w:rFonts w:ascii="Garamond" w:hAnsi="Garamond"/>
          <w:lang w:val="sq-AL"/>
        </w:rPr>
      </w:pPr>
      <w:r w:rsidRPr="0036019C">
        <w:rPr>
          <w:rFonts w:ascii="Garamond" w:hAnsi="Garamond"/>
          <w:lang w:val="sq-AL"/>
        </w:rPr>
        <w:t>xi. Letërnjoftimet;</w:t>
      </w:r>
    </w:p>
    <w:p w14:paraId="2CD691D4" w14:textId="46994A15" w:rsidR="00BE19F3" w:rsidRPr="0036019C" w:rsidRDefault="00BE19F3" w:rsidP="00C224FB">
      <w:pPr>
        <w:pStyle w:val="BodyText"/>
        <w:tabs>
          <w:tab w:val="left" w:pos="800"/>
          <w:tab w:val="left" w:pos="1240"/>
        </w:tabs>
        <w:ind w:firstLine="284"/>
        <w:rPr>
          <w:rFonts w:ascii="Garamond" w:hAnsi="Garamond"/>
          <w:lang w:val="sq-AL"/>
        </w:rPr>
      </w:pPr>
      <w:r w:rsidRPr="0036019C">
        <w:rPr>
          <w:rFonts w:ascii="Garamond" w:hAnsi="Garamond"/>
          <w:lang w:val="sq-AL"/>
        </w:rPr>
        <w:t>xii. Shkresa përcjellëse për dorëzimin e kontratës;</w:t>
      </w:r>
    </w:p>
    <w:p w14:paraId="3EA535FA" w14:textId="1D4A46D9" w:rsidR="00BE19F3" w:rsidRPr="0036019C" w:rsidRDefault="00BE19F3" w:rsidP="00C224FB">
      <w:pPr>
        <w:pStyle w:val="BodyText"/>
        <w:tabs>
          <w:tab w:val="left" w:pos="800"/>
        </w:tabs>
        <w:ind w:firstLine="284"/>
        <w:rPr>
          <w:rFonts w:ascii="Garamond" w:hAnsi="Garamond"/>
          <w:lang w:val="sq-AL"/>
        </w:rPr>
      </w:pPr>
      <w:r w:rsidRPr="0036019C">
        <w:rPr>
          <w:rFonts w:ascii="Garamond" w:hAnsi="Garamond"/>
          <w:lang w:val="sq-AL"/>
        </w:rPr>
        <w:t>xiii. Shkresat drejtuar kandidatëve jofitues;</w:t>
      </w:r>
    </w:p>
    <w:p w14:paraId="631487FE" w14:textId="44053D23" w:rsidR="00BE19F3" w:rsidRPr="0036019C" w:rsidRDefault="00BE19F3" w:rsidP="00C224FB">
      <w:pPr>
        <w:pStyle w:val="BodyText"/>
        <w:tabs>
          <w:tab w:val="left" w:pos="800"/>
          <w:tab w:val="left" w:pos="1300"/>
        </w:tabs>
        <w:ind w:firstLine="284"/>
        <w:rPr>
          <w:rFonts w:ascii="Garamond" w:hAnsi="Garamond"/>
          <w:lang w:val="sq-AL"/>
        </w:rPr>
      </w:pPr>
      <w:r w:rsidRPr="0036019C">
        <w:rPr>
          <w:rFonts w:ascii="Garamond" w:hAnsi="Garamond"/>
          <w:lang w:val="sq-AL"/>
        </w:rPr>
        <w:t>xiv. Njoftimi i fituesit /anulimit, duke përfshirë provën e publikimit;</w:t>
      </w:r>
    </w:p>
    <w:p w14:paraId="25B202C0" w14:textId="67990B35" w:rsidR="00BE19F3" w:rsidRPr="0036019C" w:rsidRDefault="00BE19F3" w:rsidP="00C224FB">
      <w:pPr>
        <w:pStyle w:val="BodyText"/>
        <w:tabs>
          <w:tab w:val="left" w:pos="800"/>
          <w:tab w:val="left" w:pos="1220"/>
        </w:tabs>
        <w:ind w:firstLine="284"/>
        <w:rPr>
          <w:rFonts w:ascii="Garamond" w:hAnsi="Garamond"/>
          <w:lang w:val="sq-AL"/>
        </w:rPr>
      </w:pPr>
      <w:r w:rsidRPr="0036019C">
        <w:rPr>
          <w:rFonts w:ascii="Garamond" w:hAnsi="Garamond"/>
          <w:lang w:val="sq-AL"/>
        </w:rPr>
        <w:t>xv. Kontratat e nënshkruara, ndryshimet në to, klauzolat shtesë, raportet e zbatimit dhe korrespondenca përkatëse.</w:t>
      </w:r>
    </w:p>
    <w:p w14:paraId="2836B1BF" w14:textId="4181241B" w:rsidR="00BE19F3" w:rsidRPr="0036019C" w:rsidRDefault="00BE19F3" w:rsidP="00C224FB">
      <w:pPr>
        <w:pStyle w:val="BodyText"/>
        <w:tabs>
          <w:tab w:val="left" w:pos="860"/>
        </w:tabs>
        <w:ind w:firstLine="284"/>
        <w:rPr>
          <w:rFonts w:ascii="Garamond" w:hAnsi="Garamond"/>
          <w:lang w:val="sq-AL"/>
        </w:rPr>
      </w:pPr>
      <w:r w:rsidRPr="0036019C">
        <w:rPr>
          <w:rFonts w:ascii="Garamond" w:hAnsi="Garamond"/>
          <w:lang w:val="sq-AL"/>
        </w:rPr>
        <w:t>b) Thirrjet për projekt-propozime dhe grantet direkte:</w:t>
      </w:r>
    </w:p>
    <w:p w14:paraId="554DB212" w14:textId="3C0B565D" w:rsidR="00BE19F3" w:rsidRPr="0036019C" w:rsidRDefault="00BE19F3" w:rsidP="00C224FB">
      <w:pPr>
        <w:pStyle w:val="BodyText"/>
        <w:tabs>
          <w:tab w:val="left" w:pos="1120"/>
        </w:tabs>
        <w:ind w:firstLine="284"/>
        <w:rPr>
          <w:rFonts w:ascii="Garamond" w:hAnsi="Garamond"/>
          <w:lang w:val="sq-AL"/>
        </w:rPr>
      </w:pPr>
      <w:r w:rsidRPr="0036019C">
        <w:rPr>
          <w:rFonts w:ascii="Garamond" w:hAnsi="Garamond"/>
          <w:lang w:val="sq-AL"/>
        </w:rPr>
        <w:t>i. Emërimi i komisionit të vlerësimit;</w:t>
      </w:r>
    </w:p>
    <w:p w14:paraId="20B53388" w14:textId="7ADD4465" w:rsidR="00BE19F3" w:rsidRPr="0036019C" w:rsidRDefault="00BE19F3" w:rsidP="00C224FB">
      <w:pPr>
        <w:pStyle w:val="BodyText"/>
        <w:tabs>
          <w:tab w:val="left" w:pos="1140"/>
        </w:tabs>
        <w:ind w:firstLine="284"/>
        <w:rPr>
          <w:rFonts w:ascii="Garamond" w:hAnsi="Garamond"/>
          <w:lang w:val="sq-AL"/>
        </w:rPr>
      </w:pPr>
      <w:r w:rsidRPr="0036019C">
        <w:rPr>
          <w:rFonts w:ascii="Garamond" w:hAnsi="Garamond"/>
          <w:lang w:val="sq-AL"/>
        </w:rPr>
        <w:t>ii. Raporti i hapjes dhe administrativ, duke përfshirë shtojcat dhe aplikimet e dorëzuara;</w:t>
      </w:r>
      <w:r w:rsidR="00E92521" w:rsidRPr="0036019C">
        <w:rPr>
          <w:rStyle w:val="FootnoteReference"/>
          <w:rFonts w:ascii="Garamond" w:hAnsi="Garamond"/>
          <w:lang w:val="sq-AL"/>
        </w:rPr>
        <w:footnoteReference w:id="34"/>
      </w:r>
    </w:p>
    <w:p w14:paraId="6286BDD3" w14:textId="31E4C7CF" w:rsidR="00BE19F3" w:rsidRPr="0036019C" w:rsidRDefault="00BE19F3" w:rsidP="00C224FB">
      <w:pPr>
        <w:pStyle w:val="BodyText"/>
        <w:tabs>
          <w:tab w:val="left" w:pos="1200"/>
        </w:tabs>
        <w:ind w:firstLine="284"/>
        <w:rPr>
          <w:rFonts w:ascii="Garamond" w:hAnsi="Garamond"/>
          <w:lang w:val="sq-AL"/>
        </w:rPr>
      </w:pPr>
      <w:r w:rsidRPr="0036019C">
        <w:rPr>
          <w:rFonts w:ascii="Garamond" w:hAnsi="Garamond"/>
          <w:lang w:val="sq-AL"/>
        </w:rPr>
        <w:t>iii. Shkresat drejtuar aplikantëve të kualifikuar dhe të skualifikuar, pas vlerësimit të projektit konceptual;</w:t>
      </w:r>
    </w:p>
    <w:p w14:paraId="662D2430" w14:textId="08F15B54" w:rsidR="00BE19F3" w:rsidRPr="0036019C" w:rsidRDefault="00BE19F3" w:rsidP="00C224FB">
      <w:pPr>
        <w:pStyle w:val="BodyText"/>
        <w:tabs>
          <w:tab w:val="left" w:pos="1180"/>
        </w:tabs>
        <w:ind w:firstLine="284"/>
        <w:rPr>
          <w:rFonts w:ascii="Garamond" w:hAnsi="Garamond"/>
          <w:lang w:val="sq-AL"/>
        </w:rPr>
      </w:pPr>
      <w:r w:rsidRPr="0036019C">
        <w:rPr>
          <w:rFonts w:ascii="Garamond" w:hAnsi="Garamond"/>
          <w:lang w:val="sq-AL"/>
        </w:rPr>
        <w:t>iv. Raporti i vlerësimit të projektit konceptual;</w:t>
      </w:r>
    </w:p>
    <w:p w14:paraId="6CD22BCA" w14:textId="4CE27139" w:rsidR="00BE19F3" w:rsidRPr="0036019C" w:rsidRDefault="00BE19F3" w:rsidP="00C224FB">
      <w:pPr>
        <w:pStyle w:val="BodyText"/>
        <w:tabs>
          <w:tab w:val="left" w:pos="1120"/>
        </w:tabs>
        <w:ind w:firstLine="284"/>
        <w:rPr>
          <w:rFonts w:ascii="Garamond" w:hAnsi="Garamond"/>
          <w:lang w:val="sq-AL"/>
        </w:rPr>
      </w:pPr>
      <w:r w:rsidRPr="0036019C">
        <w:rPr>
          <w:rFonts w:ascii="Garamond" w:hAnsi="Garamond"/>
          <w:lang w:val="sq-AL"/>
        </w:rPr>
        <w:t>v. Raporti i vlerësimit të aplikimit të plotë ose raporti i negociatave, bashkë me shtojcat përkatëse;</w:t>
      </w:r>
    </w:p>
    <w:p w14:paraId="55E6C2DE" w14:textId="7AD4040F" w:rsidR="00BE19F3" w:rsidRPr="0036019C" w:rsidRDefault="00BE19F3" w:rsidP="00C224FB">
      <w:pPr>
        <w:pStyle w:val="BodyText"/>
        <w:tabs>
          <w:tab w:val="left" w:pos="1180"/>
        </w:tabs>
        <w:ind w:firstLine="284"/>
        <w:rPr>
          <w:rFonts w:ascii="Garamond" w:hAnsi="Garamond"/>
          <w:lang w:val="sq-AL"/>
        </w:rPr>
      </w:pPr>
      <w:r w:rsidRPr="0036019C">
        <w:rPr>
          <w:rFonts w:ascii="Garamond" w:hAnsi="Garamond"/>
          <w:lang w:val="sq-AL"/>
        </w:rPr>
        <w:t>vi. Kontrolli i kritereve kualifikuese dhe dokumenteve mbështetëse;</w:t>
      </w:r>
    </w:p>
    <w:p w14:paraId="10CE9A70" w14:textId="275AD512" w:rsidR="00BE19F3" w:rsidRPr="0036019C" w:rsidRDefault="00BE19F3" w:rsidP="00C224FB">
      <w:pPr>
        <w:pStyle w:val="BodyText"/>
        <w:tabs>
          <w:tab w:val="left" w:pos="1240"/>
        </w:tabs>
        <w:ind w:firstLine="284"/>
        <w:rPr>
          <w:rFonts w:ascii="Garamond" w:hAnsi="Garamond"/>
          <w:lang w:val="sq-AL"/>
        </w:rPr>
      </w:pPr>
      <w:r w:rsidRPr="0036019C">
        <w:rPr>
          <w:rFonts w:ascii="Garamond" w:hAnsi="Garamond"/>
          <w:lang w:val="sq-AL"/>
        </w:rPr>
        <w:t>vii. Shkresat drejtuar aplikantëve fitues dhe jofitues me një listë rezervë të miratuar pas vlerësimit të plotë të aplikimeve;</w:t>
      </w:r>
    </w:p>
    <w:p w14:paraId="610781B8" w14:textId="04C8038D" w:rsidR="00BE19F3" w:rsidRPr="0036019C" w:rsidRDefault="00BE19F3" w:rsidP="00C224FB">
      <w:pPr>
        <w:pStyle w:val="BodyText"/>
        <w:ind w:firstLine="284"/>
        <w:rPr>
          <w:rFonts w:ascii="Garamond" w:hAnsi="Garamond"/>
          <w:lang w:val="sq-AL"/>
        </w:rPr>
      </w:pPr>
      <w:r w:rsidRPr="0036019C">
        <w:rPr>
          <w:rFonts w:ascii="Garamond" w:hAnsi="Garamond"/>
          <w:lang w:val="sq-AL"/>
        </w:rPr>
        <w:t>viii.</w:t>
      </w:r>
      <w:r w:rsidR="000F72F0" w:rsidRPr="0036019C">
        <w:rPr>
          <w:rFonts w:ascii="Garamond" w:hAnsi="Garamond"/>
          <w:lang w:val="sq-AL"/>
        </w:rPr>
        <w:t xml:space="preserve"> </w:t>
      </w:r>
      <w:r w:rsidRPr="0036019C">
        <w:rPr>
          <w:rFonts w:ascii="Garamond" w:hAnsi="Garamond"/>
          <w:lang w:val="sq-AL"/>
        </w:rPr>
        <w:t>Shkresa përcjellëse për dorëzimin e kontratës grant;</w:t>
      </w:r>
    </w:p>
    <w:p w14:paraId="7808512C" w14:textId="4444AA7F" w:rsidR="00BE19F3" w:rsidRPr="0036019C" w:rsidRDefault="00BE19F3" w:rsidP="00C224FB">
      <w:pPr>
        <w:pStyle w:val="BodyText"/>
        <w:tabs>
          <w:tab w:val="left" w:pos="1180"/>
        </w:tabs>
        <w:ind w:firstLine="284"/>
        <w:rPr>
          <w:rFonts w:ascii="Garamond" w:hAnsi="Garamond"/>
          <w:lang w:val="sq-AL"/>
        </w:rPr>
      </w:pPr>
      <w:r w:rsidRPr="0036019C">
        <w:rPr>
          <w:rFonts w:ascii="Garamond" w:hAnsi="Garamond"/>
          <w:lang w:val="sq-AL"/>
        </w:rPr>
        <w:t>ix. Njoftimi i fituesit /anulimit me provë të publikimit;</w:t>
      </w:r>
    </w:p>
    <w:p w14:paraId="721F0350" w14:textId="50064892" w:rsidR="00BE19F3" w:rsidRPr="0036019C" w:rsidRDefault="00BE19F3" w:rsidP="00C224FB">
      <w:pPr>
        <w:pStyle w:val="BodyText"/>
        <w:tabs>
          <w:tab w:val="left" w:pos="1140"/>
        </w:tabs>
        <w:ind w:firstLine="284"/>
        <w:rPr>
          <w:rFonts w:ascii="Garamond" w:hAnsi="Garamond"/>
          <w:lang w:val="sq-AL"/>
        </w:rPr>
      </w:pPr>
      <w:r w:rsidRPr="0036019C">
        <w:rPr>
          <w:rFonts w:ascii="Garamond" w:hAnsi="Garamond"/>
          <w:lang w:val="sq-AL"/>
        </w:rPr>
        <w:t>x. Kontratat e nënshkruara, ndryshimet në to, klauzolat shtesë, raportet e zbatimit dhe korrespondenca përkatëse.</w:t>
      </w:r>
    </w:p>
    <w:p w14:paraId="2ACEF77E"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lastRenderedPageBreak/>
        <w:t>Gjithashtu, dokumentet financiare të përcaktuara në pikat 2(a) dhe 2(b) plotësohen me të gjitha dokumentet mbështetëse përkatëse siç kërkohet nga procedurat e përcaktuara në pikën 1, si edhe me të gjithë dokumentacionin përkatës që lidhet me pagesat, rikuperimet dhe shpenzimet operacionale, për shembull raportet e projektit dhe raportet e kontrolleve në terren, marrjen në dorëzim të furnizimeve dhe punimeve, garancitë dhe raportet e inxhinierëve mbikëqyrës.</w:t>
      </w:r>
    </w:p>
    <w:p w14:paraId="60F9781C" w14:textId="3B8E0380" w:rsidR="00BE19F3" w:rsidRPr="0036019C" w:rsidRDefault="00BE19F3" w:rsidP="00C224FB">
      <w:pPr>
        <w:pStyle w:val="BodyText"/>
        <w:tabs>
          <w:tab w:val="left" w:pos="440"/>
        </w:tabs>
        <w:ind w:firstLine="284"/>
        <w:rPr>
          <w:rFonts w:ascii="Garamond" w:hAnsi="Garamond"/>
          <w:lang w:val="sq-AL"/>
        </w:rPr>
      </w:pPr>
      <w:r w:rsidRPr="0036019C">
        <w:rPr>
          <w:rFonts w:ascii="Garamond" w:hAnsi="Garamond"/>
          <w:lang w:val="sq-AL"/>
        </w:rPr>
        <w:t>3</w:t>
      </w:r>
      <w:r w:rsidR="00CE6415">
        <w:rPr>
          <w:rFonts w:ascii="Garamond" w:hAnsi="Garamond"/>
          <w:lang w:val="sq-AL"/>
        </w:rPr>
        <w:t>.</w:t>
      </w:r>
      <w:r w:rsidRPr="0036019C">
        <w:rPr>
          <w:rFonts w:ascii="Garamond" w:hAnsi="Garamond"/>
          <w:lang w:val="sq-AL"/>
        </w:rPr>
        <w:t xml:space="preserve"> Operacionet e bashkëfinancuara nga BE-ja në kuadrin e këtij Programi mund të përfitojnë fonde nga një organizatë ndërkombëtare, Shtet Anëtar, vend i tretë ose organizatë rajonale.</w:t>
      </w:r>
    </w:p>
    <w:p w14:paraId="384E414A" w14:textId="77777777" w:rsidR="00E92521" w:rsidRPr="0036019C" w:rsidRDefault="00E92521" w:rsidP="00C224FB">
      <w:pPr>
        <w:pStyle w:val="Heading20"/>
        <w:spacing w:after="0" w:line="240" w:lineRule="auto"/>
        <w:ind w:firstLine="284"/>
        <w:jc w:val="both"/>
        <w:rPr>
          <w:rFonts w:ascii="Garamond" w:hAnsi="Garamond"/>
          <w:b w:val="0"/>
          <w:bCs w:val="0"/>
          <w:sz w:val="24"/>
          <w:szCs w:val="24"/>
        </w:rPr>
      </w:pPr>
    </w:p>
    <w:p w14:paraId="65B96072" w14:textId="74032924" w:rsidR="00E92521" w:rsidRPr="0036019C" w:rsidRDefault="00BE19F3" w:rsidP="00E92521">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1b</w:t>
      </w:r>
    </w:p>
    <w:p w14:paraId="5D81B41E" w14:textId="658CCDA0" w:rsidR="00BE19F3" w:rsidRPr="0036019C" w:rsidRDefault="00BE19F3" w:rsidP="00E92521">
      <w:pPr>
        <w:pStyle w:val="Heading20"/>
        <w:spacing w:after="0" w:line="240" w:lineRule="auto"/>
        <w:ind w:firstLine="284"/>
        <w:rPr>
          <w:rFonts w:ascii="Garamond" w:hAnsi="Garamond"/>
          <w:sz w:val="24"/>
          <w:szCs w:val="24"/>
        </w:rPr>
      </w:pPr>
      <w:r w:rsidRPr="0036019C">
        <w:rPr>
          <w:rFonts w:ascii="Garamond" w:hAnsi="Garamond"/>
          <w:bCs w:val="0"/>
          <w:sz w:val="24"/>
          <w:szCs w:val="24"/>
        </w:rPr>
        <w:t>Përjashtimi dhe sanksionet administrative</w:t>
      </w:r>
    </w:p>
    <w:p w14:paraId="40F0E161" w14:textId="77777777" w:rsidR="00E92521" w:rsidRPr="0036019C" w:rsidRDefault="00E92521" w:rsidP="00C224FB">
      <w:pPr>
        <w:pStyle w:val="BodyText"/>
        <w:tabs>
          <w:tab w:val="left" w:pos="440"/>
        </w:tabs>
        <w:ind w:firstLine="284"/>
        <w:rPr>
          <w:rFonts w:ascii="Garamond" w:hAnsi="Garamond"/>
          <w:b/>
          <w:lang w:val="sq-AL"/>
        </w:rPr>
      </w:pPr>
    </w:p>
    <w:p w14:paraId="53E7DCF5" w14:textId="06EFFF38" w:rsidR="00BE19F3" w:rsidRPr="0036019C" w:rsidRDefault="00BE19F3" w:rsidP="00C224FB">
      <w:pPr>
        <w:pStyle w:val="BodyText"/>
        <w:tabs>
          <w:tab w:val="left" w:pos="440"/>
        </w:tabs>
        <w:ind w:firstLine="284"/>
        <w:rPr>
          <w:rFonts w:ascii="Garamond" w:hAnsi="Garamond"/>
          <w:lang w:val="sq-AL"/>
        </w:rPr>
      </w:pPr>
      <w:r w:rsidRPr="0036019C">
        <w:rPr>
          <w:rFonts w:ascii="Garamond" w:hAnsi="Garamond"/>
          <w:lang w:val="sq-AL"/>
        </w:rPr>
        <w:t>1</w:t>
      </w:r>
      <w:r w:rsidR="000F72F0" w:rsidRPr="0036019C">
        <w:rPr>
          <w:rFonts w:ascii="Garamond" w:hAnsi="Garamond"/>
          <w:lang w:val="sq-AL"/>
        </w:rPr>
        <w:t>.</w:t>
      </w:r>
      <w:r w:rsidRPr="0036019C">
        <w:rPr>
          <w:rFonts w:ascii="Garamond" w:hAnsi="Garamond"/>
          <w:lang w:val="sq-AL"/>
        </w:rPr>
        <w:t xml:space="preserve"> Gjatë zbatimit të procedurave dhe dokumenteve standarde të miratuara dhe të publikuara nga Komisioni për prokurimet dhe kontratat grant, përfituesi IPA III garanton që asnjë prokurim apo kontratë grant e financuar nga BE-ja të mos i jepet një operatori ekonomik apo aplikanti për grant nëse operatori ekonomik apo aplikanti për grant, qoftë vetë ose një person me tagra përfaqësimi, vendimmarrjeje apo kontrolli mbi të, ndodhet në një nga situatat e përjashtimit të përcaktuara në procedurat përkatëse dhe dokumentet standarde të Komisionit.</w:t>
      </w:r>
    </w:p>
    <w:p w14:paraId="011478BA" w14:textId="78DA5A76"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2</w:t>
      </w:r>
      <w:r w:rsidR="000F72F0" w:rsidRPr="0036019C">
        <w:rPr>
          <w:rFonts w:ascii="Garamond" w:hAnsi="Garamond"/>
          <w:lang w:val="sq-AL"/>
        </w:rPr>
        <w:t>.</w:t>
      </w:r>
      <w:r w:rsidRPr="0036019C">
        <w:rPr>
          <w:rFonts w:ascii="Garamond" w:hAnsi="Garamond"/>
          <w:lang w:val="sq-AL"/>
        </w:rPr>
        <w:t xml:space="preserve"> Përfituesi IPA III informon menjëherë Komisionit kur një kandidat, ofertues apo aplikant ndodhet në njërën nga situatat e përjashtimit sipas pikës (1) ose ka kryer parregullsi dhe mashtrim sipas nenit 51(5) të MFKP-së ose ka shfaqur mangësi të theksuara në respektimin e detyrimeve kryesore në lidhje me zbatimin e një kontrate apo granti të financuar nga buxheti i BE-ë.</w:t>
      </w:r>
    </w:p>
    <w:p w14:paraId="2DBF3C2B" w14:textId="73BE688E" w:rsidR="00BE19F3" w:rsidRPr="0036019C" w:rsidRDefault="00BE19F3" w:rsidP="00C224FB">
      <w:pPr>
        <w:pStyle w:val="BodyText"/>
        <w:ind w:firstLine="284"/>
        <w:rPr>
          <w:rFonts w:ascii="Garamond" w:hAnsi="Garamond"/>
          <w:lang w:val="sq-AL"/>
        </w:rPr>
      </w:pPr>
      <w:r w:rsidRPr="0036019C">
        <w:rPr>
          <w:rFonts w:ascii="Garamond" w:hAnsi="Garamond"/>
          <w:lang w:val="sq-AL"/>
        </w:rPr>
        <w:t>3</w:t>
      </w:r>
      <w:r w:rsidR="000F72F0" w:rsidRPr="0036019C">
        <w:rPr>
          <w:rFonts w:ascii="Garamond" w:hAnsi="Garamond"/>
          <w:lang w:val="sq-AL"/>
        </w:rPr>
        <w:t>.</w:t>
      </w:r>
      <w:r w:rsidRPr="0036019C">
        <w:rPr>
          <w:rFonts w:ascii="Garamond" w:hAnsi="Garamond"/>
          <w:lang w:val="sq-AL"/>
        </w:rPr>
        <w:t xml:space="preserve"> Gjatë procedurave të prokurimit dhe kontratave të grantit, përfituesi IPA III merr parasysh informacionin që përmban sistemi EDES (Sistemi i Diktimit të Hershëm dhe Përjashtimit) i Komisionit. Aksesi në informacion mund të garantohet nëpërmjet pikave ndërlidhëse ose konsultimit duke përdorur këto mjete: (Komisioni Evropian, Drejtoria e Përgjithshme e Buxhetit, Zyrtari Kontabël i Komisionit, MO15, B-1049 Bruksel, Belgjikë dhe me </w:t>
      </w:r>
      <w:r w:rsidR="00CE6415" w:rsidRPr="00CE6415">
        <w:rPr>
          <w:rFonts w:ascii="Garamond" w:hAnsi="Garamond"/>
          <w:i/>
          <w:iCs/>
          <w:lang w:val="sq-AL"/>
        </w:rPr>
        <w:t>e­mail</w:t>
      </w:r>
      <w:r w:rsidRPr="0036019C">
        <w:rPr>
          <w:rFonts w:ascii="Garamond" w:hAnsi="Garamond"/>
          <w:lang w:val="sq-AL"/>
        </w:rPr>
        <w:t xml:space="preserve"> drejtuar BUDG-EDES-DB@ec.europa.eu duke vënë në dijeni Komisionin përmes adresës së përcaktuar në nenin 3 të Kushteve të Veçanta). Çdo kontratë ose grant i lidhur me një kontraktues apo përfituesi granti që ndodhet në situatën e përjashtimit në momentin e lidhjes së kontratës, përjashtohet nga financimet e BE-së dhe mund të zbatohet mekanizmi i korrigjimeve financiare sipas nenit 7a.</w:t>
      </w:r>
    </w:p>
    <w:p w14:paraId="1C741A03" w14:textId="373193C8" w:rsidR="00BE19F3" w:rsidRPr="0036019C" w:rsidRDefault="00BE19F3" w:rsidP="00C224FB">
      <w:pPr>
        <w:pStyle w:val="BodyText"/>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Kur përfituesi III vihet në dijeni për situatën e përjashtimit sipas pikë (1) në zbatimin e detyrave të përcaktuara </w:t>
      </w:r>
      <w:r w:rsidR="00C347BB">
        <w:rPr>
          <w:rFonts w:ascii="Garamond" w:hAnsi="Garamond"/>
          <w:lang w:val="sq-AL"/>
        </w:rPr>
        <w:t>në shtojcën</w:t>
      </w:r>
      <w:r w:rsidRPr="0036019C">
        <w:rPr>
          <w:rFonts w:ascii="Garamond" w:hAnsi="Garamond"/>
          <w:lang w:val="sq-AL"/>
        </w:rPr>
        <w:t xml:space="preserve"> I, përfituesi IPA III vendos - në zbatim të kushteve të legjislacionit të brendshëm - refuzimin e operatorit ekonomik apo aplikantit për grant nga procedura në fjalë dhe përjashtimin e tij nga procedurat e ardhshme të prokurimit dhe grantit. Përfituesi IPA III mund edhe të vendosë penalitete financiare proporcionale me vlerën e kontratës në fjalë. Refuzimet, përjashtimet dhe/ose penalitetet financiare vendosen pas procedurës së kundërshtimit që i garanton të drejtën e mbrojtjes personit në fjalë. Përfituesi IPA III njofton Komisionin sipas pikës (2) të këtij neni.</w:t>
      </w:r>
    </w:p>
    <w:p w14:paraId="3353B07B" w14:textId="4C595E66" w:rsidR="00715121" w:rsidRPr="0036019C" w:rsidRDefault="00BE19F3" w:rsidP="00715121">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2</w:t>
      </w:r>
    </w:p>
    <w:p w14:paraId="2D169725" w14:textId="529B853F" w:rsidR="00BE19F3" w:rsidRPr="0036019C" w:rsidRDefault="00BE19F3" w:rsidP="00715121">
      <w:pPr>
        <w:pStyle w:val="Heading20"/>
        <w:spacing w:after="0" w:line="240" w:lineRule="auto"/>
        <w:ind w:firstLine="284"/>
        <w:rPr>
          <w:rFonts w:ascii="Garamond" w:hAnsi="Garamond"/>
          <w:sz w:val="24"/>
          <w:szCs w:val="24"/>
        </w:rPr>
      </w:pPr>
      <w:r w:rsidRPr="0036019C">
        <w:rPr>
          <w:rFonts w:ascii="Garamond" w:hAnsi="Garamond"/>
          <w:bCs w:val="0"/>
          <w:sz w:val="24"/>
          <w:szCs w:val="24"/>
        </w:rPr>
        <w:t>Komunikimi dhe Vizibiliteti</w:t>
      </w:r>
    </w:p>
    <w:p w14:paraId="0068B7A1" w14:textId="77777777" w:rsidR="00715121" w:rsidRPr="0036019C" w:rsidRDefault="00715121" w:rsidP="00C224FB">
      <w:pPr>
        <w:pStyle w:val="BodyText"/>
        <w:tabs>
          <w:tab w:val="left" w:pos="380"/>
        </w:tabs>
        <w:ind w:firstLine="284"/>
        <w:rPr>
          <w:rFonts w:ascii="Garamond" w:hAnsi="Garamond"/>
          <w:lang w:val="sq-AL"/>
        </w:rPr>
      </w:pPr>
    </w:p>
    <w:p w14:paraId="56B126CE" w14:textId="2D62E485"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Në përputhje </w:t>
      </w:r>
      <w:r w:rsidR="00C347BB">
        <w:rPr>
          <w:rFonts w:ascii="Garamond" w:hAnsi="Garamond"/>
          <w:lang w:val="sq-AL"/>
        </w:rPr>
        <w:t>me nenin</w:t>
      </w:r>
      <w:r w:rsidRPr="0036019C">
        <w:rPr>
          <w:rFonts w:ascii="Garamond" w:hAnsi="Garamond"/>
          <w:lang w:val="sq-AL"/>
        </w:rPr>
        <w:t xml:space="preserve"> 24 të MFKP-së, përfituesi IPA III merr masat e nevojshme për të garantuar vizibilitetin e financimit të BE-së për aktivitetet që i janë besuar atij, si dhe përgatit një plan koherent për aktivitetet e komunikimit dhe vizibilitetit, i cili duhet t’i paraqitet Komisionit për miratim brenda 2 muajve nga data e hyrjes në fuqi të kësaj Marrëveshjeje Financimi.</w:t>
      </w:r>
    </w:p>
    <w:p w14:paraId="652A87CC" w14:textId="7CA6A7F4"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Këto aktivitete komunikimi dhe vizibiliteti duhet të jenë në përputhje me Manualin e Vizibilitetit dhe Komunikimit për </w:t>
      </w:r>
      <w:r w:rsidR="00C347BB" w:rsidRPr="0036019C">
        <w:rPr>
          <w:rFonts w:ascii="Garamond" w:hAnsi="Garamond"/>
          <w:lang w:val="sq-AL"/>
        </w:rPr>
        <w:t xml:space="preserve">Veprimet </w:t>
      </w:r>
      <w:r w:rsidRPr="0036019C">
        <w:rPr>
          <w:rFonts w:ascii="Garamond" w:hAnsi="Garamond"/>
          <w:lang w:val="sq-AL"/>
        </w:rPr>
        <w:t xml:space="preserve">e </w:t>
      </w:r>
      <w:r w:rsidR="00C347BB" w:rsidRPr="0036019C">
        <w:rPr>
          <w:rFonts w:ascii="Garamond" w:hAnsi="Garamond"/>
          <w:lang w:val="sq-AL"/>
        </w:rPr>
        <w:t xml:space="preserve">Jashtme </w:t>
      </w:r>
      <w:r w:rsidRPr="0036019C">
        <w:rPr>
          <w:rFonts w:ascii="Garamond" w:hAnsi="Garamond"/>
          <w:lang w:val="sq-AL"/>
        </w:rPr>
        <w:t>të BE-së të miratuara dhe të publikuara nga Komisioni, i cili është në fuqi në kohën e aktiviteteve.</w:t>
      </w:r>
    </w:p>
    <w:p w14:paraId="2BA88A95" w14:textId="77777777" w:rsidR="00BE19F3" w:rsidRPr="0036019C" w:rsidRDefault="00BE19F3" w:rsidP="00C224FB">
      <w:pPr>
        <w:pStyle w:val="BodyText"/>
        <w:tabs>
          <w:tab w:val="left" w:pos="380"/>
        </w:tabs>
        <w:ind w:firstLine="284"/>
        <w:rPr>
          <w:rFonts w:ascii="Garamond" w:hAnsi="Garamond"/>
          <w:lang w:val="sq-AL"/>
        </w:rPr>
      </w:pPr>
    </w:p>
    <w:p w14:paraId="406F7168" w14:textId="77777777" w:rsidR="00715121" w:rsidRPr="0036019C" w:rsidRDefault="00BE19F3" w:rsidP="00715121">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3</w:t>
      </w:r>
    </w:p>
    <w:p w14:paraId="7BD93810" w14:textId="3536927E" w:rsidR="00BE19F3" w:rsidRPr="0036019C" w:rsidRDefault="00BE19F3" w:rsidP="00715121">
      <w:pPr>
        <w:pStyle w:val="Heading20"/>
        <w:spacing w:after="0" w:line="240" w:lineRule="auto"/>
        <w:ind w:firstLine="284"/>
        <w:rPr>
          <w:rFonts w:ascii="Garamond" w:hAnsi="Garamond"/>
          <w:sz w:val="24"/>
          <w:szCs w:val="24"/>
        </w:rPr>
      </w:pPr>
      <w:r w:rsidRPr="0036019C">
        <w:rPr>
          <w:rFonts w:ascii="Garamond" w:hAnsi="Garamond"/>
          <w:bCs w:val="0"/>
          <w:sz w:val="24"/>
          <w:szCs w:val="24"/>
        </w:rPr>
        <w:lastRenderedPageBreak/>
        <w:t xml:space="preserve">Kontrollet </w:t>
      </w:r>
      <w:r w:rsidR="00091000" w:rsidRPr="00091000">
        <w:rPr>
          <w:rFonts w:ascii="Garamond" w:hAnsi="Garamond"/>
          <w:bCs w:val="0"/>
          <w:i/>
          <w:iCs/>
          <w:sz w:val="24"/>
          <w:szCs w:val="24"/>
        </w:rPr>
        <w:t xml:space="preserve">ex-ante </w:t>
      </w:r>
      <w:r w:rsidRPr="0036019C">
        <w:rPr>
          <w:rFonts w:ascii="Garamond" w:hAnsi="Garamond"/>
          <w:bCs w:val="0"/>
          <w:sz w:val="24"/>
          <w:szCs w:val="24"/>
        </w:rPr>
        <w:t xml:space="preserve">për procedurat e granteve dhe prokurimit dhe kontrollet </w:t>
      </w:r>
      <w:r w:rsidR="00CE6415" w:rsidRPr="00CE6415">
        <w:rPr>
          <w:rFonts w:ascii="Garamond" w:hAnsi="Garamond"/>
          <w:bCs w:val="0"/>
          <w:i/>
          <w:iCs/>
          <w:sz w:val="24"/>
          <w:szCs w:val="24"/>
        </w:rPr>
        <w:t xml:space="preserve">ex-post </w:t>
      </w:r>
      <w:r w:rsidRPr="0036019C">
        <w:rPr>
          <w:rFonts w:ascii="Garamond" w:hAnsi="Garamond"/>
          <w:bCs w:val="0"/>
          <w:sz w:val="24"/>
          <w:szCs w:val="24"/>
        </w:rPr>
        <w:t>për kontratat dhe grantet që do të realizohen nga Komisioni</w:t>
      </w:r>
    </w:p>
    <w:p w14:paraId="58BA7EA0" w14:textId="77777777" w:rsidR="00715121" w:rsidRPr="0036019C" w:rsidRDefault="00715121" w:rsidP="00C224FB">
      <w:pPr>
        <w:pStyle w:val="BodyText"/>
        <w:tabs>
          <w:tab w:val="left" w:pos="380"/>
        </w:tabs>
        <w:ind w:firstLine="284"/>
        <w:rPr>
          <w:rFonts w:ascii="Garamond" w:hAnsi="Garamond"/>
          <w:b/>
          <w:lang w:val="sq-AL"/>
        </w:rPr>
      </w:pPr>
    </w:p>
    <w:p w14:paraId="5748B805" w14:textId="04DEA10E"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Komisioni mund të ushtrojë kontrolle </w:t>
      </w:r>
      <w:r w:rsidR="00091000" w:rsidRPr="00091000">
        <w:rPr>
          <w:rFonts w:ascii="Garamond" w:hAnsi="Garamond"/>
          <w:i/>
          <w:iCs/>
          <w:lang w:val="sq-AL"/>
        </w:rPr>
        <w:t xml:space="preserve">ex-ante </w:t>
      </w:r>
      <w:r w:rsidRPr="0036019C">
        <w:rPr>
          <w:rFonts w:ascii="Garamond" w:hAnsi="Garamond"/>
          <w:lang w:val="sq-AL"/>
        </w:rPr>
        <w:t>për procedurat e prokurimit dhe granteve për fazat si më poshtë:</w:t>
      </w:r>
    </w:p>
    <w:p w14:paraId="1BC87B8C" w14:textId="7BA08956" w:rsidR="00BE19F3" w:rsidRPr="0036019C" w:rsidRDefault="00BE19F3" w:rsidP="00C224FB">
      <w:pPr>
        <w:pStyle w:val="BodyText"/>
        <w:tabs>
          <w:tab w:val="left" w:pos="760"/>
        </w:tabs>
        <w:ind w:firstLine="284"/>
        <w:rPr>
          <w:rFonts w:ascii="Garamond" w:hAnsi="Garamond"/>
          <w:lang w:val="sq-AL"/>
        </w:rPr>
      </w:pPr>
      <w:r w:rsidRPr="0036019C">
        <w:rPr>
          <w:rFonts w:ascii="Garamond" w:hAnsi="Garamond"/>
          <w:lang w:val="sq-AL"/>
        </w:rPr>
        <w:t>a) miratimi i njoftimeve të kontratës</w:t>
      </w:r>
      <w:r w:rsidR="00CE6415">
        <w:rPr>
          <w:rFonts w:ascii="Garamond" w:hAnsi="Garamond"/>
          <w:lang w:val="sq-AL"/>
        </w:rPr>
        <w:t>/</w:t>
      </w:r>
      <w:r w:rsidRPr="0036019C">
        <w:rPr>
          <w:rFonts w:ascii="Garamond" w:hAnsi="Garamond"/>
          <w:lang w:val="sq-AL"/>
        </w:rPr>
        <w:t>ave për prokurim dhe çdo korrigjim i tyre;</w:t>
      </w:r>
    </w:p>
    <w:p w14:paraId="75387AA1" w14:textId="3846205C" w:rsidR="00BE19F3" w:rsidRPr="0036019C" w:rsidRDefault="00BE19F3" w:rsidP="00C224FB">
      <w:pPr>
        <w:pStyle w:val="BodyText"/>
        <w:tabs>
          <w:tab w:val="left" w:pos="780"/>
        </w:tabs>
        <w:ind w:firstLine="284"/>
        <w:rPr>
          <w:rFonts w:ascii="Garamond" w:hAnsi="Garamond"/>
          <w:lang w:val="sq-AL"/>
        </w:rPr>
      </w:pPr>
      <w:r w:rsidRPr="0036019C">
        <w:rPr>
          <w:rFonts w:ascii="Garamond" w:hAnsi="Garamond"/>
          <w:lang w:val="sq-AL"/>
        </w:rPr>
        <w:t>b) miratimi i dosjeve të tenderit dhe udhëzimeve për aplikantët për grantet;</w:t>
      </w:r>
    </w:p>
    <w:p w14:paraId="12C56B5A" w14:textId="755446A1" w:rsidR="00BE19F3" w:rsidRPr="0036019C" w:rsidRDefault="00BE19F3" w:rsidP="00C224FB">
      <w:pPr>
        <w:pStyle w:val="BodyText"/>
        <w:tabs>
          <w:tab w:val="left" w:pos="760"/>
        </w:tabs>
        <w:ind w:firstLine="284"/>
        <w:rPr>
          <w:rFonts w:ascii="Garamond" w:hAnsi="Garamond"/>
          <w:lang w:val="sq-AL"/>
        </w:rPr>
      </w:pPr>
      <w:r w:rsidRPr="0036019C">
        <w:rPr>
          <w:rFonts w:ascii="Garamond" w:hAnsi="Garamond"/>
          <w:lang w:val="sq-AL"/>
        </w:rPr>
        <w:t>c) miratimi i përbërjes së Komisioneve të Vlerësimit;</w:t>
      </w:r>
    </w:p>
    <w:p w14:paraId="3AB40EB9" w14:textId="3D268D31" w:rsidR="00BE19F3" w:rsidRPr="0036019C" w:rsidRDefault="00BE19F3" w:rsidP="00C224FB">
      <w:pPr>
        <w:pStyle w:val="BodyText"/>
        <w:tabs>
          <w:tab w:val="left" w:pos="780"/>
        </w:tabs>
        <w:ind w:firstLine="284"/>
        <w:rPr>
          <w:rFonts w:ascii="Garamond" w:hAnsi="Garamond"/>
          <w:lang w:val="sq-AL"/>
        </w:rPr>
      </w:pPr>
      <w:r w:rsidRPr="0036019C">
        <w:rPr>
          <w:rFonts w:ascii="Garamond" w:hAnsi="Garamond"/>
          <w:lang w:val="sq-AL"/>
        </w:rPr>
        <w:t>d) miratimi i raporteve të vlerësimit, vendimeve të refuzimit dhe përzgjedhjes së fituesit;</w:t>
      </w:r>
      <w:r w:rsidR="00715121" w:rsidRPr="0036019C">
        <w:rPr>
          <w:rStyle w:val="FootnoteReference"/>
          <w:rFonts w:ascii="Garamond" w:hAnsi="Garamond"/>
          <w:lang w:val="sq-AL"/>
        </w:rPr>
        <w:footnoteReference w:id="35"/>
      </w:r>
    </w:p>
    <w:p w14:paraId="28A59D6F" w14:textId="0B0370A3" w:rsidR="00BE19F3" w:rsidRPr="0036019C" w:rsidRDefault="00BE19F3" w:rsidP="00C224FB">
      <w:pPr>
        <w:pStyle w:val="BodyText"/>
        <w:tabs>
          <w:tab w:val="left" w:pos="760"/>
        </w:tabs>
        <w:ind w:firstLine="284"/>
        <w:rPr>
          <w:rFonts w:ascii="Garamond" w:hAnsi="Garamond"/>
          <w:lang w:val="sq-AL"/>
        </w:rPr>
      </w:pPr>
      <w:r w:rsidRPr="0036019C">
        <w:rPr>
          <w:rFonts w:ascii="Garamond" w:hAnsi="Garamond"/>
          <w:lang w:val="sq-AL"/>
        </w:rPr>
        <w:t>e) miratimi i dosjeve të kontratave dhe aneks-kontratave.</w:t>
      </w:r>
    </w:p>
    <w:p w14:paraId="74957713" w14:textId="5ED6ACC9"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 lidhje me kontrollet </w:t>
      </w:r>
      <w:r w:rsidRPr="0036019C">
        <w:rPr>
          <w:rFonts w:ascii="Garamond" w:hAnsi="Garamond"/>
          <w:i/>
          <w:iCs/>
          <w:lang w:val="sq-AL"/>
        </w:rPr>
        <w:t>ex-ante,</w:t>
      </w:r>
      <w:r w:rsidRPr="0036019C">
        <w:rPr>
          <w:rFonts w:ascii="Garamond" w:hAnsi="Garamond"/>
          <w:lang w:val="sq-AL"/>
        </w:rPr>
        <w:t xml:space="preserve"> Komisioni vendos:</w:t>
      </w:r>
    </w:p>
    <w:p w14:paraId="2506063F" w14:textId="6FB92A62" w:rsidR="00BE19F3" w:rsidRPr="0036019C" w:rsidRDefault="00BE19F3" w:rsidP="00C224FB">
      <w:pPr>
        <w:pStyle w:val="BodyText"/>
        <w:tabs>
          <w:tab w:val="left" w:pos="760"/>
        </w:tabs>
        <w:ind w:firstLine="284"/>
        <w:rPr>
          <w:rFonts w:ascii="Garamond" w:hAnsi="Garamond"/>
          <w:lang w:val="sq-AL"/>
        </w:rPr>
      </w:pPr>
      <w:r w:rsidRPr="0036019C">
        <w:rPr>
          <w:rFonts w:ascii="Garamond" w:hAnsi="Garamond"/>
          <w:lang w:val="sq-AL"/>
        </w:rPr>
        <w:t xml:space="preserve">a) të kryejë kontrolle </w:t>
      </w:r>
      <w:r w:rsidR="00091000" w:rsidRPr="00091000">
        <w:rPr>
          <w:rFonts w:ascii="Garamond" w:hAnsi="Garamond"/>
          <w:i/>
          <w:iCs/>
          <w:lang w:val="sq-AL"/>
        </w:rPr>
        <w:t xml:space="preserve">ex-ante </w:t>
      </w:r>
      <w:r w:rsidRPr="0036019C">
        <w:rPr>
          <w:rFonts w:ascii="Garamond" w:hAnsi="Garamond"/>
          <w:lang w:val="sq-AL"/>
        </w:rPr>
        <w:t>për të gjitha dosjet, ose</w:t>
      </w:r>
    </w:p>
    <w:p w14:paraId="732A598E" w14:textId="4ECCA94B" w:rsidR="00BE19F3" w:rsidRPr="0036019C" w:rsidRDefault="00BE19F3" w:rsidP="00C224FB">
      <w:pPr>
        <w:pStyle w:val="BodyText"/>
        <w:tabs>
          <w:tab w:val="left" w:pos="780"/>
        </w:tabs>
        <w:ind w:firstLine="284"/>
        <w:rPr>
          <w:rFonts w:ascii="Garamond" w:hAnsi="Garamond"/>
          <w:lang w:val="sq-AL"/>
        </w:rPr>
      </w:pPr>
      <w:r w:rsidRPr="0036019C">
        <w:rPr>
          <w:rFonts w:ascii="Garamond" w:hAnsi="Garamond"/>
          <w:lang w:val="sq-AL"/>
        </w:rPr>
        <w:t xml:space="preserve">b) të kryejë kontrolle </w:t>
      </w:r>
      <w:r w:rsidR="00091000" w:rsidRPr="00091000">
        <w:rPr>
          <w:rFonts w:ascii="Garamond" w:hAnsi="Garamond"/>
          <w:i/>
          <w:iCs/>
          <w:lang w:val="sq-AL"/>
        </w:rPr>
        <w:t xml:space="preserve">ex-ante </w:t>
      </w:r>
      <w:r w:rsidRPr="0036019C">
        <w:rPr>
          <w:rFonts w:ascii="Garamond" w:hAnsi="Garamond"/>
          <w:lang w:val="sq-AL"/>
        </w:rPr>
        <w:t>në disa dosje të tilla të përzgjedhura, ose</w:t>
      </w:r>
    </w:p>
    <w:p w14:paraId="3ABA7F0B" w14:textId="16C9A81C" w:rsidR="00BE19F3" w:rsidRPr="0036019C" w:rsidRDefault="00BE19F3" w:rsidP="00C224FB">
      <w:pPr>
        <w:pStyle w:val="BodyText"/>
        <w:tabs>
          <w:tab w:val="left" w:pos="760"/>
        </w:tabs>
        <w:ind w:firstLine="284"/>
        <w:rPr>
          <w:rFonts w:ascii="Garamond" w:hAnsi="Garamond"/>
          <w:lang w:val="sq-AL"/>
        </w:rPr>
      </w:pPr>
      <w:r w:rsidRPr="0036019C">
        <w:rPr>
          <w:rFonts w:ascii="Garamond" w:hAnsi="Garamond"/>
          <w:lang w:val="sq-AL"/>
        </w:rPr>
        <w:t xml:space="preserve">c) të heqë dorë plotësisht nga kontrollet </w:t>
      </w:r>
      <w:r w:rsidRPr="0036019C">
        <w:rPr>
          <w:rFonts w:ascii="Garamond" w:hAnsi="Garamond"/>
          <w:i/>
          <w:iCs/>
          <w:lang w:val="sq-AL"/>
        </w:rPr>
        <w:t>ex-ante</w:t>
      </w:r>
      <w:r w:rsidRPr="0036019C">
        <w:rPr>
          <w:rFonts w:ascii="Garamond" w:hAnsi="Garamond"/>
          <w:lang w:val="sq-AL"/>
        </w:rPr>
        <w:t>.</w:t>
      </w:r>
    </w:p>
    <w:p w14:paraId="21A452A0" w14:textId="177069FB" w:rsidR="00BE19F3" w:rsidRPr="0036019C" w:rsidRDefault="00BE19F3" w:rsidP="00C224FB">
      <w:pPr>
        <w:pStyle w:val="BodyText"/>
        <w:tabs>
          <w:tab w:val="left" w:pos="44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Nëse Komisioni vendos të kryejë kontrolle </w:t>
      </w:r>
      <w:r w:rsidR="00091000" w:rsidRPr="00091000">
        <w:rPr>
          <w:rFonts w:ascii="Garamond" w:hAnsi="Garamond"/>
          <w:i/>
          <w:iCs/>
          <w:lang w:val="sq-AL"/>
        </w:rPr>
        <w:t xml:space="preserve">ex-ante </w:t>
      </w:r>
      <w:r w:rsidRPr="0036019C">
        <w:rPr>
          <w:rFonts w:ascii="Garamond" w:hAnsi="Garamond"/>
          <w:lang w:val="sq-AL"/>
        </w:rPr>
        <w:t xml:space="preserve">në përputhje me pikën 2(a) ose (b), informon përfituesin IPA III për dosjet e përzgjedhura për kontrollet </w:t>
      </w:r>
      <w:r w:rsidRPr="0036019C">
        <w:rPr>
          <w:rFonts w:ascii="Garamond" w:hAnsi="Garamond"/>
          <w:i/>
          <w:iCs/>
          <w:lang w:val="sq-AL"/>
        </w:rPr>
        <w:t>ex-ante.</w:t>
      </w:r>
      <w:r w:rsidRPr="0036019C">
        <w:rPr>
          <w:rFonts w:ascii="Garamond" w:hAnsi="Garamond"/>
          <w:lang w:val="sq-AL"/>
        </w:rPr>
        <w:t xml:space="preserve"> Përfituesi IPA III i paraqet Komisionit të gjithë dokumentacionin dhe informacionin e nevojshëm menjëherë pasi informohet se një dosje është përzgjedhur për kontroll </w:t>
      </w:r>
      <w:r w:rsidRPr="0036019C">
        <w:rPr>
          <w:rFonts w:ascii="Garamond" w:hAnsi="Garamond"/>
          <w:i/>
          <w:iCs/>
          <w:lang w:val="sq-AL"/>
        </w:rPr>
        <w:t>ex-ante</w:t>
      </w:r>
      <w:r w:rsidRPr="0036019C">
        <w:rPr>
          <w:rFonts w:ascii="Garamond" w:hAnsi="Garamond"/>
          <w:lang w:val="sq-AL"/>
        </w:rPr>
        <w:t>, jo më vonë se momenti i dorëzimit për publik të njoftimit të kontratës apo udhëzimeve për aplikantët.</w:t>
      </w:r>
    </w:p>
    <w:p w14:paraId="552E3886" w14:textId="26C01B5F"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Komisioni mund të vendosë të kryejë kontrolle </w:t>
      </w:r>
      <w:r w:rsidR="00CE6415" w:rsidRPr="00CE6415">
        <w:rPr>
          <w:rFonts w:ascii="Garamond" w:hAnsi="Garamond"/>
          <w:i/>
          <w:iCs/>
          <w:lang w:val="sq-AL"/>
        </w:rPr>
        <w:t xml:space="preserve">ex-post </w:t>
      </w:r>
      <w:r w:rsidRPr="0036019C">
        <w:rPr>
          <w:rFonts w:ascii="Garamond" w:hAnsi="Garamond"/>
          <w:lang w:val="sq-AL"/>
        </w:rPr>
        <w:t xml:space="preserve">për procedurat e granteve që nuk kanë qenë objekt i kontrollit </w:t>
      </w:r>
      <w:r w:rsidR="00091000" w:rsidRPr="00091000">
        <w:rPr>
          <w:rFonts w:ascii="Garamond" w:hAnsi="Garamond"/>
          <w:i/>
          <w:iCs/>
          <w:lang w:val="sq-AL"/>
        </w:rPr>
        <w:t xml:space="preserve">ex-ante </w:t>
      </w:r>
      <w:r w:rsidRPr="0036019C">
        <w:rPr>
          <w:rFonts w:ascii="Garamond" w:hAnsi="Garamond"/>
          <w:lang w:val="sq-AL"/>
        </w:rPr>
        <w:t>(brenda 6 muajve nga nënshkrimi i kontratës).</w:t>
      </w:r>
    </w:p>
    <w:p w14:paraId="693B60E4" w14:textId="72C9D747"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5</w:t>
      </w:r>
      <w:r w:rsidR="002B38F0" w:rsidRPr="0036019C">
        <w:rPr>
          <w:rFonts w:ascii="Garamond" w:hAnsi="Garamond"/>
          <w:lang w:val="sq-AL"/>
        </w:rPr>
        <w:t>.</w:t>
      </w:r>
      <w:r w:rsidRPr="0036019C">
        <w:rPr>
          <w:rFonts w:ascii="Garamond" w:hAnsi="Garamond"/>
          <w:lang w:val="sq-AL"/>
        </w:rPr>
        <w:t xml:space="preserve"> Komisioni mund të vendosë të kryejë kontrolle </w:t>
      </w:r>
      <w:r w:rsidR="00CE6415" w:rsidRPr="00CE6415">
        <w:rPr>
          <w:rFonts w:ascii="Garamond" w:hAnsi="Garamond"/>
          <w:i/>
          <w:iCs/>
          <w:lang w:val="sq-AL"/>
        </w:rPr>
        <w:t xml:space="preserve">ex-post </w:t>
      </w:r>
      <w:r w:rsidRPr="0036019C">
        <w:rPr>
          <w:rFonts w:ascii="Garamond" w:hAnsi="Garamond"/>
          <w:lang w:val="sq-AL"/>
        </w:rPr>
        <w:t xml:space="preserve">në çdo kohë - përfshirë auditimet dhe kontrollet në terren - për çdo kontratë dhe grant të dhënë nga përfituesi IPA III që rrjedh nga kjo Marrëveshje Financimi. Përfituesi IPA III i paraqet Komisionit të gjithë dokumentacionin dhe informacionin e nevojshëm menjëherë pasi informohet se një dosje është përzgjedhur për kontroll </w:t>
      </w:r>
      <w:r w:rsidRPr="0036019C">
        <w:rPr>
          <w:rFonts w:ascii="Garamond" w:hAnsi="Garamond"/>
          <w:i/>
          <w:iCs/>
          <w:lang w:val="sq-AL"/>
        </w:rPr>
        <w:t>ex-post.</w:t>
      </w:r>
      <w:r w:rsidRPr="0036019C">
        <w:rPr>
          <w:rFonts w:ascii="Garamond" w:hAnsi="Garamond"/>
          <w:lang w:val="sq-AL"/>
        </w:rPr>
        <w:t xml:space="preserve"> Komisioni mund të autorizojë një person apo subjekt që të kryejë kontrollet </w:t>
      </w:r>
      <w:r w:rsidR="00CE6415" w:rsidRPr="00CE6415">
        <w:rPr>
          <w:rFonts w:ascii="Garamond" w:hAnsi="Garamond"/>
          <w:i/>
          <w:iCs/>
          <w:lang w:val="sq-AL"/>
        </w:rPr>
        <w:t xml:space="preserve">ex-post </w:t>
      </w:r>
      <w:r w:rsidRPr="0036019C">
        <w:rPr>
          <w:rFonts w:ascii="Garamond" w:hAnsi="Garamond"/>
          <w:lang w:val="sq-AL"/>
        </w:rPr>
        <w:t>për llogari të vet.</w:t>
      </w:r>
    </w:p>
    <w:p w14:paraId="7AA1DE6C" w14:textId="77777777" w:rsidR="00715121" w:rsidRPr="0036019C" w:rsidRDefault="00715121" w:rsidP="00C224FB">
      <w:pPr>
        <w:pStyle w:val="Heading20"/>
        <w:spacing w:after="0" w:line="240" w:lineRule="auto"/>
        <w:ind w:firstLine="284"/>
        <w:jc w:val="both"/>
        <w:rPr>
          <w:rFonts w:ascii="Garamond" w:hAnsi="Garamond"/>
          <w:b w:val="0"/>
          <w:bCs w:val="0"/>
          <w:sz w:val="24"/>
          <w:szCs w:val="24"/>
        </w:rPr>
      </w:pPr>
    </w:p>
    <w:p w14:paraId="6A7453A7" w14:textId="2CD4948B" w:rsidR="00715121" w:rsidRPr="0036019C" w:rsidRDefault="00BE19F3" w:rsidP="00715121">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4</w:t>
      </w:r>
    </w:p>
    <w:p w14:paraId="26010078" w14:textId="67DED3E8" w:rsidR="00BE19F3" w:rsidRPr="0036019C" w:rsidRDefault="00BE19F3" w:rsidP="00715121">
      <w:pPr>
        <w:pStyle w:val="Heading20"/>
        <w:spacing w:after="0" w:line="240" w:lineRule="auto"/>
        <w:ind w:firstLine="284"/>
        <w:rPr>
          <w:rFonts w:ascii="Garamond" w:hAnsi="Garamond"/>
          <w:sz w:val="24"/>
          <w:szCs w:val="24"/>
        </w:rPr>
      </w:pPr>
      <w:r w:rsidRPr="0036019C">
        <w:rPr>
          <w:rFonts w:ascii="Garamond" w:hAnsi="Garamond"/>
          <w:bCs w:val="0"/>
          <w:sz w:val="24"/>
          <w:szCs w:val="24"/>
        </w:rPr>
        <w:t>Llogaritë bankare, sistemet e kontabilitetit dhe shpenzimet e pranuara</w:t>
      </w:r>
    </w:p>
    <w:p w14:paraId="00A3F402" w14:textId="77777777" w:rsidR="00715121" w:rsidRPr="0036019C" w:rsidRDefault="00715121" w:rsidP="00715121">
      <w:pPr>
        <w:pStyle w:val="BodyText"/>
        <w:tabs>
          <w:tab w:val="left" w:pos="380"/>
        </w:tabs>
        <w:ind w:firstLine="284"/>
        <w:jc w:val="center"/>
        <w:rPr>
          <w:rFonts w:ascii="Garamond" w:hAnsi="Garamond"/>
          <w:lang w:val="sq-AL"/>
        </w:rPr>
      </w:pPr>
    </w:p>
    <w:p w14:paraId="0F7BB5D1" w14:textId="52091FBC"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Pas hyrjes në fuqi të kësaj Marrëveshjeje Financimi, Organi Kontabël dhe Organi i Ndërmjetëm për Menaxhimin Financiar (ONMF) i përfituesit IPA III që është Autoriteti Kontraktues për Programin, hap të paktën një llogari bankare në monedhën </w:t>
      </w:r>
      <w:r w:rsidR="00CC1C79" w:rsidRPr="0036019C">
        <w:rPr>
          <w:rFonts w:ascii="Garamond" w:hAnsi="Garamond"/>
          <w:lang w:val="sq-AL"/>
        </w:rPr>
        <w:t>euro</w:t>
      </w:r>
      <w:r w:rsidRPr="0036019C">
        <w:rPr>
          <w:rFonts w:ascii="Garamond" w:hAnsi="Garamond"/>
          <w:lang w:val="sq-AL"/>
        </w:rPr>
        <w:t>. Balanca bankare totale për Programin është shuma e balancave të të tilla llogarive bankare të Programit që mbahen nga Organi Kontabël dhe të gjithë ONMF-të pjesëmarrëse në përfituesin IPA III. Raportimi për të gjitha llogarite bankare që kanë lidhje me secilin program, regjistrohet përmes sistemit IPA-APP.</w:t>
      </w:r>
      <w:r w:rsidR="00715121" w:rsidRPr="0036019C">
        <w:rPr>
          <w:rStyle w:val="FootnoteReference"/>
          <w:rFonts w:ascii="Garamond" w:hAnsi="Garamond"/>
          <w:lang w:val="sq-AL"/>
        </w:rPr>
        <w:footnoteReference w:id="36"/>
      </w:r>
    </w:p>
    <w:p w14:paraId="17FACB93" w14:textId="6168B98A" w:rsidR="00BE19F3" w:rsidRPr="0036019C" w:rsidRDefault="00BE19F3" w:rsidP="00C224FB">
      <w:pPr>
        <w:pStyle w:val="BodyText"/>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Përfituesi IPA III përgatit dhe i paraqet Komisionit planet e parashikimit të disbursimeve gjatë periudhës së zbatimit të Programit, duke ndjekur modelin në germën (d) </w:t>
      </w:r>
      <w:r w:rsidR="0036019C" w:rsidRPr="0036019C">
        <w:rPr>
          <w:rFonts w:ascii="Garamond" w:hAnsi="Garamond"/>
          <w:lang w:val="sq-AL"/>
        </w:rPr>
        <w:t xml:space="preserve">të shtojcës </w:t>
      </w:r>
      <w:r w:rsidRPr="0036019C">
        <w:rPr>
          <w:rFonts w:ascii="Garamond" w:hAnsi="Garamond"/>
          <w:lang w:val="sq-AL"/>
        </w:rPr>
        <w:t>III. Këto parashikime përditësohen dhe paraqiten bashkë me çdo kërkesë për fonde sipas nenit 5(1) dhe (3), me raportin financiar vjetor të përcaktuar në nenin 14(2) dhe me parashikimin e kërkesë-pagesave të mundshme sipas nenit 33(3) të MFKP-së. Plani i parashikimit të disbursimeve bazohet në nevojat reale dhe aktuale dhe mbështetet nga një analizë e hollësishme e dokumentuar (përfshirë kontraktimet e planifikuara dhe kalendarin e pagesave për çdo kontratë), e cila i vihet në dispozicion Komisionit me kërkesë të tij.</w:t>
      </w:r>
    </w:p>
    <w:p w14:paraId="0B60862B" w14:textId="40341261" w:rsidR="00BE19F3" w:rsidRPr="0036019C" w:rsidRDefault="00BE19F3" w:rsidP="00C224FB">
      <w:pPr>
        <w:pStyle w:val="BodyText"/>
        <w:ind w:firstLine="284"/>
        <w:rPr>
          <w:rFonts w:ascii="Garamond" w:hAnsi="Garamond"/>
          <w:lang w:val="sq-AL"/>
        </w:rPr>
      </w:pPr>
      <w:r w:rsidRPr="0036019C">
        <w:rPr>
          <w:rFonts w:ascii="Garamond" w:hAnsi="Garamond"/>
          <w:lang w:val="sq-AL"/>
        </w:rPr>
        <w:lastRenderedPageBreak/>
        <w:t>3</w:t>
      </w:r>
      <w:r w:rsidR="002B38F0" w:rsidRPr="0036019C">
        <w:rPr>
          <w:rFonts w:ascii="Garamond" w:hAnsi="Garamond"/>
          <w:lang w:val="sq-AL"/>
        </w:rPr>
        <w:t>.</w:t>
      </w:r>
      <w:r w:rsidRPr="0036019C">
        <w:rPr>
          <w:rFonts w:ascii="Garamond" w:hAnsi="Garamond"/>
          <w:lang w:val="sq-AL"/>
        </w:rPr>
        <w:t xml:space="preserve"> Plani fillestar për parashikimin e disbursimeve duhet të përmbajë një përmbledhje të parashikimit vjetor të disbursimeve për të gjithë periudhën e zbatimit, si dhe parashikimet mujore të disbursimeve për 12 muajt e parë të Programit. Planet e mëvonshme duhet të përmbajnë përmbledhje të parashikimit vjetor të disbursimeve për balancën gjatë periudhës së zbatimit të Programit, si dhe parashikimet mujore të disbursimeve për 14 muajt pasues.</w:t>
      </w:r>
    </w:p>
    <w:p w14:paraId="1107E934" w14:textId="6D98F97C" w:rsidR="00BE19F3" w:rsidRPr="0036019C" w:rsidRDefault="00BE19F3" w:rsidP="00C224FB">
      <w:pPr>
        <w:pStyle w:val="BodyText"/>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Përfituesi IPA III krijon dhe mban një sistem kontabël në përputhje me Klauzolën 4(3)(a) </w:t>
      </w:r>
      <w:r w:rsidR="0036019C" w:rsidRPr="0036019C">
        <w:rPr>
          <w:rFonts w:ascii="Garamond" w:hAnsi="Garamond"/>
          <w:lang w:val="sq-AL"/>
        </w:rPr>
        <w:t xml:space="preserve">të shtojcës </w:t>
      </w:r>
      <w:r w:rsidRPr="0036019C">
        <w:rPr>
          <w:rFonts w:ascii="Garamond" w:hAnsi="Garamond"/>
          <w:lang w:val="sq-AL"/>
        </w:rPr>
        <w:t xml:space="preserve">A të MFKP- së, i cili përmban të paktën të dhëna për kontratat e menaxhuara në kuadrin e Programit të parashikuara </w:t>
      </w:r>
      <w:r w:rsidR="00C347BB">
        <w:rPr>
          <w:rFonts w:ascii="Garamond" w:hAnsi="Garamond"/>
          <w:lang w:val="sq-AL"/>
        </w:rPr>
        <w:t>në shtojcën</w:t>
      </w:r>
      <w:r w:rsidRPr="0036019C">
        <w:rPr>
          <w:rFonts w:ascii="Garamond" w:hAnsi="Garamond"/>
          <w:lang w:val="sq-AL"/>
        </w:rPr>
        <w:t xml:space="preserve"> IV.</w:t>
      </w:r>
    </w:p>
    <w:p w14:paraId="778A319A" w14:textId="40EC67CA" w:rsidR="00BE19F3" w:rsidRPr="0036019C" w:rsidRDefault="00BE19F3" w:rsidP="00C224FB">
      <w:pPr>
        <w:pStyle w:val="BodyText"/>
        <w:ind w:firstLine="284"/>
        <w:rPr>
          <w:rFonts w:ascii="Garamond" w:hAnsi="Garamond"/>
          <w:lang w:val="sq-AL"/>
        </w:rPr>
      </w:pPr>
      <w:r w:rsidRPr="0036019C">
        <w:rPr>
          <w:rFonts w:ascii="Garamond" w:hAnsi="Garamond"/>
          <w:lang w:val="sq-AL"/>
        </w:rPr>
        <w:t>5</w:t>
      </w:r>
      <w:r w:rsidR="002B38F0" w:rsidRPr="0036019C">
        <w:rPr>
          <w:rFonts w:ascii="Garamond" w:hAnsi="Garamond"/>
          <w:lang w:val="sq-AL"/>
        </w:rPr>
        <w:t>.</w:t>
      </w:r>
      <w:r w:rsidRPr="0036019C">
        <w:rPr>
          <w:rFonts w:ascii="Garamond" w:hAnsi="Garamond"/>
          <w:lang w:val="sq-AL"/>
        </w:rPr>
        <w:t xml:space="preserve"> Në zbatim </w:t>
      </w:r>
      <w:r w:rsidR="0036019C" w:rsidRPr="0036019C">
        <w:rPr>
          <w:rFonts w:ascii="Garamond" w:hAnsi="Garamond"/>
          <w:lang w:val="sq-AL"/>
        </w:rPr>
        <w:t xml:space="preserve">të nenit </w:t>
      </w:r>
      <w:r w:rsidRPr="0036019C">
        <w:rPr>
          <w:rFonts w:ascii="Garamond" w:hAnsi="Garamond"/>
          <w:lang w:val="sq-AL"/>
        </w:rPr>
        <w:t>57(2) të MFKP-së, shpenzimet e pranuara në sistemin kontabël që mbahet sipas seksionit 4 të këtij neni, duhet të jenë kryer, pranuar dhe paguar dhe të korrespondojnë me shpenzimet aktuale të vërtetuara me dokumente mbështetëse dhe duhet të përdoren, kur është e nevojshme, për të likuiduar parafinancimin e paguar nga përfituesi IPA III sipas kontratave vendore.</w:t>
      </w:r>
    </w:p>
    <w:p w14:paraId="463AAECD" w14:textId="77777777" w:rsidR="00342552" w:rsidRPr="0036019C" w:rsidRDefault="00342552" w:rsidP="00C224FB">
      <w:pPr>
        <w:pStyle w:val="Heading20"/>
        <w:spacing w:after="0" w:line="240" w:lineRule="auto"/>
        <w:ind w:firstLine="284"/>
        <w:jc w:val="both"/>
        <w:rPr>
          <w:rFonts w:ascii="Garamond" w:hAnsi="Garamond"/>
          <w:b w:val="0"/>
          <w:bCs w:val="0"/>
          <w:sz w:val="24"/>
          <w:szCs w:val="24"/>
        </w:rPr>
      </w:pPr>
    </w:p>
    <w:p w14:paraId="6071A455" w14:textId="6293B521"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5</w:t>
      </w:r>
    </w:p>
    <w:p w14:paraId="0B9DC640" w14:textId="70008EC2"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Dispozitat për pagesat e kryera nga Komisioni për përfituesin IPA III</w:t>
      </w:r>
    </w:p>
    <w:p w14:paraId="3C7B55B4" w14:textId="77777777" w:rsidR="00342552" w:rsidRPr="0036019C" w:rsidRDefault="00342552" w:rsidP="00C224FB">
      <w:pPr>
        <w:pStyle w:val="BodyText"/>
        <w:tabs>
          <w:tab w:val="left" w:pos="380"/>
        </w:tabs>
        <w:ind w:firstLine="284"/>
        <w:rPr>
          <w:rFonts w:ascii="Garamond" w:hAnsi="Garamond"/>
          <w:b/>
          <w:lang w:val="sq-AL"/>
        </w:rPr>
      </w:pPr>
    </w:p>
    <w:p w14:paraId="3ECB4EE8" w14:textId="7A6F5952"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Çdo kërkesë për parafinancim duhet të përmbajë pasqyrën e shpenzimeve për Programin, si edhe shumat e kontraktuara dhe të disbursuara si dhe shpenzimet e pranuara.</w:t>
      </w:r>
    </w:p>
    <w:p w14:paraId="189EE2F7" w14:textId="047DC9EC"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Kërkesa e parë për parafinancim mbulon 100% disbursimet e parashikuara për vitin e parë të planit të parashikimit të disbursimeve sipas nenit 4(2). Kjo kërkesë për parafinancim duhet të mbështetet me mandate bankare për të gjitha llogaritë bankare të Programit, sipas rastit.</w:t>
      </w:r>
    </w:p>
    <w:p w14:paraId="2275D88D" w14:textId="4836D0C8"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Përfituesi IPA III paraqet kërkesë-pagesat për parafinancim kur balanca totale bankare e Programit bie nën nivelin e parashikimit të disbursimeve për pesë muajt pasues të Programit.</w:t>
      </w:r>
    </w:p>
    <w:p w14:paraId="1E016341" w14:textId="322554C6"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Çdo kërkesë për parafinancim duhet të përmbajë:</w:t>
      </w:r>
    </w:p>
    <w:p w14:paraId="364979C6" w14:textId="098E6855" w:rsidR="00BE19F3" w:rsidRPr="0036019C" w:rsidRDefault="00BE19F3" w:rsidP="00C224FB">
      <w:pPr>
        <w:pStyle w:val="BodyText"/>
        <w:tabs>
          <w:tab w:val="left" w:pos="800"/>
        </w:tabs>
        <w:ind w:firstLine="284"/>
        <w:rPr>
          <w:rFonts w:ascii="Garamond" w:hAnsi="Garamond"/>
          <w:lang w:val="sq-AL"/>
        </w:rPr>
      </w:pPr>
      <w:r w:rsidRPr="0036019C">
        <w:rPr>
          <w:rFonts w:ascii="Garamond" w:hAnsi="Garamond"/>
          <w:lang w:val="sq-AL"/>
        </w:rPr>
        <w:t>a) Balancat bankare për Programin në fundin e afatit të kërkesës;</w:t>
      </w:r>
    </w:p>
    <w:p w14:paraId="3BD16D82" w14:textId="77223A9F" w:rsidR="00BE19F3" w:rsidRPr="0036019C" w:rsidRDefault="00BE19F3" w:rsidP="00C224FB">
      <w:pPr>
        <w:pStyle w:val="BodyText"/>
        <w:tabs>
          <w:tab w:val="left" w:pos="800"/>
        </w:tabs>
        <w:ind w:firstLine="284"/>
        <w:rPr>
          <w:rFonts w:ascii="Garamond" w:hAnsi="Garamond"/>
          <w:lang w:val="sq-AL"/>
        </w:rPr>
      </w:pPr>
      <w:r w:rsidRPr="0036019C">
        <w:rPr>
          <w:rFonts w:ascii="Garamond" w:hAnsi="Garamond"/>
          <w:lang w:val="sq-AL"/>
        </w:rPr>
        <w:t>b) Mandatet bankare të përditësuara për të gjitha llogaritë bankare të Programit, nëse ka;</w:t>
      </w:r>
    </w:p>
    <w:p w14:paraId="6C62E020" w14:textId="034B49D8" w:rsidR="00BE19F3" w:rsidRPr="0036019C" w:rsidRDefault="00BE19F3" w:rsidP="00C224FB">
      <w:pPr>
        <w:pStyle w:val="BodyText"/>
        <w:tabs>
          <w:tab w:val="left" w:pos="800"/>
          <w:tab w:val="left" w:pos="1120"/>
        </w:tabs>
        <w:ind w:firstLine="284"/>
        <w:rPr>
          <w:rFonts w:ascii="Garamond" w:hAnsi="Garamond"/>
          <w:lang w:val="sq-AL"/>
        </w:rPr>
      </w:pPr>
      <w:r w:rsidRPr="0036019C">
        <w:rPr>
          <w:rFonts w:ascii="Garamond" w:hAnsi="Garamond"/>
          <w:lang w:val="sq-AL"/>
        </w:rPr>
        <w:t>c) Parashikimin e disbursimeve për Programin për 14 muaj nga afati i kërkesës sipas nenit 4(2);</w:t>
      </w:r>
    </w:p>
    <w:p w14:paraId="283D2BE7" w14:textId="4CE3D5EA" w:rsidR="00BE19F3" w:rsidRPr="0036019C" w:rsidRDefault="00BE19F3" w:rsidP="00C224FB">
      <w:pPr>
        <w:pStyle w:val="BodyText"/>
        <w:tabs>
          <w:tab w:val="left" w:pos="800"/>
          <w:tab w:val="left" w:pos="1120"/>
        </w:tabs>
        <w:ind w:firstLine="284"/>
        <w:rPr>
          <w:rFonts w:ascii="Garamond" w:hAnsi="Garamond"/>
          <w:lang w:val="sq-AL"/>
        </w:rPr>
      </w:pPr>
      <w:r w:rsidRPr="0036019C">
        <w:rPr>
          <w:rFonts w:ascii="Garamond" w:hAnsi="Garamond"/>
          <w:lang w:val="sq-AL"/>
        </w:rPr>
        <w:t>d) Raportimin në IPA-APP.</w:t>
      </w:r>
    </w:p>
    <w:p w14:paraId="5CA9E437" w14:textId="54B9C287"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5</w:t>
      </w:r>
      <w:r w:rsidR="002B38F0" w:rsidRPr="0036019C">
        <w:rPr>
          <w:rFonts w:ascii="Garamond" w:hAnsi="Garamond"/>
          <w:lang w:val="sq-AL"/>
        </w:rPr>
        <w:t>.</w:t>
      </w:r>
      <w:r w:rsidRPr="0036019C">
        <w:rPr>
          <w:rFonts w:ascii="Garamond" w:hAnsi="Garamond"/>
          <w:lang w:val="sq-AL"/>
        </w:rPr>
        <w:t xml:space="preserve"> Për çdo parafinancim të mëvonshëm, përfituesi IPA III mund të kërkojë shumën totale të disbursimeve të parashikuara për 14 muaj pas afatit të kërkesës, minus balancat e përcaktuara në pikën 4(a) në datën e afatit të kërkesës për fonde, plus ndonjë shumë të financuar nga përfituesi IPA III sipas pikës 6 e cila nuk është rimbursuar ende.</w:t>
      </w:r>
    </w:p>
    <w:p w14:paraId="7CA506F1" w14:textId="77777777"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Komisioni rezervon të drejtën për të reduktuar çdo pagesë të mëvonshme parafinancimi nëse balanca totale bankare e mbajtur nga përfituesi IPA III në kuadrin e këtij Programi tejkalon parashikimin e disbursimeve për 14 muajt pasues.</w:t>
      </w:r>
    </w:p>
    <w:p w14:paraId="62083A25" w14:textId="4B60162E"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6</w:t>
      </w:r>
      <w:r w:rsidR="002B38F0" w:rsidRPr="0036019C">
        <w:rPr>
          <w:rFonts w:ascii="Garamond" w:hAnsi="Garamond"/>
          <w:lang w:val="sq-AL"/>
        </w:rPr>
        <w:t>.</w:t>
      </w:r>
      <w:r w:rsidRPr="0036019C">
        <w:rPr>
          <w:rFonts w:ascii="Garamond" w:hAnsi="Garamond"/>
          <w:lang w:val="sq-AL"/>
        </w:rPr>
        <w:t xml:space="preserve"> Kur pagesa reduktohet sipas pikës 5, përfituesi IPA II duhet të financojë Programin nga burimet e veta deri në shumën e reduktimit. Përfituesi IPA III mund të kërkojë më pas rimbursimin e atyre fondeve si pjesë e kërkesës së radhës për fonde të parashikuar në pikën 5.</w:t>
      </w:r>
    </w:p>
    <w:p w14:paraId="70AB7B2D" w14:textId="47DB90AF"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7</w:t>
      </w:r>
      <w:r w:rsidR="002B38F0" w:rsidRPr="0036019C">
        <w:rPr>
          <w:rFonts w:ascii="Garamond" w:hAnsi="Garamond"/>
          <w:lang w:val="sq-AL"/>
        </w:rPr>
        <w:t>.</w:t>
      </w:r>
      <w:r w:rsidRPr="0036019C">
        <w:rPr>
          <w:rFonts w:ascii="Garamond" w:hAnsi="Garamond"/>
          <w:lang w:val="sq-AL"/>
        </w:rPr>
        <w:t xml:space="preserve"> Sipas nenit 33(1) të MFKP-së, Komisioni rezervon të drejtën të kryejë pagesa të pjesshme brenda kufijve të fondeve që ka. Sapo fondet vihen në dispozicion sërish, Komision paguan menjëherë pjesën e mbetur.</w:t>
      </w:r>
    </w:p>
    <w:p w14:paraId="7DA1501A" w14:textId="6CA317F9"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8</w:t>
      </w:r>
      <w:r w:rsidR="002B38F0" w:rsidRPr="0036019C">
        <w:rPr>
          <w:rFonts w:ascii="Garamond" w:hAnsi="Garamond"/>
          <w:lang w:val="sq-AL"/>
        </w:rPr>
        <w:t>.</w:t>
      </w:r>
      <w:r w:rsidRPr="0036019C">
        <w:rPr>
          <w:rFonts w:ascii="Garamond" w:hAnsi="Garamond"/>
          <w:lang w:val="sq-AL"/>
        </w:rPr>
        <w:t xml:space="preserve"> Komisioni ka të drejtë të rikuperojë balancat e tepërta bankare që kanë mbetur pa u përdorur për më shumë se 12 muaj. Para ushtrimit të kësaj të drejte, Komisioni fton përfituesin IPA III të japë arsyet e vonesës në disbursimin e fondeve dhe të provojë nevojën e vazhdueshme për ato fonde gjatë dy muajve pasues.</w:t>
      </w:r>
    </w:p>
    <w:p w14:paraId="308ADEDF" w14:textId="128FED6E"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9</w:t>
      </w:r>
      <w:r w:rsidR="002B38F0" w:rsidRPr="0036019C">
        <w:rPr>
          <w:rFonts w:ascii="Garamond" w:hAnsi="Garamond"/>
          <w:lang w:val="sq-AL"/>
        </w:rPr>
        <w:t>.</w:t>
      </w:r>
      <w:r w:rsidRPr="0036019C">
        <w:rPr>
          <w:rFonts w:ascii="Garamond" w:hAnsi="Garamond"/>
          <w:lang w:val="sq-AL"/>
        </w:rPr>
        <w:t xml:space="preserve"> Interesat e gjeneruar nga llogaritë bankare që përdoren për këtë Program nuk i takojnë Komisionit.</w:t>
      </w:r>
    </w:p>
    <w:p w14:paraId="5A94DA5D" w14:textId="4E0054AF"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10</w:t>
      </w:r>
      <w:r w:rsidR="002B38F0" w:rsidRPr="0036019C">
        <w:rPr>
          <w:rFonts w:ascii="Garamond" w:hAnsi="Garamond"/>
          <w:lang w:val="sq-AL"/>
        </w:rPr>
        <w:t>.</w:t>
      </w:r>
      <w:r w:rsidRPr="0036019C">
        <w:rPr>
          <w:rFonts w:ascii="Garamond" w:hAnsi="Garamond"/>
          <w:lang w:val="sq-AL"/>
        </w:rPr>
        <w:t xml:space="preserve"> Sipas nenit 33(4) të MFKP-së, nëse Komisioni e ndërpret afatin për kërkesë-pagesën për më shumë se dy muaj, përfituesi IPA III mund t’i kërkojë Komisionit një vendim nëse ndërprerja do të vazhdojë.</w:t>
      </w:r>
    </w:p>
    <w:p w14:paraId="1B8A1B52" w14:textId="15A09EFF"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lastRenderedPageBreak/>
        <w:t>11</w:t>
      </w:r>
      <w:r w:rsidR="002B38F0" w:rsidRPr="0036019C">
        <w:rPr>
          <w:rFonts w:ascii="Garamond" w:hAnsi="Garamond"/>
          <w:lang w:val="sq-AL"/>
        </w:rPr>
        <w:t>.</w:t>
      </w:r>
      <w:r w:rsidRPr="0036019C">
        <w:rPr>
          <w:rFonts w:ascii="Garamond" w:hAnsi="Garamond"/>
          <w:lang w:val="sq-AL"/>
        </w:rPr>
        <w:t xml:space="preserve"> Pasqyra përfundimtare e shpenzimeve e certifikuar sipas nenit 36(1)(a) të MFKP-së i dorëzohet ZKA-së jo më vonë se 16 muaj fundit të periudhës së zbatimit operacional.</w:t>
      </w:r>
    </w:p>
    <w:p w14:paraId="15A10D30" w14:textId="77777777" w:rsidR="00342552" w:rsidRPr="0036019C" w:rsidRDefault="00342552" w:rsidP="00C224FB">
      <w:pPr>
        <w:pStyle w:val="Heading20"/>
        <w:spacing w:after="0" w:line="240" w:lineRule="auto"/>
        <w:ind w:firstLine="284"/>
        <w:jc w:val="both"/>
        <w:rPr>
          <w:rFonts w:ascii="Garamond" w:hAnsi="Garamond"/>
          <w:b w:val="0"/>
          <w:bCs w:val="0"/>
          <w:sz w:val="24"/>
          <w:szCs w:val="24"/>
        </w:rPr>
      </w:pPr>
    </w:p>
    <w:p w14:paraId="16C4420C" w14:textId="77777777" w:rsidR="00CE6415" w:rsidRDefault="00CE6415" w:rsidP="00342552">
      <w:pPr>
        <w:pStyle w:val="Heading20"/>
        <w:spacing w:after="0" w:line="240" w:lineRule="auto"/>
        <w:ind w:firstLine="284"/>
        <w:rPr>
          <w:rFonts w:ascii="Garamond" w:hAnsi="Garamond"/>
          <w:b w:val="0"/>
          <w:bCs w:val="0"/>
          <w:sz w:val="24"/>
          <w:szCs w:val="24"/>
        </w:rPr>
      </w:pPr>
    </w:p>
    <w:p w14:paraId="1845421E" w14:textId="77777777" w:rsidR="00CE6415" w:rsidRDefault="00CE6415" w:rsidP="00342552">
      <w:pPr>
        <w:pStyle w:val="Heading20"/>
        <w:spacing w:after="0" w:line="240" w:lineRule="auto"/>
        <w:ind w:firstLine="284"/>
        <w:rPr>
          <w:rFonts w:ascii="Garamond" w:hAnsi="Garamond"/>
          <w:b w:val="0"/>
          <w:bCs w:val="0"/>
          <w:sz w:val="24"/>
          <w:szCs w:val="24"/>
        </w:rPr>
      </w:pPr>
    </w:p>
    <w:p w14:paraId="0CF1D037" w14:textId="02267438"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6</w:t>
      </w:r>
    </w:p>
    <w:p w14:paraId="1C46E418" w14:textId="6B3C8CC8"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Ndërprerja e pagesave</w:t>
      </w:r>
    </w:p>
    <w:p w14:paraId="70F45441" w14:textId="77777777" w:rsidR="00342552" w:rsidRPr="0036019C" w:rsidRDefault="00342552" w:rsidP="00C224FB">
      <w:pPr>
        <w:pStyle w:val="BodyText"/>
        <w:tabs>
          <w:tab w:val="left" w:pos="380"/>
        </w:tabs>
        <w:ind w:firstLine="284"/>
        <w:rPr>
          <w:rFonts w:ascii="Garamond" w:hAnsi="Garamond"/>
          <w:b/>
          <w:lang w:val="sq-AL"/>
        </w:rPr>
      </w:pPr>
    </w:p>
    <w:p w14:paraId="66A9353F" w14:textId="027ABD84"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Pa cenuar pezullimin ose zgjidhjen e kësaj Marrëveshjeje Financimi sipas përkatësisht neneve 18 dhe 19, si dhe pa cenuar nenet 38 dhe 39 të MFKP-së, Komisioni mund të ndërpresë pagesat pjesërisht ose plotësisht, nëse:</w:t>
      </w:r>
    </w:p>
    <w:p w14:paraId="046CAB80" w14:textId="3C1F10CC" w:rsidR="00BE19F3" w:rsidRPr="0036019C" w:rsidRDefault="00BE19F3" w:rsidP="00C224FB">
      <w:pPr>
        <w:pStyle w:val="BodyText"/>
        <w:tabs>
          <w:tab w:val="left" w:pos="760"/>
        </w:tabs>
        <w:ind w:firstLine="284"/>
        <w:rPr>
          <w:rFonts w:ascii="Garamond" w:hAnsi="Garamond"/>
          <w:lang w:val="sq-AL"/>
        </w:rPr>
      </w:pPr>
      <w:r w:rsidRPr="0036019C">
        <w:rPr>
          <w:rFonts w:ascii="Garamond" w:hAnsi="Garamond"/>
          <w:lang w:val="sq-AL"/>
        </w:rPr>
        <w:t>a) Komisioni ka konstatuar ose ka shqetësime serioze se përfituesi IPA III ka kryer gabime thelbësore, parregullsi apo mashtrim që vë në dyshim ligjshmërinë apo rregullsinë e transaksioneve në fjalë gjatë zbatimit të Programit, ose nuk ka përmbushur detyrimet në kuadrin e kësaj Marrëveshjeje Financimi, duke përfshirë detyrimet lidhur me zbatimin e Planit të Vizibilitetit dhe Komunikimit.</w:t>
      </w:r>
    </w:p>
    <w:p w14:paraId="57FBF968" w14:textId="0ED43ECD" w:rsidR="00BE19F3" w:rsidRPr="0036019C" w:rsidRDefault="00BE19F3" w:rsidP="00C224FB">
      <w:pPr>
        <w:pStyle w:val="BodyText"/>
        <w:tabs>
          <w:tab w:val="left" w:pos="780"/>
        </w:tabs>
        <w:ind w:firstLine="284"/>
        <w:rPr>
          <w:rFonts w:ascii="Garamond" w:hAnsi="Garamond"/>
          <w:lang w:val="sq-AL"/>
        </w:rPr>
      </w:pPr>
      <w:r w:rsidRPr="0036019C">
        <w:rPr>
          <w:rFonts w:ascii="Garamond" w:hAnsi="Garamond"/>
          <w:lang w:val="sq-AL"/>
        </w:rPr>
        <w:t>b) Komisioni ka konstatuar se ka shqetësime serioze se përfituesi IPA III ka kryer gabime sistematike dhe të përsëritura, parregullsi, mashtrim apo shkelje të detyrimeve në kuadrin e kësaj apo ndonjë tjetër Marrëveshje Financimi, me kusht që ato gabime, parregullsi, mashtrim apo shkelje të keni ndikim material në zbatimin e Marrëveshjes së Financimit apo të vënë në dyshim besueshmërinë e sistemit e kontrollit të brendshëm të përfituesit IPA IIIII ose ligjshmërinë dhe rregullsinë e shpenzimeve në fjalë.</w:t>
      </w:r>
    </w:p>
    <w:p w14:paraId="789BF58D" w14:textId="77777777" w:rsidR="00BE19F3" w:rsidRPr="0036019C" w:rsidRDefault="00BE19F3" w:rsidP="00C224FB">
      <w:pPr>
        <w:pStyle w:val="Heading20"/>
        <w:spacing w:after="0" w:line="240" w:lineRule="auto"/>
        <w:ind w:firstLine="284"/>
        <w:jc w:val="both"/>
        <w:rPr>
          <w:rFonts w:ascii="Garamond" w:hAnsi="Garamond"/>
          <w:sz w:val="24"/>
          <w:szCs w:val="24"/>
        </w:rPr>
      </w:pPr>
      <w:r w:rsidRPr="0036019C">
        <w:rPr>
          <w:rFonts w:ascii="Garamond" w:hAnsi="Garamond"/>
          <w:b w:val="0"/>
          <w:bCs w:val="0"/>
          <w:sz w:val="24"/>
          <w:szCs w:val="24"/>
        </w:rPr>
        <w:t>Neni 7 - Rikuperimi i fondeve</w:t>
      </w:r>
    </w:p>
    <w:p w14:paraId="12281C36" w14:textId="137C5850"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Përveç rasteve të përcaktuara në nenin 40 të MFKP-së, Komisioni mund të rikuperojë fonde nga përfituesi IPA III siç parashikon Marrëveshja Financiare, veçanërisht në rastet e mëposhtme:</w:t>
      </w:r>
    </w:p>
    <w:p w14:paraId="27CEEC01" w14:textId="6C54E782" w:rsidR="00BE19F3" w:rsidRPr="0036019C" w:rsidRDefault="00BE19F3" w:rsidP="00C224FB">
      <w:pPr>
        <w:pStyle w:val="BodyText"/>
        <w:tabs>
          <w:tab w:val="left" w:pos="260"/>
        </w:tabs>
        <w:ind w:firstLine="284"/>
        <w:rPr>
          <w:rFonts w:ascii="Garamond" w:hAnsi="Garamond"/>
          <w:lang w:val="sq-AL"/>
        </w:rPr>
      </w:pPr>
      <w:r w:rsidRPr="0036019C">
        <w:rPr>
          <w:rFonts w:ascii="Garamond" w:hAnsi="Garamond"/>
          <w:lang w:val="sq-AL"/>
        </w:rPr>
        <w:t>a) mosarritja e rezultateve dhe mospërdorimi i produkteve për qëllimin e synuar sipas Shtojcës I;</w:t>
      </w:r>
    </w:p>
    <w:p w14:paraId="4840B888" w14:textId="5AAEA654" w:rsidR="00BE19F3" w:rsidRPr="0036019C" w:rsidRDefault="00BE19F3" w:rsidP="00C224FB">
      <w:pPr>
        <w:pStyle w:val="BodyText"/>
        <w:tabs>
          <w:tab w:val="left" w:pos="260"/>
        </w:tabs>
        <w:ind w:firstLine="284"/>
        <w:rPr>
          <w:rFonts w:ascii="Garamond" w:hAnsi="Garamond"/>
          <w:lang w:val="sq-AL"/>
        </w:rPr>
      </w:pPr>
      <w:r w:rsidRPr="0036019C">
        <w:rPr>
          <w:rFonts w:ascii="Garamond" w:hAnsi="Garamond"/>
          <w:lang w:val="sq-AL"/>
        </w:rPr>
        <w:t>b) shpenzime të papranueshme;</w:t>
      </w:r>
    </w:p>
    <w:p w14:paraId="75F40EE5" w14:textId="3BA2ECD2" w:rsidR="00BE19F3" w:rsidRPr="0036019C" w:rsidRDefault="00BE19F3" w:rsidP="00C224FB">
      <w:pPr>
        <w:pStyle w:val="BodyText"/>
        <w:tabs>
          <w:tab w:val="left" w:pos="260"/>
        </w:tabs>
        <w:ind w:firstLine="284"/>
        <w:rPr>
          <w:rFonts w:ascii="Garamond" w:hAnsi="Garamond"/>
          <w:lang w:val="sq-AL"/>
        </w:rPr>
      </w:pPr>
      <w:r w:rsidRPr="0036019C">
        <w:rPr>
          <w:rFonts w:ascii="Garamond" w:hAnsi="Garamond"/>
          <w:lang w:val="sq-AL"/>
        </w:rPr>
        <w:t>c) mosrespektim i normës së bashkëfinancimit, sipas Shtojcës I;</w:t>
      </w:r>
    </w:p>
    <w:p w14:paraId="2EEC7110" w14:textId="3CAA233B" w:rsidR="00BE19F3" w:rsidRPr="0036019C" w:rsidRDefault="00BE19F3" w:rsidP="00C224FB">
      <w:pPr>
        <w:pStyle w:val="BodyText"/>
        <w:tabs>
          <w:tab w:val="left" w:pos="260"/>
        </w:tabs>
        <w:ind w:firstLine="284"/>
        <w:rPr>
          <w:rFonts w:ascii="Garamond" w:hAnsi="Garamond"/>
          <w:lang w:val="sq-AL"/>
        </w:rPr>
      </w:pPr>
      <w:r w:rsidRPr="0036019C">
        <w:rPr>
          <w:rFonts w:ascii="Garamond" w:hAnsi="Garamond"/>
          <w:lang w:val="sq-AL"/>
        </w:rPr>
        <w:t>d) shpenzime të paguara si rezultat i gabimeve, parregullsive, mashtrimit apo shkeljes së detyrimeve në zbatimin e Programit, veçanërisht në procedurat e prokurimit dhe dhënies së granteve;</w:t>
      </w:r>
    </w:p>
    <w:p w14:paraId="3FBA2EAE" w14:textId="044F1B3E" w:rsidR="00BE19F3" w:rsidRPr="0036019C" w:rsidRDefault="00BE19F3" w:rsidP="00C224FB">
      <w:pPr>
        <w:pStyle w:val="BodyText"/>
        <w:tabs>
          <w:tab w:val="left" w:pos="260"/>
        </w:tabs>
        <w:ind w:firstLine="284"/>
        <w:rPr>
          <w:rFonts w:ascii="Garamond" w:hAnsi="Garamond"/>
          <w:lang w:val="sq-AL"/>
        </w:rPr>
      </w:pPr>
      <w:r w:rsidRPr="0036019C">
        <w:rPr>
          <w:rFonts w:ascii="Garamond" w:hAnsi="Garamond"/>
          <w:lang w:val="sq-AL"/>
        </w:rPr>
        <w:t>e) dobësi ose mangësi në sistemet e menaxhimit dhe kontrollit të përfituesit IPA III, që rezultojnë në korrigjimin financiar.</w:t>
      </w:r>
    </w:p>
    <w:p w14:paraId="649DA811" w14:textId="73490DB8"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 përputhje me legjislacionin e brendshëm, ZKA rikuperon kontributin e BE-së që i është paguar përfituesit IPA II nga marrësit e fondeve, të cilët kanë qenë në një nga situatat e përcaktuara në pikën 1, germat b) ose d) të këtij neni, apo ato të përcaktuara në nenin 41 të MFKP-së. Fakti që ZKA-ja nuk arrin të rikuperojë një pjesë apo të gjitha fondet, nuk e pengon Komisionin të rikuperojë fondet nga përfituesi IPA III.</w:t>
      </w:r>
    </w:p>
    <w:p w14:paraId="0F4592BC" w14:textId="1CF43DBF" w:rsidR="00BE19F3" w:rsidRPr="0036019C" w:rsidRDefault="00BE19F3" w:rsidP="00C224FB">
      <w:pPr>
        <w:pStyle w:val="BodyText"/>
        <w:tabs>
          <w:tab w:val="left" w:pos="38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Shumat e paguara në mënyrë të parregullt ose të rikuperuara nga përfituesi IPA III, shumat nga garancitë financiare, të performancës dhe parafinancimit të paguara mbi bazën e procedurave të prokurimit dhe dhënies së granteve, shumat nga penalitetet financiare të vendosura nga përfituesi IPA III ndaj kandidatëve, ofertuesve, aplikantëve, kontraktuesve ose përfituesve të granteve të pagueshme në favor të përfituesit IPA III, ose përdoren sërish për Programin, ose i kthehen Komisionit.</w:t>
      </w:r>
    </w:p>
    <w:p w14:paraId="78F717B7" w14:textId="77777777" w:rsidR="00342552" w:rsidRPr="0036019C" w:rsidRDefault="00342552" w:rsidP="00342552">
      <w:pPr>
        <w:pStyle w:val="Heading20"/>
        <w:spacing w:after="0" w:line="240" w:lineRule="auto"/>
        <w:ind w:firstLine="284"/>
        <w:rPr>
          <w:rFonts w:ascii="Garamond" w:hAnsi="Garamond"/>
          <w:b w:val="0"/>
          <w:bCs w:val="0"/>
          <w:sz w:val="24"/>
          <w:szCs w:val="24"/>
        </w:rPr>
      </w:pPr>
    </w:p>
    <w:p w14:paraId="7CD7F137" w14:textId="5885145F"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7a</w:t>
      </w:r>
    </w:p>
    <w:p w14:paraId="7B1AE1C1" w14:textId="2D6AFF7C"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Korrigjimet financiare dhe mbyllja</w:t>
      </w:r>
    </w:p>
    <w:p w14:paraId="581FD6ED" w14:textId="77777777" w:rsidR="00342552" w:rsidRPr="0036019C" w:rsidRDefault="00342552" w:rsidP="00342552">
      <w:pPr>
        <w:pStyle w:val="BodyText"/>
        <w:ind w:firstLine="284"/>
        <w:jc w:val="center"/>
        <w:rPr>
          <w:rFonts w:ascii="Garamond" w:hAnsi="Garamond"/>
          <w:lang w:val="sq-AL"/>
        </w:rPr>
      </w:pPr>
    </w:p>
    <w:p w14:paraId="51539070" w14:textId="034DBB87" w:rsidR="00BE19F3" w:rsidRPr="0036019C" w:rsidRDefault="00BE19F3" w:rsidP="00C224FB">
      <w:pPr>
        <w:pStyle w:val="BodyText"/>
        <w:ind w:firstLine="284"/>
        <w:rPr>
          <w:rFonts w:ascii="Garamond" w:hAnsi="Garamond"/>
          <w:lang w:val="sq-AL"/>
        </w:rPr>
      </w:pPr>
      <w:r w:rsidRPr="0036019C">
        <w:rPr>
          <w:rFonts w:ascii="Garamond" w:hAnsi="Garamond"/>
          <w:lang w:val="sq-AL"/>
        </w:rPr>
        <w:t>Përveç neneve 42, 43 dhe 47 të MFKP-së, Komisioni jep orientime shtesë për shqyrtimin dhe pranimin e procedurës së llogarive, duke përfshirë korrigjimet financiare dhe mbylljen.</w:t>
      </w:r>
    </w:p>
    <w:p w14:paraId="0DD9051D" w14:textId="77777777" w:rsidR="00BE19F3" w:rsidRPr="0036019C" w:rsidRDefault="00BE19F3" w:rsidP="00C224FB">
      <w:pPr>
        <w:pStyle w:val="Heading10"/>
        <w:spacing w:before="0" w:after="0" w:line="240" w:lineRule="auto"/>
        <w:ind w:firstLine="284"/>
        <w:rPr>
          <w:rFonts w:ascii="Garamond" w:hAnsi="Garamond"/>
          <w:sz w:val="24"/>
          <w:szCs w:val="24"/>
        </w:rPr>
      </w:pPr>
    </w:p>
    <w:p w14:paraId="59A5D6A4" w14:textId="77777777" w:rsidR="00BE19F3" w:rsidRPr="0036019C" w:rsidRDefault="00BE19F3" w:rsidP="00C224FB">
      <w:pPr>
        <w:pStyle w:val="Heading10"/>
        <w:spacing w:before="0" w:after="0" w:line="240" w:lineRule="auto"/>
        <w:ind w:firstLine="284"/>
        <w:rPr>
          <w:rFonts w:ascii="Garamond" w:hAnsi="Garamond"/>
          <w:sz w:val="24"/>
          <w:szCs w:val="24"/>
        </w:rPr>
      </w:pPr>
      <w:r w:rsidRPr="0036019C">
        <w:rPr>
          <w:rFonts w:ascii="Garamond" w:hAnsi="Garamond"/>
          <w:bCs w:val="0"/>
          <w:sz w:val="24"/>
          <w:szCs w:val="24"/>
        </w:rPr>
        <w:t>Pjesa II: Dispozitat e zbatueshme për mbështetjen buxhetore</w:t>
      </w:r>
    </w:p>
    <w:p w14:paraId="404CE39E" w14:textId="77777777" w:rsidR="00342552" w:rsidRPr="0036019C" w:rsidRDefault="00342552" w:rsidP="00C224FB">
      <w:pPr>
        <w:pStyle w:val="Heading20"/>
        <w:spacing w:after="0" w:line="240" w:lineRule="auto"/>
        <w:ind w:firstLine="284"/>
        <w:jc w:val="both"/>
        <w:rPr>
          <w:rFonts w:ascii="Garamond" w:hAnsi="Garamond"/>
          <w:b w:val="0"/>
          <w:bCs w:val="0"/>
          <w:sz w:val="24"/>
          <w:szCs w:val="24"/>
        </w:rPr>
      </w:pPr>
    </w:p>
    <w:p w14:paraId="18B92086" w14:textId="77777777"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8</w:t>
      </w:r>
    </w:p>
    <w:p w14:paraId="4A2838C1" w14:textId="16E98C54"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Dialogu mbi politikat</w:t>
      </w:r>
    </w:p>
    <w:p w14:paraId="25B25DA7" w14:textId="77777777" w:rsidR="00342552" w:rsidRPr="0036019C" w:rsidRDefault="00342552" w:rsidP="00C224FB">
      <w:pPr>
        <w:pStyle w:val="BodyText"/>
        <w:ind w:firstLine="284"/>
        <w:rPr>
          <w:rFonts w:ascii="Garamond" w:hAnsi="Garamond"/>
          <w:b/>
          <w:lang w:val="sq-AL"/>
        </w:rPr>
      </w:pPr>
    </w:p>
    <w:p w14:paraId="04162287" w14:textId="046B5BEE" w:rsidR="00BE19F3" w:rsidRPr="0036019C" w:rsidRDefault="00BE19F3" w:rsidP="00C224FB">
      <w:pPr>
        <w:pStyle w:val="BodyText"/>
        <w:ind w:firstLine="284"/>
        <w:rPr>
          <w:rFonts w:ascii="Garamond" w:hAnsi="Garamond"/>
          <w:lang w:val="sq-AL"/>
        </w:rPr>
      </w:pPr>
      <w:r w:rsidRPr="0036019C">
        <w:rPr>
          <w:rFonts w:ascii="Garamond" w:hAnsi="Garamond"/>
          <w:lang w:val="sq-AL"/>
        </w:rPr>
        <w:t>Përfituesi IPA III dhe Komisioni zotohen që të angazhohen në dialog të rregullt konstruktiv në nivel të duhur për zbatimin e kësaj Marrëveshjeje Financimi.</w:t>
      </w:r>
    </w:p>
    <w:p w14:paraId="4CADB549" w14:textId="77777777" w:rsidR="00342552" w:rsidRPr="0036019C" w:rsidRDefault="00342552" w:rsidP="00C224FB">
      <w:pPr>
        <w:pStyle w:val="Heading20"/>
        <w:spacing w:after="0" w:line="240" w:lineRule="auto"/>
        <w:ind w:firstLine="284"/>
        <w:jc w:val="both"/>
        <w:rPr>
          <w:rFonts w:ascii="Garamond" w:hAnsi="Garamond"/>
          <w:b w:val="0"/>
          <w:bCs w:val="0"/>
          <w:sz w:val="24"/>
          <w:szCs w:val="24"/>
        </w:rPr>
      </w:pPr>
    </w:p>
    <w:p w14:paraId="10D152DA" w14:textId="271DB333"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9</w:t>
      </w:r>
    </w:p>
    <w:p w14:paraId="6037436C" w14:textId="642594FB"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Verifikimi i kushteve dhe disbursimit</w:t>
      </w:r>
    </w:p>
    <w:p w14:paraId="25A0DBD1" w14:textId="77777777" w:rsidR="00342552" w:rsidRPr="0036019C" w:rsidRDefault="00342552" w:rsidP="00C224FB">
      <w:pPr>
        <w:pStyle w:val="BodyText"/>
        <w:tabs>
          <w:tab w:val="left" w:pos="400"/>
        </w:tabs>
        <w:ind w:firstLine="284"/>
        <w:rPr>
          <w:rFonts w:ascii="Garamond" w:hAnsi="Garamond"/>
          <w:lang w:val="sq-AL"/>
        </w:rPr>
      </w:pPr>
    </w:p>
    <w:p w14:paraId="432270C8" w14:textId="1FF902D3"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Komisioni verifikon kushtet për pagesën e kësteve nën komponentin e mbështetjes buxhetore, siç përcaktohet në Lidhjen e Shtojcës I.</w:t>
      </w:r>
    </w:p>
    <w:p w14:paraId="1B4D8DBD" w14:textId="00595CE0"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Nëse Komisioni konstaton se nuk janë përmbushur kushte për pagesat, e informon pa vonesë përfituesin IPA III për këtë fakt.</w:t>
      </w:r>
    </w:p>
    <w:p w14:paraId="0943406A" w14:textId="6662303E"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Kërkesat për disbursim të paraqitura nga përfituesi IPA III janë të pranueshme për financimin e BE-së, nëse janë në përputhje me dispozitat e përcaktuara </w:t>
      </w:r>
      <w:r w:rsidR="00C347BB">
        <w:rPr>
          <w:rFonts w:ascii="Garamond" w:hAnsi="Garamond"/>
          <w:lang w:val="sq-AL"/>
        </w:rPr>
        <w:t>në shtojcën</w:t>
      </w:r>
      <w:r w:rsidRPr="0036019C">
        <w:rPr>
          <w:rFonts w:ascii="Garamond" w:hAnsi="Garamond"/>
          <w:lang w:val="sq-AL"/>
        </w:rPr>
        <w:t xml:space="preserve"> I dhe Lidhjen përkatëse dhe janë paraqitur gjatë fazës së zbatimit operacional.</w:t>
      </w:r>
    </w:p>
    <w:p w14:paraId="740AD12F" w14:textId="55B2806D"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Përfituesi IPA III zbaton rregulloret kombëtarë për kursin e këmbimit valutor, në mënyrë jodiskriminuese për të gjitha disbursimet nën komponentin e mbështetjes buxhetore.</w:t>
      </w:r>
    </w:p>
    <w:p w14:paraId="29831DCF" w14:textId="77777777" w:rsidR="00342552" w:rsidRPr="0036019C" w:rsidRDefault="00342552" w:rsidP="00C224FB">
      <w:pPr>
        <w:pStyle w:val="Heading20"/>
        <w:spacing w:after="0" w:line="240" w:lineRule="auto"/>
        <w:ind w:firstLine="284"/>
        <w:jc w:val="both"/>
        <w:rPr>
          <w:rFonts w:ascii="Garamond" w:hAnsi="Garamond"/>
          <w:b w:val="0"/>
          <w:bCs w:val="0"/>
          <w:sz w:val="24"/>
          <w:szCs w:val="24"/>
        </w:rPr>
      </w:pPr>
    </w:p>
    <w:p w14:paraId="5EB6868F" w14:textId="77777777" w:rsidR="002B38F0" w:rsidRPr="0036019C" w:rsidRDefault="002B38F0" w:rsidP="00342552">
      <w:pPr>
        <w:pStyle w:val="Heading20"/>
        <w:spacing w:after="0" w:line="240" w:lineRule="auto"/>
        <w:ind w:firstLine="284"/>
        <w:rPr>
          <w:rFonts w:ascii="Garamond" w:hAnsi="Garamond"/>
          <w:b w:val="0"/>
          <w:bCs w:val="0"/>
          <w:sz w:val="24"/>
          <w:szCs w:val="24"/>
        </w:rPr>
      </w:pPr>
    </w:p>
    <w:p w14:paraId="4E1DB5CA" w14:textId="3BF5C5EA"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10</w:t>
      </w:r>
    </w:p>
    <w:p w14:paraId="5E07FE7E" w14:textId="0DE966E9"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Transparenca e mbështetjes buxhetore</w:t>
      </w:r>
    </w:p>
    <w:p w14:paraId="2E426868" w14:textId="77777777" w:rsidR="00342552" w:rsidRPr="0036019C" w:rsidRDefault="00342552" w:rsidP="00C224FB">
      <w:pPr>
        <w:pStyle w:val="BodyText"/>
        <w:ind w:firstLine="284"/>
        <w:rPr>
          <w:rFonts w:ascii="Garamond" w:hAnsi="Garamond"/>
          <w:b/>
          <w:lang w:val="sq-AL"/>
        </w:rPr>
      </w:pPr>
    </w:p>
    <w:p w14:paraId="73BB22E1" w14:textId="64D3D940" w:rsidR="00BE19F3" w:rsidRPr="0036019C" w:rsidRDefault="00BE19F3" w:rsidP="00C224FB">
      <w:pPr>
        <w:pStyle w:val="BodyText"/>
        <w:ind w:firstLine="284"/>
        <w:rPr>
          <w:rFonts w:ascii="Garamond" w:hAnsi="Garamond"/>
          <w:lang w:val="sq-AL"/>
        </w:rPr>
      </w:pPr>
      <w:r w:rsidRPr="0036019C">
        <w:rPr>
          <w:rFonts w:ascii="Garamond" w:hAnsi="Garamond"/>
          <w:lang w:val="sq-AL"/>
        </w:rPr>
        <w:t>Përfituesi IPA III bie dakord që Komisioni të publikojë këtë Marrëveshjeje Financimi dhe çdo ndryshimi të saj, përfshirë me mjete elektronike, si dhe informacionin bazë për mbështetjen buxhetore që Komisioni e çmon të nevojshme. Përmbajtja e publikimit do të jetë në përputhje me ligjet e BE-së të zbatueshme për mbrojtjen e të dhënave personale.</w:t>
      </w:r>
    </w:p>
    <w:p w14:paraId="43B70EEB" w14:textId="77777777" w:rsidR="00342552" w:rsidRPr="0036019C" w:rsidRDefault="00342552" w:rsidP="00C224FB">
      <w:pPr>
        <w:pStyle w:val="Heading20"/>
        <w:spacing w:after="0" w:line="240" w:lineRule="auto"/>
        <w:ind w:firstLine="284"/>
        <w:jc w:val="both"/>
        <w:rPr>
          <w:rFonts w:ascii="Garamond" w:hAnsi="Garamond"/>
          <w:b w:val="0"/>
          <w:bCs w:val="0"/>
          <w:sz w:val="24"/>
          <w:szCs w:val="24"/>
        </w:rPr>
      </w:pPr>
    </w:p>
    <w:p w14:paraId="1D8C6514" w14:textId="4B6BEFDD"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11</w:t>
      </w:r>
    </w:p>
    <w:p w14:paraId="6D35FC49" w14:textId="7A51573B"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Rikuperimi i mbështetjes buxhetore</w:t>
      </w:r>
    </w:p>
    <w:p w14:paraId="7896C762" w14:textId="77777777" w:rsidR="00342552" w:rsidRPr="0036019C" w:rsidRDefault="00342552" w:rsidP="00C224FB">
      <w:pPr>
        <w:pStyle w:val="BodyText"/>
        <w:ind w:firstLine="284"/>
        <w:rPr>
          <w:rFonts w:ascii="Garamond" w:hAnsi="Garamond"/>
          <w:lang w:val="sq-AL"/>
        </w:rPr>
      </w:pPr>
    </w:p>
    <w:p w14:paraId="4B1C61BF" w14:textId="2E0E6072" w:rsidR="00BE19F3" w:rsidRPr="0036019C" w:rsidRDefault="00BE19F3" w:rsidP="00C224FB">
      <w:pPr>
        <w:pStyle w:val="BodyText"/>
        <w:ind w:firstLine="284"/>
        <w:rPr>
          <w:rFonts w:ascii="Garamond" w:hAnsi="Garamond"/>
          <w:lang w:val="sq-AL"/>
        </w:rPr>
      </w:pPr>
      <w:r w:rsidRPr="0036019C">
        <w:rPr>
          <w:rFonts w:ascii="Garamond" w:hAnsi="Garamond"/>
          <w:lang w:val="sq-AL"/>
        </w:rPr>
        <w:t>Të gjitha disbursimet e mbështetjes buxhetore apo pjesë të tij mund të rikuperohen nga Komisioni, me respektimin e duhur të parimit të proporcionalitetit, nëse Komisioni konstaton se pagesa ka qenë e pavlefshme për shkak të një parregullsie të rëndë që i atribuohet përfituesit IPA III, veçanërisht nëse përfituesi IPA III ka dhënë informacione të pabesueshme ose të pasakta apo nëse ka pasur korrupsion apo mashtrim.</w:t>
      </w:r>
    </w:p>
    <w:p w14:paraId="1ADEC584" w14:textId="77777777" w:rsidR="00BE19F3" w:rsidRPr="0036019C" w:rsidRDefault="00BE19F3" w:rsidP="00C224FB">
      <w:pPr>
        <w:pStyle w:val="BodyText"/>
        <w:ind w:firstLine="284"/>
        <w:rPr>
          <w:rFonts w:ascii="Garamond" w:hAnsi="Garamond"/>
          <w:lang w:val="sq-AL"/>
        </w:rPr>
      </w:pPr>
    </w:p>
    <w:p w14:paraId="6F4C065B" w14:textId="77777777" w:rsidR="00BE19F3" w:rsidRPr="0036019C" w:rsidRDefault="00BE19F3" w:rsidP="00C224FB">
      <w:pPr>
        <w:pStyle w:val="Heading10"/>
        <w:spacing w:before="0" w:after="0" w:line="240" w:lineRule="auto"/>
        <w:ind w:firstLine="284"/>
        <w:rPr>
          <w:rFonts w:ascii="Garamond" w:hAnsi="Garamond"/>
          <w:sz w:val="24"/>
          <w:szCs w:val="24"/>
        </w:rPr>
      </w:pPr>
    </w:p>
    <w:p w14:paraId="529CD41B" w14:textId="77777777" w:rsidR="00BE19F3" w:rsidRPr="0036019C" w:rsidRDefault="00BE19F3" w:rsidP="00C224FB">
      <w:pPr>
        <w:pStyle w:val="Heading10"/>
        <w:spacing w:before="0" w:after="0" w:line="240" w:lineRule="auto"/>
        <w:ind w:firstLine="284"/>
        <w:rPr>
          <w:rFonts w:ascii="Garamond" w:hAnsi="Garamond"/>
          <w:sz w:val="24"/>
          <w:szCs w:val="24"/>
        </w:rPr>
      </w:pPr>
      <w:r w:rsidRPr="0036019C">
        <w:rPr>
          <w:rFonts w:ascii="Garamond" w:hAnsi="Garamond"/>
          <w:bCs w:val="0"/>
          <w:sz w:val="24"/>
          <w:szCs w:val="24"/>
        </w:rPr>
        <w:t>Pjesa III: Dispozitat e zbatueshme për këtë Marrëveshje Financimi në tërësi, pavarësisht metodës së zbatimit</w:t>
      </w:r>
    </w:p>
    <w:p w14:paraId="07530A74" w14:textId="77777777" w:rsidR="00342552" w:rsidRPr="0036019C" w:rsidRDefault="00342552" w:rsidP="00C224FB">
      <w:pPr>
        <w:pStyle w:val="Heading20"/>
        <w:spacing w:after="0" w:line="240" w:lineRule="auto"/>
        <w:ind w:firstLine="284"/>
        <w:jc w:val="both"/>
        <w:rPr>
          <w:rFonts w:ascii="Garamond" w:hAnsi="Garamond"/>
          <w:bCs w:val="0"/>
          <w:sz w:val="24"/>
          <w:szCs w:val="24"/>
        </w:rPr>
      </w:pPr>
    </w:p>
    <w:p w14:paraId="6D5853A1" w14:textId="77777777"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12</w:t>
      </w:r>
    </w:p>
    <w:p w14:paraId="6582042C" w14:textId="50BC92CB"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Periudha e ekzekutimit, periudha e zbatimit operacional dhe afati i kontraktimit</w:t>
      </w:r>
    </w:p>
    <w:p w14:paraId="74B11DBD" w14:textId="77777777" w:rsidR="00342552" w:rsidRPr="0036019C" w:rsidRDefault="00342552" w:rsidP="00C224FB">
      <w:pPr>
        <w:pStyle w:val="BodyText"/>
        <w:tabs>
          <w:tab w:val="left" w:pos="420"/>
        </w:tabs>
        <w:ind w:firstLine="284"/>
        <w:rPr>
          <w:rFonts w:ascii="Garamond" w:hAnsi="Garamond"/>
          <w:lang w:val="sq-AL"/>
        </w:rPr>
      </w:pPr>
    </w:p>
    <w:p w14:paraId="47E6E932" w14:textId="0A61E537"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Periudha e ekzekutimit është periudha gjatë së cilës zbatohet Marrëveshja e Financimit dhe përfshin periudhën e zbatimit operacional dhe fazën e mbylljes. Kohëzgjatja e periudhës së ekzekutimit përcaktohet në nenin 2(1) të Kushteve të Veçanta dhe fillon me nënshkrimin e kësaj Marrëveshjeje Financimi dhe mbaron në datën e fundit për zbatimin e Marrëveshjes së Financimit.</w:t>
      </w:r>
    </w:p>
    <w:p w14:paraId="008CFB82" w14:textId="549BDD9E"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lastRenderedPageBreak/>
        <w:t>2</w:t>
      </w:r>
      <w:r w:rsidR="002B38F0" w:rsidRPr="0036019C">
        <w:rPr>
          <w:rFonts w:ascii="Garamond" w:hAnsi="Garamond"/>
          <w:lang w:val="sq-AL"/>
        </w:rPr>
        <w:t>.</w:t>
      </w:r>
      <w:r w:rsidRPr="0036019C">
        <w:rPr>
          <w:rFonts w:ascii="Garamond" w:hAnsi="Garamond"/>
          <w:lang w:val="sq-AL"/>
        </w:rPr>
        <w:t xml:space="preserve"> Periudha e zbatimit operacional është periudha gjatë së cilës kryhen të gjitha aktivitetet operacionale të mbuluara me kontrata prokurimi, kontrata grant dhe marrëveshje kontributi. Kohëzgjatja e kësaj periudhe përcaktohet në nenin 2(2) të Kushteve të Veçanta dhe fillon me nënshkrimin e kësaj Marrëveshjeje Financimi.</w:t>
      </w:r>
    </w:p>
    <w:p w14:paraId="3B99639F" w14:textId="45F47115"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Autoriteti Kontraktues e respekton periudhën e ekzekutimit operacional kur lidh dhe zbaton kontrata prokurimi, kontrata granti dhe marrëveshje kontributi në kuadrin e kësaj Marrëveshjeje Financimi.</w:t>
      </w:r>
    </w:p>
    <w:p w14:paraId="068FA9DA" w14:textId="05109307"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Pa cenuar nenin 29(2)të MFKP-së, shpenzimet e lidhura me aktivitetet janë të pranueshme për financimin e BE-së vetëm nëse janë kryer gjatë periudhës së zbatimit operacional. Shpenzimet e kryera para hyrjes në fuqi të kësaj Marrëveshjeje Financimi nuk janë të pranueshme për financimin e BE-së, përveç kur parashikohet ndryshe në nenin 7 të Kushteve të Veçanta.</w:t>
      </w:r>
    </w:p>
    <w:p w14:paraId="5073BC07" w14:textId="382FFED7"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5</w:t>
      </w:r>
      <w:r w:rsidR="002B38F0" w:rsidRPr="0036019C">
        <w:rPr>
          <w:rFonts w:ascii="Garamond" w:hAnsi="Garamond"/>
          <w:lang w:val="sq-AL"/>
        </w:rPr>
        <w:t>.</w:t>
      </w:r>
      <w:r w:rsidRPr="0036019C">
        <w:rPr>
          <w:rFonts w:ascii="Garamond" w:hAnsi="Garamond"/>
          <w:lang w:val="sq-AL"/>
        </w:rPr>
        <w:t xml:space="preserve"> Në zbatim </w:t>
      </w:r>
      <w:r w:rsidR="0036019C" w:rsidRPr="0036019C">
        <w:rPr>
          <w:rFonts w:ascii="Garamond" w:hAnsi="Garamond"/>
          <w:lang w:val="sq-AL"/>
        </w:rPr>
        <w:t xml:space="preserve">të nenit </w:t>
      </w:r>
      <w:r w:rsidRPr="0036019C">
        <w:rPr>
          <w:rFonts w:ascii="Garamond" w:hAnsi="Garamond"/>
          <w:lang w:val="sq-AL"/>
        </w:rPr>
        <w:t>29(3)(b) të MFKP-së dhe pa cenuar nenin 28 të saj dhe nenin 7 të Kushteve të Veçanta, shpenzimet e mëposhtme të kryera nga përfituesi IPA III nuk janë të pranueshme për financim në kuadrin e kësaj Marrëveshjeje Financimi:</w:t>
      </w:r>
    </w:p>
    <w:p w14:paraId="03013C5A" w14:textId="4BD5E963"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a) tarifat bankare, shpenzimet e garancive dhe tarifa të ngjashme;</w:t>
      </w:r>
    </w:p>
    <w:p w14:paraId="6174FA12" w14:textId="5FCB4D65"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b) gjobat dhe penalitetet financiare;</w:t>
      </w:r>
    </w:p>
    <w:p w14:paraId="5FAA7947" w14:textId="5DA20EC6"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c) shpenzimet gjyqësore;</w:t>
      </w:r>
    </w:p>
    <w:p w14:paraId="29FB897D" w14:textId="67491F91"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d) humbjet nga kursi i këmbimit të valutës;</w:t>
      </w:r>
    </w:p>
    <w:p w14:paraId="31D63B15" w14:textId="52F3DB13"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e) borxhet dhe tarifat e shërbimit të borxhit (interesi);</w:t>
      </w:r>
    </w:p>
    <w:p w14:paraId="02A550BA" w14:textId="5482DB47"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f) provizionet për humbje, borxhe apo detyrime potenciale në të ardhmen;</w:t>
      </w:r>
    </w:p>
    <w:p w14:paraId="1B16969C" w14:textId="4E90C784"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g) kreditime ndaj palëve të treta, përveç kur parashikohet ndryshe në Kushtet e Veçanta;</w:t>
      </w:r>
    </w:p>
    <w:p w14:paraId="4C9CAA80" w14:textId="5CFE1153" w:rsidR="00BE19F3" w:rsidRPr="0036019C" w:rsidRDefault="00BE19F3" w:rsidP="00C224FB">
      <w:pPr>
        <w:pStyle w:val="BodyText"/>
        <w:tabs>
          <w:tab w:val="left" w:pos="1080"/>
        </w:tabs>
        <w:ind w:firstLine="284"/>
        <w:rPr>
          <w:rFonts w:ascii="Garamond" w:hAnsi="Garamond"/>
          <w:lang w:val="sq-AL"/>
        </w:rPr>
      </w:pPr>
      <w:r w:rsidRPr="0036019C">
        <w:rPr>
          <w:rFonts w:ascii="Garamond" w:hAnsi="Garamond"/>
          <w:lang w:val="sq-AL"/>
        </w:rPr>
        <w:t>h) interesi negativ që aplikohet nga bankat apo institucione të tjera financiare.</w:t>
      </w:r>
    </w:p>
    <w:p w14:paraId="5FDA4178" w14:textId="7F1BFCFB"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6</w:t>
      </w:r>
      <w:r w:rsidR="002B38F0" w:rsidRPr="0036019C">
        <w:rPr>
          <w:rFonts w:ascii="Garamond" w:hAnsi="Garamond"/>
          <w:lang w:val="sq-AL"/>
        </w:rPr>
        <w:t>.</w:t>
      </w:r>
      <w:r w:rsidRPr="0036019C">
        <w:rPr>
          <w:rFonts w:ascii="Garamond" w:hAnsi="Garamond"/>
          <w:lang w:val="sq-AL"/>
        </w:rPr>
        <w:t xml:space="preserve"> Angazhimet ligjore për zbatimin e kësaj Marrëveshjeje Financiare (kontratat e prokurimit, kontratat e granteve dhe marrëveshjet e kontributit) do të përfundohen jo më vonë se tre vjet nga përfundimi i Marrëveshjes së Financimit për ndarjen buxhetore të disponueshme në kohën e përfundimit. Kontratat e prokurimit, kontratat e granteve dhe marrëveshjet e kontributit të financuara nga ndarjet përkatëse të mëvonshme buxhetore për këtë veprim do të nënshkruhen brenda tre vjetësh nga data në të cilën ndarja buxhetore vihet në dispozicion për veprimin, siç specifikohet në njoftimin e dërguar nga Komisioni për përfituesin IPA III ose në shkëmbimin e letrave midis Komisionit dhe përfituesit IPA III.</w:t>
      </w:r>
    </w:p>
    <w:p w14:paraId="530E94AD" w14:textId="103D411F"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7</w:t>
      </w:r>
      <w:r w:rsidR="002B38F0" w:rsidRPr="0036019C">
        <w:rPr>
          <w:rFonts w:ascii="Garamond" w:hAnsi="Garamond"/>
          <w:lang w:val="sq-AL"/>
        </w:rPr>
        <w:t>.</w:t>
      </w:r>
      <w:r w:rsidRPr="0036019C">
        <w:rPr>
          <w:rFonts w:ascii="Garamond" w:hAnsi="Garamond"/>
          <w:lang w:val="sq-AL"/>
        </w:rPr>
        <w:t xml:space="preserve"> Kontratat e prokurimit, kontratat grant dhe marrëveshjet e kontributit lidhen jo më vonë se tre vjet nga lidhja e Marrëveshjes së Financimit, me përjashtim të rasteve më poshtë:</w:t>
      </w:r>
    </w:p>
    <w:p w14:paraId="716A82E4" w14:textId="084921A9" w:rsidR="00BE19F3" w:rsidRPr="0036019C" w:rsidRDefault="00BE19F3" w:rsidP="00C224FB">
      <w:pPr>
        <w:pStyle w:val="BodyText"/>
        <w:tabs>
          <w:tab w:val="left" w:pos="360"/>
        </w:tabs>
        <w:ind w:firstLine="284"/>
        <w:rPr>
          <w:rFonts w:ascii="Garamond" w:hAnsi="Garamond"/>
          <w:lang w:val="sq-AL"/>
        </w:rPr>
      </w:pPr>
      <w:r w:rsidRPr="0036019C">
        <w:rPr>
          <w:rFonts w:ascii="Garamond" w:hAnsi="Garamond"/>
          <w:lang w:val="sq-AL"/>
        </w:rPr>
        <w:t>a) veprime me shumë donatorë, ku një afat i caktuar për kontraktimin përcaktohet në Kushtet e Veçanta</w:t>
      </w:r>
      <w:r w:rsidR="00BB2491">
        <w:rPr>
          <w:rFonts w:ascii="Garamond" w:hAnsi="Garamond"/>
          <w:lang w:val="sq-AL"/>
        </w:rPr>
        <w:t>;</w:t>
      </w:r>
    </w:p>
    <w:p w14:paraId="1E2C6110" w14:textId="6FC51527" w:rsidR="00BE19F3" w:rsidRPr="0036019C" w:rsidRDefault="00BE19F3" w:rsidP="00C224FB">
      <w:pPr>
        <w:pStyle w:val="BodyText"/>
        <w:tabs>
          <w:tab w:val="left" w:pos="360"/>
        </w:tabs>
        <w:ind w:firstLine="284"/>
        <w:rPr>
          <w:rFonts w:ascii="Garamond" w:hAnsi="Garamond"/>
          <w:lang w:val="sq-AL"/>
        </w:rPr>
      </w:pPr>
      <w:r w:rsidRPr="0036019C">
        <w:rPr>
          <w:rFonts w:ascii="Garamond" w:hAnsi="Garamond"/>
          <w:lang w:val="sq-AL"/>
        </w:rPr>
        <w:t>b) ndryshime në angazhimet ligjore të lidhura tashmë, të cilat nuk rezultojnë në rritje të kontributit të BE-së;</w:t>
      </w:r>
    </w:p>
    <w:p w14:paraId="27945C96" w14:textId="76C96FA0" w:rsidR="00BE19F3" w:rsidRPr="0036019C" w:rsidRDefault="00BE19F3" w:rsidP="00C224FB">
      <w:pPr>
        <w:pStyle w:val="BodyText"/>
        <w:tabs>
          <w:tab w:val="left" w:pos="360"/>
        </w:tabs>
        <w:ind w:firstLine="284"/>
        <w:rPr>
          <w:rFonts w:ascii="Garamond" w:hAnsi="Garamond"/>
          <w:lang w:val="sq-AL"/>
        </w:rPr>
      </w:pPr>
      <w:r w:rsidRPr="0036019C">
        <w:rPr>
          <w:rFonts w:ascii="Garamond" w:hAnsi="Garamond"/>
          <w:lang w:val="sq-AL"/>
        </w:rPr>
        <w:t>c) angazhimet ligjore që nënshkruhen pas zgjidhjes së parakohshme të një angazhimi ligjor ekzistues;</w:t>
      </w:r>
    </w:p>
    <w:p w14:paraId="01B09BB2" w14:textId="28CC5413" w:rsidR="00BE19F3" w:rsidRPr="0036019C" w:rsidRDefault="00BE19F3" w:rsidP="00C224FB">
      <w:pPr>
        <w:pStyle w:val="BodyText"/>
        <w:tabs>
          <w:tab w:val="left" w:pos="360"/>
        </w:tabs>
        <w:ind w:firstLine="284"/>
        <w:rPr>
          <w:rFonts w:ascii="Garamond" w:hAnsi="Garamond"/>
          <w:lang w:val="sq-AL"/>
        </w:rPr>
      </w:pPr>
      <w:r w:rsidRPr="0036019C">
        <w:rPr>
          <w:rFonts w:ascii="Garamond" w:hAnsi="Garamond"/>
          <w:lang w:val="sq-AL"/>
        </w:rPr>
        <w:t>d) angazhime ligjore në lidhje me komunikimin dhe dukshmërinë, auditimin dhe vlerësimin, të cilat mund të nënshkruhen pas periudhës së zbatimit operacional;</w:t>
      </w:r>
    </w:p>
    <w:p w14:paraId="6F51ADCA" w14:textId="41C215A0" w:rsidR="00BE19F3" w:rsidRPr="0036019C" w:rsidRDefault="00BE19F3" w:rsidP="00C224FB">
      <w:pPr>
        <w:pStyle w:val="BodyText"/>
        <w:tabs>
          <w:tab w:val="left" w:pos="360"/>
        </w:tabs>
        <w:ind w:firstLine="284"/>
        <w:rPr>
          <w:rFonts w:ascii="Garamond" w:hAnsi="Garamond"/>
          <w:lang w:val="sq-AL"/>
        </w:rPr>
      </w:pPr>
      <w:r w:rsidRPr="0036019C">
        <w:rPr>
          <w:rFonts w:ascii="Garamond" w:hAnsi="Garamond"/>
          <w:lang w:val="sq-AL"/>
        </w:rPr>
        <w:t>e) ndryshim të subjektit zbatues.</w:t>
      </w:r>
    </w:p>
    <w:p w14:paraId="2A2D4930" w14:textId="2E9443B1"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8</w:t>
      </w:r>
      <w:r w:rsidR="002B38F0" w:rsidRPr="0036019C">
        <w:rPr>
          <w:rFonts w:ascii="Garamond" w:hAnsi="Garamond"/>
          <w:lang w:val="sq-AL"/>
        </w:rPr>
        <w:t>.</w:t>
      </w:r>
      <w:r w:rsidRPr="0036019C">
        <w:rPr>
          <w:rFonts w:ascii="Garamond" w:hAnsi="Garamond"/>
          <w:lang w:val="sq-AL"/>
        </w:rPr>
        <w:t xml:space="preserve"> Një kontratë prokurimi, kontratë granti apo marrëveshje kontributi që nuk ka rezultuar në ndonjë pagesë brenda dy viteve nga nënshkrimi i saj, zgjidhet automatikisht dhe fondet e saj tërhiqen, përveç rasteve të mosmarrëveshjeve gjyqësore në gjykata apo organe arbitrazhi.</w:t>
      </w:r>
    </w:p>
    <w:p w14:paraId="2122F008" w14:textId="77777777" w:rsidR="00342552" w:rsidRPr="0036019C" w:rsidRDefault="00342552" w:rsidP="00C224FB">
      <w:pPr>
        <w:pStyle w:val="Heading20"/>
        <w:spacing w:after="0" w:line="240" w:lineRule="auto"/>
        <w:ind w:firstLine="284"/>
        <w:jc w:val="both"/>
        <w:rPr>
          <w:rFonts w:ascii="Garamond" w:hAnsi="Garamond"/>
          <w:b w:val="0"/>
          <w:bCs w:val="0"/>
          <w:sz w:val="24"/>
          <w:szCs w:val="24"/>
        </w:rPr>
      </w:pPr>
    </w:p>
    <w:p w14:paraId="7D80F51D" w14:textId="6AA80F9F" w:rsidR="00342552" w:rsidRPr="0036019C" w:rsidRDefault="00BE19F3" w:rsidP="00342552">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13</w:t>
      </w:r>
    </w:p>
    <w:p w14:paraId="265D7BD3" w14:textId="42F9A021" w:rsidR="00BE19F3" w:rsidRPr="0036019C" w:rsidRDefault="00BE19F3" w:rsidP="00342552">
      <w:pPr>
        <w:pStyle w:val="Heading20"/>
        <w:spacing w:after="0" w:line="240" w:lineRule="auto"/>
        <w:ind w:firstLine="284"/>
        <w:rPr>
          <w:rFonts w:ascii="Garamond" w:hAnsi="Garamond"/>
          <w:sz w:val="24"/>
          <w:szCs w:val="24"/>
        </w:rPr>
      </w:pPr>
      <w:r w:rsidRPr="0036019C">
        <w:rPr>
          <w:rFonts w:ascii="Garamond" w:hAnsi="Garamond"/>
          <w:bCs w:val="0"/>
          <w:sz w:val="24"/>
          <w:szCs w:val="24"/>
        </w:rPr>
        <w:t>Lejet dhe autorizimi</w:t>
      </w:r>
    </w:p>
    <w:p w14:paraId="0F7084EC" w14:textId="77777777" w:rsidR="00342552" w:rsidRPr="0036019C" w:rsidRDefault="00342552" w:rsidP="00342552">
      <w:pPr>
        <w:pStyle w:val="BodyText"/>
        <w:ind w:firstLine="284"/>
        <w:jc w:val="center"/>
        <w:rPr>
          <w:rFonts w:ascii="Garamond" w:hAnsi="Garamond"/>
          <w:lang w:val="sq-AL"/>
        </w:rPr>
      </w:pPr>
    </w:p>
    <w:p w14:paraId="6B6408C5" w14:textId="574865A6" w:rsidR="00BE19F3" w:rsidRPr="0036019C" w:rsidRDefault="00BE19F3" w:rsidP="00C224FB">
      <w:pPr>
        <w:pStyle w:val="BodyText"/>
        <w:ind w:firstLine="284"/>
        <w:rPr>
          <w:rFonts w:ascii="Garamond" w:hAnsi="Garamond"/>
          <w:lang w:val="sq-AL"/>
        </w:rPr>
      </w:pPr>
      <w:r w:rsidRPr="0036019C">
        <w:rPr>
          <w:rFonts w:ascii="Garamond" w:hAnsi="Garamond"/>
          <w:lang w:val="sq-AL"/>
        </w:rPr>
        <w:t>Pa cenuar nenin 27 të MFKP-së, autoritetet përgjegjëse të përfituesit IPA III lëshojnë në kohën e duhur çdo lloj lejeje dhe/ose autorizimi që kërkohet për zbatimin e Programit, në përputhje me legjislacionin e brendshëm.</w:t>
      </w:r>
    </w:p>
    <w:p w14:paraId="7CE7D9CC" w14:textId="77777777" w:rsidR="009C68D3" w:rsidRPr="0036019C" w:rsidRDefault="009C68D3" w:rsidP="00C224FB">
      <w:pPr>
        <w:pStyle w:val="Heading20"/>
        <w:spacing w:after="0" w:line="240" w:lineRule="auto"/>
        <w:ind w:firstLine="284"/>
        <w:jc w:val="both"/>
        <w:rPr>
          <w:rFonts w:ascii="Garamond" w:hAnsi="Garamond"/>
          <w:b w:val="0"/>
          <w:bCs w:val="0"/>
          <w:sz w:val="24"/>
          <w:szCs w:val="24"/>
        </w:rPr>
      </w:pPr>
    </w:p>
    <w:p w14:paraId="6C236493" w14:textId="77777777" w:rsidR="00CE6415" w:rsidRDefault="00CE6415" w:rsidP="009C68D3">
      <w:pPr>
        <w:pStyle w:val="Heading20"/>
        <w:spacing w:after="0" w:line="240" w:lineRule="auto"/>
        <w:ind w:firstLine="284"/>
        <w:rPr>
          <w:rFonts w:ascii="Garamond" w:hAnsi="Garamond"/>
          <w:b w:val="0"/>
          <w:bCs w:val="0"/>
          <w:sz w:val="24"/>
          <w:szCs w:val="24"/>
        </w:rPr>
      </w:pPr>
    </w:p>
    <w:p w14:paraId="4A634AA6" w14:textId="77777777" w:rsidR="00CE6415" w:rsidRDefault="00CE6415" w:rsidP="009C68D3">
      <w:pPr>
        <w:pStyle w:val="Heading20"/>
        <w:spacing w:after="0" w:line="240" w:lineRule="auto"/>
        <w:ind w:firstLine="284"/>
        <w:rPr>
          <w:rFonts w:ascii="Garamond" w:hAnsi="Garamond"/>
          <w:b w:val="0"/>
          <w:bCs w:val="0"/>
          <w:sz w:val="24"/>
          <w:szCs w:val="24"/>
        </w:rPr>
      </w:pPr>
    </w:p>
    <w:p w14:paraId="7B423CE6" w14:textId="77777777" w:rsidR="00CE6415" w:rsidRDefault="00CE6415" w:rsidP="009C68D3">
      <w:pPr>
        <w:pStyle w:val="Heading20"/>
        <w:spacing w:after="0" w:line="240" w:lineRule="auto"/>
        <w:ind w:firstLine="284"/>
        <w:rPr>
          <w:rFonts w:ascii="Garamond" w:hAnsi="Garamond"/>
          <w:b w:val="0"/>
          <w:bCs w:val="0"/>
          <w:sz w:val="24"/>
          <w:szCs w:val="24"/>
        </w:rPr>
      </w:pPr>
    </w:p>
    <w:p w14:paraId="5DDF0670" w14:textId="5E3390AE" w:rsidR="009C68D3" w:rsidRPr="0036019C" w:rsidRDefault="00BE19F3" w:rsidP="009C68D3">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14</w:t>
      </w:r>
    </w:p>
    <w:p w14:paraId="77B15377" w14:textId="4B538340" w:rsidR="00BE19F3" w:rsidRPr="0036019C" w:rsidRDefault="00BE19F3" w:rsidP="009C68D3">
      <w:pPr>
        <w:pStyle w:val="Heading20"/>
        <w:spacing w:after="0" w:line="240" w:lineRule="auto"/>
        <w:ind w:firstLine="284"/>
        <w:rPr>
          <w:rFonts w:ascii="Garamond" w:hAnsi="Garamond"/>
          <w:sz w:val="24"/>
          <w:szCs w:val="24"/>
        </w:rPr>
      </w:pPr>
      <w:r w:rsidRPr="0036019C">
        <w:rPr>
          <w:rFonts w:ascii="Garamond" w:hAnsi="Garamond"/>
          <w:bCs w:val="0"/>
          <w:sz w:val="24"/>
          <w:szCs w:val="24"/>
        </w:rPr>
        <w:t>Kërkesat e raportimit</w:t>
      </w:r>
    </w:p>
    <w:p w14:paraId="3506C857" w14:textId="77777777" w:rsidR="009C68D3" w:rsidRPr="0036019C" w:rsidRDefault="009C68D3" w:rsidP="00C224FB">
      <w:pPr>
        <w:pStyle w:val="BodyText"/>
        <w:tabs>
          <w:tab w:val="left" w:pos="420"/>
        </w:tabs>
        <w:ind w:firstLine="284"/>
        <w:rPr>
          <w:rFonts w:ascii="Garamond" w:hAnsi="Garamond"/>
          <w:lang w:val="sq-AL"/>
        </w:rPr>
      </w:pPr>
    </w:p>
    <w:p w14:paraId="68DBFDA1" w14:textId="5A811B99"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Për qëllimet e kërkesave të përgjithshme të raportimit pranë Komisionit, të përcaktuara në nenin 59 të MFKP-së në lidhje me raportin vjetor të zbatimit të asistencës IPA III, KKIPA përdor modelin e vënë në dispozicion nga Komisioni.</w:t>
      </w:r>
    </w:p>
    <w:p w14:paraId="5A9DFE00" w14:textId="4EA27FFF"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Për qëllimet e nenit 60 të MFKP-së, KKIPA i dorëzon Komisionit një raport përfundimtar mbi zbatimin e aktiviteteve në kuadrin e menaxhimit indirekt të këtij Programi nga përfituesi IPA III, jo më vonë se 16 muaj nga mbarimi i periudhës së zbatimit operacional. KKIPA përdor modelin e vënë në dispozicion nga Komisioni.</w:t>
      </w:r>
    </w:p>
    <w:p w14:paraId="7A263125" w14:textId="3ECC36E6"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Për qëllimet e nenit 61(1) të MFKP-së, ZKA paraqet në format elektronik, deri më 15 janar të vitit financiar vijues, një kopje të të dhënave që mbahen në sistemin kontabël sipas nenit 4(4). Kjo kopje shoqërohet me një raport financiar përmbledhës të nënshkruar dhe të paaudituar sipas germës (c) </w:t>
      </w:r>
      <w:r w:rsidR="0036019C" w:rsidRPr="0036019C">
        <w:rPr>
          <w:rFonts w:ascii="Garamond" w:hAnsi="Garamond"/>
          <w:lang w:val="sq-AL"/>
        </w:rPr>
        <w:t xml:space="preserve">të shtojcës </w:t>
      </w:r>
      <w:r w:rsidRPr="0036019C">
        <w:rPr>
          <w:rFonts w:ascii="Garamond" w:hAnsi="Garamond"/>
          <w:lang w:val="sq-AL"/>
        </w:rPr>
        <w:t>III.</w:t>
      </w:r>
    </w:p>
    <w:p w14:paraId="26384EE8" w14:textId="5AD4E666"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Për qëllimet e kërkesave specifike të raportimit në kuadrin e menaxhimit indirekt sipas neneve 61(2)(a) dhe 61(3) të MFKP-së, ZKA i përfituesit IPA përdor modelet e përcaktuara në germat (a) dhe (b) </w:t>
      </w:r>
      <w:r w:rsidR="0036019C" w:rsidRPr="0036019C">
        <w:rPr>
          <w:rFonts w:ascii="Garamond" w:hAnsi="Garamond"/>
          <w:lang w:val="sq-AL"/>
        </w:rPr>
        <w:t xml:space="preserve">të shtojcës </w:t>
      </w:r>
      <w:r w:rsidRPr="0036019C">
        <w:rPr>
          <w:rFonts w:ascii="Garamond" w:hAnsi="Garamond"/>
          <w:lang w:val="sq-AL"/>
        </w:rPr>
        <w:t>III.</w:t>
      </w:r>
    </w:p>
    <w:p w14:paraId="2C9F965B" w14:textId="77777777" w:rsidR="009C68D3" w:rsidRPr="0036019C" w:rsidRDefault="009C68D3" w:rsidP="00C224FB">
      <w:pPr>
        <w:pStyle w:val="Heading20"/>
        <w:spacing w:after="0" w:line="240" w:lineRule="auto"/>
        <w:ind w:firstLine="284"/>
        <w:jc w:val="both"/>
        <w:rPr>
          <w:rFonts w:ascii="Garamond" w:hAnsi="Garamond"/>
          <w:b w:val="0"/>
          <w:bCs w:val="0"/>
          <w:sz w:val="24"/>
          <w:szCs w:val="24"/>
        </w:rPr>
      </w:pPr>
    </w:p>
    <w:p w14:paraId="710648E2" w14:textId="77777777" w:rsidR="002B38F0" w:rsidRPr="0036019C" w:rsidRDefault="002B38F0" w:rsidP="009C68D3">
      <w:pPr>
        <w:pStyle w:val="Heading20"/>
        <w:spacing w:after="0" w:line="240" w:lineRule="auto"/>
        <w:ind w:firstLine="284"/>
        <w:rPr>
          <w:rFonts w:ascii="Garamond" w:hAnsi="Garamond"/>
          <w:b w:val="0"/>
          <w:bCs w:val="0"/>
          <w:sz w:val="24"/>
          <w:szCs w:val="24"/>
        </w:rPr>
      </w:pPr>
    </w:p>
    <w:p w14:paraId="096BCD30" w14:textId="77777777" w:rsidR="002B38F0" w:rsidRPr="0036019C" w:rsidRDefault="002B38F0" w:rsidP="009C68D3">
      <w:pPr>
        <w:pStyle w:val="Heading20"/>
        <w:spacing w:after="0" w:line="240" w:lineRule="auto"/>
        <w:ind w:firstLine="284"/>
        <w:rPr>
          <w:rFonts w:ascii="Garamond" w:hAnsi="Garamond"/>
          <w:b w:val="0"/>
          <w:bCs w:val="0"/>
          <w:sz w:val="24"/>
          <w:szCs w:val="24"/>
        </w:rPr>
      </w:pPr>
    </w:p>
    <w:p w14:paraId="538F5391" w14:textId="77777777" w:rsidR="002B38F0" w:rsidRPr="0036019C" w:rsidRDefault="002B38F0" w:rsidP="009C68D3">
      <w:pPr>
        <w:pStyle w:val="Heading20"/>
        <w:spacing w:after="0" w:line="240" w:lineRule="auto"/>
        <w:ind w:firstLine="284"/>
        <w:rPr>
          <w:rFonts w:ascii="Garamond" w:hAnsi="Garamond"/>
          <w:b w:val="0"/>
          <w:bCs w:val="0"/>
          <w:sz w:val="24"/>
          <w:szCs w:val="24"/>
        </w:rPr>
      </w:pPr>
    </w:p>
    <w:p w14:paraId="652C68F2" w14:textId="07AB5959" w:rsidR="009C68D3" w:rsidRPr="0036019C" w:rsidRDefault="00BE19F3" w:rsidP="009C68D3">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15</w:t>
      </w:r>
    </w:p>
    <w:p w14:paraId="5937D480" w14:textId="27258357" w:rsidR="00BE19F3" w:rsidRPr="0036019C" w:rsidRDefault="00BE19F3" w:rsidP="009C68D3">
      <w:pPr>
        <w:pStyle w:val="Heading20"/>
        <w:spacing w:after="0" w:line="240" w:lineRule="auto"/>
        <w:ind w:firstLine="284"/>
        <w:rPr>
          <w:rFonts w:ascii="Garamond" w:hAnsi="Garamond"/>
          <w:sz w:val="24"/>
          <w:szCs w:val="24"/>
        </w:rPr>
      </w:pPr>
      <w:r w:rsidRPr="0036019C">
        <w:rPr>
          <w:rFonts w:ascii="Garamond" w:hAnsi="Garamond"/>
          <w:bCs w:val="0"/>
          <w:sz w:val="24"/>
          <w:szCs w:val="24"/>
        </w:rPr>
        <w:t>Të drejtat e pronësisë intelektuale</w:t>
      </w:r>
    </w:p>
    <w:p w14:paraId="1190F86B" w14:textId="77777777" w:rsidR="009C68D3" w:rsidRPr="0036019C" w:rsidRDefault="009C68D3" w:rsidP="00C224FB">
      <w:pPr>
        <w:pStyle w:val="BodyText"/>
        <w:tabs>
          <w:tab w:val="left" w:pos="420"/>
        </w:tabs>
        <w:ind w:firstLine="284"/>
        <w:rPr>
          <w:rFonts w:ascii="Garamond" w:hAnsi="Garamond"/>
          <w:lang w:val="sq-AL"/>
        </w:rPr>
      </w:pPr>
    </w:p>
    <w:p w14:paraId="4DE01182" w14:textId="4EA7CD7E"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Kontratat e financuara në kuadrin e kësaj Marrëveshjeje Financimi garantojnë që përfituesi IPA III të fitojë të gjitha të drejtat e nevojshme të pronësisë intelektuale në lidhje me teknologjinë e informacionit, studimet, skicat, planet, publicitetin dhe çdo material tjetër të përgatitur për qëllime planifikimi, zbatimi, monitorimi dhe vlerësimi.</w:t>
      </w:r>
    </w:p>
    <w:p w14:paraId="280C8E5B" w14:textId="45CAB713"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Përfituesi IPA III garanton që Komisioni ose çdo organ apo person i autorizuar prej Komisionit do të ketë akses dhe të drejtën të përdorë materiale të tilla. Komisioni i përdor këto materiale vetëm për qëllimet e veta.</w:t>
      </w:r>
    </w:p>
    <w:p w14:paraId="155129FE" w14:textId="77777777" w:rsidR="009C68D3" w:rsidRPr="0036019C" w:rsidRDefault="009C68D3" w:rsidP="009C68D3">
      <w:pPr>
        <w:pStyle w:val="Heading20"/>
        <w:spacing w:after="0" w:line="240" w:lineRule="auto"/>
        <w:jc w:val="both"/>
        <w:rPr>
          <w:rFonts w:ascii="Garamond" w:hAnsi="Garamond"/>
          <w:b w:val="0"/>
          <w:bCs w:val="0"/>
          <w:sz w:val="24"/>
          <w:szCs w:val="24"/>
        </w:rPr>
      </w:pPr>
    </w:p>
    <w:p w14:paraId="07B691F3" w14:textId="2D5A70F2" w:rsidR="009C68D3" w:rsidRPr="0036019C" w:rsidRDefault="00BE19F3" w:rsidP="009C68D3">
      <w:pPr>
        <w:pStyle w:val="Heading20"/>
        <w:spacing w:after="0" w:line="240" w:lineRule="auto"/>
        <w:rPr>
          <w:rFonts w:ascii="Garamond" w:hAnsi="Garamond"/>
          <w:b w:val="0"/>
          <w:bCs w:val="0"/>
          <w:sz w:val="24"/>
          <w:szCs w:val="24"/>
        </w:rPr>
      </w:pPr>
      <w:r w:rsidRPr="0036019C">
        <w:rPr>
          <w:rFonts w:ascii="Garamond" w:hAnsi="Garamond"/>
          <w:b w:val="0"/>
          <w:bCs w:val="0"/>
          <w:sz w:val="24"/>
          <w:szCs w:val="24"/>
        </w:rPr>
        <w:t>Neni 16</w:t>
      </w:r>
    </w:p>
    <w:p w14:paraId="04BE02A4" w14:textId="7C7DF896" w:rsidR="00BE19F3" w:rsidRPr="0036019C" w:rsidRDefault="00BE19F3" w:rsidP="009C68D3">
      <w:pPr>
        <w:pStyle w:val="Heading20"/>
        <w:spacing w:after="0" w:line="240" w:lineRule="auto"/>
        <w:rPr>
          <w:rFonts w:ascii="Garamond" w:hAnsi="Garamond"/>
          <w:sz w:val="24"/>
          <w:szCs w:val="24"/>
        </w:rPr>
      </w:pPr>
      <w:r w:rsidRPr="0036019C">
        <w:rPr>
          <w:rFonts w:ascii="Garamond" w:hAnsi="Garamond"/>
          <w:bCs w:val="0"/>
          <w:sz w:val="24"/>
          <w:szCs w:val="24"/>
        </w:rPr>
        <w:t>Konsultimi ndërmjet përfituesit IPA dhe Komisionit</w:t>
      </w:r>
    </w:p>
    <w:p w14:paraId="4C8BE198" w14:textId="77777777" w:rsidR="009C68D3" w:rsidRPr="0036019C" w:rsidRDefault="009C68D3" w:rsidP="00C224FB">
      <w:pPr>
        <w:pStyle w:val="BodyText"/>
        <w:tabs>
          <w:tab w:val="left" w:pos="420"/>
        </w:tabs>
        <w:ind w:firstLine="284"/>
        <w:rPr>
          <w:rFonts w:ascii="Garamond" w:hAnsi="Garamond"/>
          <w:lang w:val="sq-AL"/>
        </w:rPr>
      </w:pPr>
    </w:p>
    <w:p w14:paraId="08780F4B" w14:textId="764461DA"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Përfituesi IPA III dhe Komisioni konsultohen bashkë përpara se çdo mosmarrëveshje në lidhje me zbatimin apo interpretimin e Marrëveshjes së Financimit të ndiqet më tutje sipas nenit 20.</w:t>
      </w:r>
    </w:p>
    <w:p w14:paraId="00EF6F31" w14:textId="755765C5"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Nëse Komisioni konstaton probleme në kryerjen e procedurave në lidhje me zbatimin e kësaj Marrëveshjeje Financimi, ai vendos të gjitha kontaktet e nevojshme me përfituesin IPA III për të rregulluar situatën dhe për të ndërmarrë çdo hap të nevojshëm.</w:t>
      </w:r>
    </w:p>
    <w:p w14:paraId="7C894E17" w14:textId="4C1C8ECB"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Konsultimi mund të rezultojë në një ndryshim ligjor, pezullim ose zgjidhje të kësaj Marrëveshjeje Financimi.</w:t>
      </w:r>
    </w:p>
    <w:p w14:paraId="3A85B767" w14:textId="13A46E17"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Komisioni informon rregullisht përfituesin IPA III mbi zbatimin e aktiviteteve të përshkruara </w:t>
      </w:r>
      <w:r w:rsidR="00C347BB">
        <w:rPr>
          <w:rFonts w:ascii="Garamond" w:hAnsi="Garamond"/>
          <w:lang w:val="sq-AL"/>
        </w:rPr>
        <w:t>në shtojcën</w:t>
      </w:r>
      <w:r w:rsidRPr="0036019C">
        <w:rPr>
          <w:rFonts w:ascii="Garamond" w:hAnsi="Garamond"/>
          <w:lang w:val="sq-AL"/>
        </w:rPr>
        <w:t xml:space="preserve"> I, të cilat nuk janë </w:t>
      </w:r>
      <w:r w:rsidR="00C347BB">
        <w:rPr>
          <w:rFonts w:ascii="Garamond" w:hAnsi="Garamond"/>
          <w:lang w:val="sq-AL"/>
        </w:rPr>
        <w:t xml:space="preserve">në pjesën </w:t>
      </w:r>
      <w:r w:rsidRPr="0036019C">
        <w:rPr>
          <w:rFonts w:ascii="Garamond" w:hAnsi="Garamond"/>
          <w:lang w:val="sq-AL"/>
        </w:rPr>
        <w:t>I të këtyre Kushteve të Përgjithshme.</w:t>
      </w:r>
    </w:p>
    <w:p w14:paraId="322D2E65" w14:textId="77777777" w:rsidR="009C68D3" w:rsidRPr="0036019C" w:rsidRDefault="009C68D3" w:rsidP="00C224FB">
      <w:pPr>
        <w:pStyle w:val="Heading20"/>
        <w:spacing w:after="0" w:line="240" w:lineRule="auto"/>
        <w:ind w:firstLine="284"/>
        <w:jc w:val="both"/>
        <w:rPr>
          <w:rFonts w:ascii="Garamond" w:hAnsi="Garamond"/>
          <w:b w:val="0"/>
          <w:bCs w:val="0"/>
          <w:sz w:val="24"/>
          <w:szCs w:val="24"/>
        </w:rPr>
      </w:pPr>
    </w:p>
    <w:p w14:paraId="115DC759" w14:textId="3E634204" w:rsidR="009C68D3" w:rsidRPr="0036019C" w:rsidRDefault="00BE19F3" w:rsidP="009C68D3">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17</w:t>
      </w:r>
    </w:p>
    <w:p w14:paraId="36D9B0C7" w14:textId="2F48A7E5" w:rsidR="00BE19F3" w:rsidRPr="0036019C" w:rsidRDefault="00BE19F3" w:rsidP="009C68D3">
      <w:pPr>
        <w:pStyle w:val="Heading20"/>
        <w:spacing w:after="0" w:line="240" w:lineRule="auto"/>
        <w:ind w:firstLine="284"/>
        <w:rPr>
          <w:rFonts w:ascii="Garamond" w:hAnsi="Garamond"/>
          <w:sz w:val="24"/>
          <w:szCs w:val="24"/>
        </w:rPr>
      </w:pPr>
      <w:r w:rsidRPr="0036019C">
        <w:rPr>
          <w:rFonts w:ascii="Garamond" w:hAnsi="Garamond"/>
          <w:bCs w:val="0"/>
          <w:sz w:val="24"/>
          <w:szCs w:val="24"/>
        </w:rPr>
        <w:lastRenderedPageBreak/>
        <w:t>Ndryshimet e Marrëveshjes së Financimit</w:t>
      </w:r>
    </w:p>
    <w:p w14:paraId="29946E96" w14:textId="77777777" w:rsidR="009C68D3" w:rsidRPr="0036019C" w:rsidRDefault="009C68D3" w:rsidP="00C224FB">
      <w:pPr>
        <w:pStyle w:val="BodyText"/>
        <w:tabs>
          <w:tab w:val="left" w:pos="420"/>
        </w:tabs>
        <w:ind w:firstLine="284"/>
        <w:rPr>
          <w:rFonts w:ascii="Garamond" w:hAnsi="Garamond"/>
          <w:lang w:val="sq-AL"/>
        </w:rPr>
      </w:pPr>
    </w:p>
    <w:p w14:paraId="585F8B46" w14:textId="778EA910"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Çdo ndryshim i kësaj Marrëveshjeje Financimi bëhet me shkrim, si dhe me shkëmbim letrash.</w:t>
      </w:r>
    </w:p>
    <w:p w14:paraId="646ED31F" w14:textId="426AA8FD"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Nëse përfituesi IPA III kërkon një ndryshim ligjor, kërkesa i paraqitet Komisionit të paktën tre muaj para se ky ndryshim ligjor planifikohet të hyjë në fuqi, me përjashtim të rasteve të justifikuara sipas rregullave.</w:t>
      </w:r>
    </w:p>
    <w:p w14:paraId="0AA62C2C" w14:textId="4B8A0491"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Komisioni mund të bëjë ndryshime ligjore në dokumentet </w:t>
      </w:r>
      <w:r w:rsidR="00C347BB">
        <w:rPr>
          <w:rFonts w:ascii="Garamond" w:hAnsi="Garamond"/>
          <w:lang w:val="sq-AL"/>
        </w:rPr>
        <w:t>e shtojcave</w:t>
      </w:r>
      <w:r w:rsidRPr="0036019C">
        <w:rPr>
          <w:rFonts w:ascii="Garamond" w:hAnsi="Garamond"/>
          <w:lang w:val="sq-AL"/>
        </w:rPr>
        <w:t xml:space="preserve"> III dhe IV pa bërë ndryshim ligjor në këtë Marrëveshje Financimi. Përfituesit IPA III informohen me shkrim për çdo ndryshim ligjor të tillë dhe hyrjen e tij në fuqi.</w:t>
      </w:r>
    </w:p>
    <w:p w14:paraId="23F95AA5" w14:textId="081832CF"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Pa cenuar paragrafin (1), ndarjet buxhetore për vitet pasuese në përputhje </w:t>
      </w:r>
      <w:r w:rsidR="00C347BB">
        <w:rPr>
          <w:rFonts w:ascii="Garamond" w:hAnsi="Garamond"/>
          <w:lang w:val="sq-AL"/>
        </w:rPr>
        <w:t>me nenin</w:t>
      </w:r>
      <w:r w:rsidRPr="0036019C">
        <w:rPr>
          <w:rFonts w:ascii="Garamond" w:hAnsi="Garamond"/>
          <w:lang w:val="sq-AL"/>
        </w:rPr>
        <w:t xml:space="preserve"> 1(3) të Kushteve të Veçanta do të bëhen nëpërmjet një njoftimi me shkrim nga Komisioni drejtuar përfituesit IPA III, ose me anë të një shkëmbimi letrash midis Palëve, duke specifikuar shumën e ndarjes përkatëse buxhetore dhe datën nga e cila ajo vihet në dispozicion për veprimin. Kur është e nevojshme, njoftimi ose shkëmbimi i letrave duhet të konfirmojë</w:t>
      </w:r>
      <w:r w:rsidR="00C347BB">
        <w:rPr>
          <w:rFonts w:ascii="Garamond" w:hAnsi="Garamond"/>
          <w:lang w:val="sq-AL"/>
        </w:rPr>
        <w:t>,</w:t>
      </w:r>
      <w:r w:rsidRPr="0036019C">
        <w:rPr>
          <w:rFonts w:ascii="Garamond" w:hAnsi="Garamond"/>
          <w:lang w:val="sq-AL"/>
        </w:rPr>
        <w:t xml:space="preserve"> gjithashtu</w:t>
      </w:r>
      <w:r w:rsidR="00C347BB">
        <w:rPr>
          <w:rFonts w:ascii="Garamond" w:hAnsi="Garamond"/>
          <w:lang w:val="sq-AL"/>
        </w:rPr>
        <w:t>,</w:t>
      </w:r>
      <w:r w:rsidRPr="0036019C">
        <w:rPr>
          <w:rFonts w:ascii="Garamond" w:hAnsi="Garamond"/>
          <w:lang w:val="sq-AL"/>
        </w:rPr>
        <w:t xml:space="preserve"> masat që do të mbështeten.</w:t>
      </w:r>
    </w:p>
    <w:p w14:paraId="6D8DC0BF" w14:textId="77777777" w:rsidR="009C68D3" w:rsidRPr="0036019C" w:rsidRDefault="009C68D3" w:rsidP="00C224FB">
      <w:pPr>
        <w:pStyle w:val="Heading20"/>
        <w:spacing w:after="0" w:line="240" w:lineRule="auto"/>
        <w:ind w:firstLine="284"/>
        <w:jc w:val="both"/>
        <w:rPr>
          <w:rFonts w:ascii="Garamond" w:hAnsi="Garamond"/>
          <w:b w:val="0"/>
          <w:bCs w:val="0"/>
          <w:sz w:val="24"/>
          <w:szCs w:val="24"/>
        </w:rPr>
      </w:pPr>
    </w:p>
    <w:p w14:paraId="30B90654" w14:textId="4760C947" w:rsidR="009C68D3" w:rsidRPr="0036019C" w:rsidRDefault="00BE19F3" w:rsidP="009C68D3">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18</w:t>
      </w:r>
    </w:p>
    <w:p w14:paraId="30172A6F" w14:textId="420ABB1C" w:rsidR="00BE19F3" w:rsidRPr="0036019C" w:rsidRDefault="00BE19F3" w:rsidP="009C68D3">
      <w:pPr>
        <w:pStyle w:val="Heading20"/>
        <w:spacing w:after="0" w:line="240" w:lineRule="auto"/>
        <w:ind w:firstLine="284"/>
        <w:rPr>
          <w:rFonts w:ascii="Garamond" w:hAnsi="Garamond"/>
          <w:sz w:val="24"/>
          <w:szCs w:val="24"/>
        </w:rPr>
      </w:pPr>
      <w:r w:rsidRPr="0036019C">
        <w:rPr>
          <w:rFonts w:ascii="Garamond" w:hAnsi="Garamond"/>
          <w:bCs w:val="0"/>
          <w:sz w:val="24"/>
          <w:szCs w:val="24"/>
        </w:rPr>
        <w:t>Pezullimi i kësaj Marrëveshjeje Financimi</w:t>
      </w:r>
    </w:p>
    <w:p w14:paraId="0A284EB9" w14:textId="77777777" w:rsidR="009C68D3" w:rsidRPr="0036019C" w:rsidRDefault="009C68D3" w:rsidP="00C224FB">
      <w:pPr>
        <w:pStyle w:val="BodyText"/>
        <w:tabs>
          <w:tab w:val="left" w:pos="420"/>
        </w:tabs>
        <w:ind w:firstLine="284"/>
        <w:rPr>
          <w:rFonts w:ascii="Garamond" w:hAnsi="Garamond"/>
          <w:lang w:val="sq-AL"/>
        </w:rPr>
      </w:pPr>
    </w:p>
    <w:p w14:paraId="03C3AA89" w14:textId="227ED53C"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Marrëveshja e Financimit mund të pezullohet në rastet e mëposhtme:</w:t>
      </w:r>
    </w:p>
    <w:p w14:paraId="047204D1" w14:textId="617913E4" w:rsidR="00BE19F3" w:rsidRPr="0036019C" w:rsidRDefault="00BE19F3" w:rsidP="00C224FB">
      <w:pPr>
        <w:pStyle w:val="BodyText"/>
        <w:tabs>
          <w:tab w:val="left" w:pos="840"/>
        </w:tabs>
        <w:ind w:firstLine="284"/>
        <w:rPr>
          <w:rFonts w:ascii="Garamond" w:hAnsi="Garamond"/>
          <w:lang w:val="sq-AL"/>
        </w:rPr>
      </w:pPr>
      <w:r w:rsidRPr="0036019C">
        <w:rPr>
          <w:rFonts w:ascii="Garamond" w:hAnsi="Garamond"/>
          <w:lang w:val="sq-AL"/>
        </w:rPr>
        <w:t>a) Komisioni mund të pezullojë zbatimin e kësaj Marrëveshjeje Financimi nëse përfituesi IPA III shkel një detyrim sipas kësaj Marrëveshjeje Financimi;</w:t>
      </w:r>
    </w:p>
    <w:p w14:paraId="252F7E80" w14:textId="7CFCFC26" w:rsidR="00BE19F3" w:rsidRPr="0036019C" w:rsidRDefault="00BE19F3" w:rsidP="00C224FB">
      <w:pPr>
        <w:pStyle w:val="BodyText"/>
        <w:tabs>
          <w:tab w:val="left" w:pos="840"/>
        </w:tabs>
        <w:ind w:firstLine="284"/>
        <w:rPr>
          <w:rFonts w:ascii="Garamond" w:hAnsi="Garamond"/>
          <w:lang w:val="sq-AL"/>
        </w:rPr>
      </w:pPr>
      <w:r w:rsidRPr="0036019C">
        <w:rPr>
          <w:rFonts w:ascii="Garamond" w:hAnsi="Garamond"/>
          <w:lang w:val="sq-AL"/>
        </w:rPr>
        <w:t>b) Komisioni mund të pezullojë zbatimin e kësaj Marrëveshjeje Financimi nëse përfituesi IPA III shkel një detyrim të përcaktuar në procedurat dhe dokumentet standarde të renditura në nenin 18(2) të MFKP-së;</w:t>
      </w:r>
    </w:p>
    <w:p w14:paraId="2A14AD4C" w14:textId="76C71A49" w:rsidR="00BE19F3" w:rsidRPr="0036019C" w:rsidRDefault="00BE19F3" w:rsidP="00C224FB">
      <w:pPr>
        <w:pStyle w:val="BodyText"/>
        <w:tabs>
          <w:tab w:val="left" w:pos="840"/>
        </w:tabs>
        <w:ind w:firstLine="284"/>
        <w:rPr>
          <w:rFonts w:ascii="Garamond" w:hAnsi="Garamond"/>
          <w:lang w:val="sq-AL"/>
        </w:rPr>
      </w:pPr>
      <w:r w:rsidRPr="0036019C">
        <w:rPr>
          <w:rFonts w:ascii="Garamond" w:hAnsi="Garamond"/>
          <w:lang w:val="sq-AL"/>
        </w:rPr>
        <w:t>c) Komisioni mund të pezullojë zbatimin e kësaj Marrëveshjeje Financimi nëse përfituesi IPA III nuk përmbush kërkesat për t’i besuar detyrat e zbatimit të buxhetit;</w:t>
      </w:r>
    </w:p>
    <w:p w14:paraId="76490A4F" w14:textId="4F486B43"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d) Komisioni mund të pezullojë zbatimin e kësaj Marrëveshjeje Financimi nëse përfituesi IPA III vendos të pezullojë ose të pushojë procesin e aderimit/anëtarësimit në BE;</w:t>
      </w:r>
    </w:p>
    <w:p w14:paraId="6B1D6066" w14:textId="2847D636"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e) Komisioni mund të pezullojë këtë Marrëveshje Financimi nëse përfituesi IPA III shkel një detyrim në lidhje me respektimin e të drejtave të njeriut, parimet demokratike dhe shtetin e së drejtës dhe në raste të rënda korrupsioni apo nëse përfituesi IPA III është fajtor për shkelje të rëndë profesionale të faktuar me prova të qarta. Shkelja/kundërvajtja e rëndë profesionale nënkuptohet si në vijim:</w:t>
      </w:r>
    </w:p>
    <w:p w14:paraId="610811E1" w14:textId="66F1AC88" w:rsidR="00BE19F3" w:rsidRPr="0036019C" w:rsidRDefault="009C68D3" w:rsidP="00C224FB">
      <w:pPr>
        <w:pStyle w:val="BodyText"/>
        <w:tabs>
          <w:tab w:val="left" w:pos="1120"/>
        </w:tabs>
        <w:ind w:firstLine="284"/>
        <w:rPr>
          <w:rFonts w:ascii="Garamond" w:hAnsi="Garamond"/>
          <w:lang w:val="sq-AL"/>
        </w:rPr>
      </w:pPr>
      <w:r w:rsidRPr="0036019C">
        <w:rPr>
          <w:rFonts w:ascii="Garamond" w:hAnsi="Garamond" w:cs="Arial"/>
          <w:lang w:val="sq-AL"/>
        </w:rPr>
        <w:t>-</w:t>
      </w:r>
      <w:r w:rsidR="002B38F0" w:rsidRPr="0036019C">
        <w:rPr>
          <w:rFonts w:ascii="Garamond" w:hAnsi="Garamond" w:cs="Arial"/>
          <w:lang w:val="sq-AL"/>
        </w:rPr>
        <w:t xml:space="preserve"> </w:t>
      </w:r>
      <w:r w:rsidR="00BE19F3" w:rsidRPr="0036019C">
        <w:rPr>
          <w:rFonts w:ascii="Garamond" w:hAnsi="Garamond"/>
          <w:lang w:val="sq-AL"/>
        </w:rPr>
        <w:t>shkelje e ligjeve ose akteve normative të zbatueshme, ose të standardeve etike të profesionit të cilit i përket një person ose subjekt;</w:t>
      </w:r>
    </w:p>
    <w:p w14:paraId="0DA2C314" w14:textId="3151B10B" w:rsidR="00BE19F3" w:rsidRPr="0036019C" w:rsidRDefault="009C68D3" w:rsidP="00C224FB">
      <w:pPr>
        <w:pStyle w:val="BodyText"/>
        <w:tabs>
          <w:tab w:val="left" w:pos="1120"/>
        </w:tabs>
        <w:ind w:firstLine="284"/>
        <w:rPr>
          <w:rFonts w:ascii="Garamond" w:hAnsi="Garamond"/>
          <w:lang w:val="sq-AL"/>
        </w:rPr>
      </w:pPr>
      <w:r w:rsidRPr="0036019C">
        <w:rPr>
          <w:rFonts w:ascii="Garamond" w:hAnsi="Garamond" w:cs="Arial"/>
          <w:lang w:val="sq-AL"/>
        </w:rPr>
        <w:t>-</w:t>
      </w:r>
      <w:r w:rsidR="00BE19F3" w:rsidRPr="0036019C">
        <w:rPr>
          <w:rFonts w:ascii="Garamond" w:hAnsi="Garamond" w:cs="Arial"/>
          <w:lang w:val="sq-AL"/>
        </w:rPr>
        <w:t xml:space="preserve"> </w:t>
      </w:r>
      <w:r w:rsidR="00BE19F3" w:rsidRPr="0036019C">
        <w:rPr>
          <w:rFonts w:ascii="Garamond" w:hAnsi="Garamond"/>
          <w:lang w:val="sq-AL"/>
        </w:rPr>
        <w:t>sjellje e gabuar e një personi ose subjekti që ndikon në kredibilitetin e vet profesional, kur kjo sjellje është me keqdashje apo pakujdesi e rëndë.</w:t>
      </w:r>
    </w:p>
    <w:p w14:paraId="38227DAE" w14:textId="6074D238"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 xml:space="preserve">f) Marrëveshja e Financimit mund të pezullohet në rastet e forcës madhore, siç përcaktohet më poshtë. “Forcë madhore” nënkupton çdo situatë ose raste të paparashikueshme dhe të jashtëzakonshme përtej kontrollit të palëve që pengon secilën në përmbushjen e detyrimeve të tyre, çka nuk i atribuohet një gabimi apo pakujdesie nga ana e tyre (ose nga kontraktuesit, agjentët apo të punësuarit e tyre) dhe që rezulton e pakapërcyeshme me gjithë kujdesin e duhur. Defektet në pajisje ose materiale apo vonesat në furnizimin e tyre, mosmarrëveshjet në punë, grevat ose vështirësitë financiare nuk mund të pretendohen se përbëjnë forcë madhore. Secila palë nuk mund të konsiderohet se ka shkelur detyrimet, nëse pengohet në përmbushjen e tyre nga një forcë madhore për të cilën e ka informuar siç duhet palën tjetër. Secila palë që përballet me forcë madhore informon palën tjetër pa vonesë, duke i deklaruar natyrën, kohëzgjatjen e mundshme dhe efektet e parashikueshme të problemit, si dhe merr të gjitha masat për të minimizuar dëmet e mundshme. Nëse forca madhore prek vetëm në një pjesë të Programit, pezullimi i Marrëveshjes së Financimit mund të jetë i pjesshëm. Asnjëra palë nuk mbahet përgjegjëse për shkelje të </w:t>
      </w:r>
      <w:r w:rsidRPr="0036019C">
        <w:rPr>
          <w:rFonts w:ascii="Garamond" w:hAnsi="Garamond"/>
          <w:lang w:val="sq-AL"/>
        </w:rPr>
        <w:lastRenderedPageBreak/>
        <w:t>detyrimeve në kuadrin e kësaj Marrëveshjeje Financimi, nëse pengohet në përmbushjen e tyre nga forca madhore, me kusht që të marrë masa për minimizimin e dëmeve të mundshme.</w:t>
      </w:r>
    </w:p>
    <w:p w14:paraId="1E3C4485" w14:textId="133BAA43"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Komisioni mund të pezullojë këtë Marrëveshje Financimi pa njoftim paraprak.</w:t>
      </w:r>
    </w:p>
    <w:p w14:paraId="091D60A9" w14:textId="520D619C"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Komisioni mund të marrë të gjitha masat e nevojshme paraprake para se të ndodhë pezullimi.</w:t>
      </w:r>
    </w:p>
    <w:p w14:paraId="4711EBAA" w14:textId="058A9CAD"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4</w:t>
      </w:r>
      <w:r w:rsidR="002B38F0" w:rsidRPr="0036019C">
        <w:rPr>
          <w:rFonts w:ascii="Garamond" w:hAnsi="Garamond"/>
          <w:lang w:val="sq-AL"/>
        </w:rPr>
        <w:t>.</w:t>
      </w:r>
      <w:r w:rsidRPr="0036019C">
        <w:rPr>
          <w:rFonts w:ascii="Garamond" w:hAnsi="Garamond"/>
          <w:lang w:val="sq-AL"/>
        </w:rPr>
        <w:t xml:space="preserve"> Në rastin kur njoftohet pezullimi, duhet të specifikohen pasojat për kontratat e prokurimit, kontratat grant dhe marrëveshjet e kontributit që janë në proces apo pritet të nënshkruhen.</w:t>
      </w:r>
    </w:p>
    <w:p w14:paraId="158AC269" w14:textId="490F84BC"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5</w:t>
      </w:r>
      <w:r w:rsidR="002B38F0" w:rsidRPr="0036019C">
        <w:rPr>
          <w:rFonts w:ascii="Garamond" w:hAnsi="Garamond"/>
          <w:lang w:val="sq-AL"/>
        </w:rPr>
        <w:t>.</w:t>
      </w:r>
      <w:r w:rsidRPr="0036019C">
        <w:rPr>
          <w:rFonts w:ascii="Garamond" w:hAnsi="Garamond"/>
          <w:lang w:val="sq-AL"/>
        </w:rPr>
        <w:t xml:space="preserve"> Pezullimi i Marrëveshjes së Financimit nuk i cenon të drejtën Komisionit që të ndërpresë pagesat dhe të zgjidhë këtë Marrëveshje Financimi sipas neneve 6 dhe 19.</w:t>
      </w:r>
    </w:p>
    <w:p w14:paraId="0750EDF8" w14:textId="5E5A588E"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6</w:t>
      </w:r>
      <w:r w:rsidR="002B38F0" w:rsidRPr="0036019C">
        <w:rPr>
          <w:rFonts w:ascii="Garamond" w:hAnsi="Garamond"/>
          <w:lang w:val="sq-AL"/>
        </w:rPr>
        <w:t>.</w:t>
      </w:r>
      <w:r w:rsidRPr="0036019C">
        <w:rPr>
          <w:rFonts w:ascii="Garamond" w:hAnsi="Garamond"/>
          <w:lang w:val="sq-AL"/>
        </w:rPr>
        <w:t xml:space="preserve"> Palët e rifillojnë zbatimin e Marrëveshjes së Financimit menjëherë sapo e lejojnë kushtet dhe pasi merret miratimi paraprak me shkrim i Komisionit. Kjo nuk cenon mundësinë për t’i bërë ndonjë ndryshim ligjor kësaj Marrëveshjeje Financimi, i cili mund të jetë i nevojshëm për ta përshtatur Programin me kushtet e reja të zbatimit, duke përfshirë, nëse është e mundur, zgjatjen e periudhave të zbatimit operacional dhe ekzekutimit, ose zgjidhjen e kësaj Marrëveshjeje Financimi sipas nenit 19.</w:t>
      </w:r>
    </w:p>
    <w:p w14:paraId="2A8148EE" w14:textId="77777777" w:rsidR="009C68D3" w:rsidRPr="0036019C" w:rsidRDefault="009C68D3" w:rsidP="00C224FB">
      <w:pPr>
        <w:pStyle w:val="Heading20"/>
        <w:spacing w:after="0" w:line="240" w:lineRule="auto"/>
        <w:ind w:firstLine="284"/>
        <w:jc w:val="both"/>
        <w:rPr>
          <w:rFonts w:ascii="Garamond" w:hAnsi="Garamond"/>
          <w:b w:val="0"/>
          <w:bCs w:val="0"/>
          <w:sz w:val="24"/>
          <w:szCs w:val="24"/>
        </w:rPr>
      </w:pPr>
    </w:p>
    <w:p w14:paraId="26ADDA28" w14:textId="6DEB01FB" w:rsidR="009C68D3" w:rsidRPr="0036019C" w:rsidRDefault="00BE19F3" w:rsidP="009C68D3">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19</w:t>
      </w:r>
    </w:p>
    <w:p w14:paraId="46C602EF" w14:textId="274895F7" w:rsidR="00BE19F3" w:rsidRPr="0036019C" w:rsidRDefault="00BE19F3" w:rsidP="009C68D3">
      <w:pPr>
        <w:pStyle w:val="Heading20"/>
        <w:spacing w:after="0" w:line="240" w:lineRule="auto"/>
        <w:ind w:firstLine="284"/>
        <w:rPr>
          <w:rFonts w:ascii="Garamond" w:hAnsi="Garamond"/>
          <w:sz w:val="24"/>
          <w:szCs w:val="24"/>
        </w:rPr>
      </w:pPr>
      <w:r w:rsidRPr="0036019C">
        <w:rPr>
          <w:rFonts w:ascii="Garamond" w:hAnsi="Garamond"/>
          <w:bCs w:val="0"/>
          <w:sz w:val="24"/>
          <w:szCs w:val="24"/>
        </w:rPr>
        <w:t>Zgjidhja e kësaj Marrëveshjeje Financimi</w:t>
      </w:r>
    </w:p>
    <w:p w14:paraId="18A430A6" w14:textId="77777777" w:rsidR="009C68D3" w:rsidRPr="0036019C" w:rsidRDefault="009C68D3" w:rsidP="00C224FB">
      <w:pPr>
        <w:pStyle w:val="BodyText"/>
        <w:tabs>
          <w:tab w:val="left" w:pos="400"/>
        </w:tabs>
        <w:ind w:firstLine="284"/>
        <w:rPr>
          <w:rFonts w:ascii="Garamond" w:hAnsi="Garamond"/>
          <w:lang w:val="sq-AL"/>
        </w:rPr>
      </w:pPr>
    </w:p>
    <w:p w14:paraId="356B5B60" w14:textId="1B6F8004"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Nëse problematikat që çuan në pezullimin e kësaj Marrëveshjeje Financimi nuk janë zgjidhur brenda periudhës maksimale prej 180 ditësh, secila palë ka të drejtë ta zgjidhë Marrëveshjen e Financimit pas një njoftimi brenda 30 ditëve.</w:t>
      </w:r>
    </w:p>
    <w:p w14:paraId="729D2F77" w14:textId="44E6E1BB"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 rastin kur njoftohet zgjidhja, specifikohen pasojat për kontratat e prokurimit dhe grantit si dhe marrëveshjet e kontributit që janë në proces ose do të nënshkruhen.</w:t>
      </w:r>
    </w:p>
    <w:p w14:paraId="1332CDE9" w14:textId="777CAE52" w:rsidR="00BE19F3" w:rsidRPr="0036019C" w:rsidRDefault="00BE19F3" w:rsidP="00C224FB">
      <w:pPr>
        <w:pStyle w:val="BodyText"/>
        <w:tabs>
          <w:tab w:val="left" w:pos="40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Zgjidhja e kësaj Marrëveshjeje Financimi nuk përjashton mundësinë që Komisioni të kryejë korrigjime financiare sipas neneve 43 dhe 44 të MFKP-së.</w:t>
      </w:r>
    </w:p>
    <w:p w14:paraId="08C33FAF" w14:textId="77777777" w:rsidR="009C68D3" w:rsidRPr="0036019C" w:rsidRDefault="009C68D3" w:rsidP="00C224FB">
      <w:pPr>
        <w:pStyle w:val="Heading20"/>
        <w:spacing w:after="0" w:line="240" w:lineRule="auto"/>
        <w:ind w:firstLine="284"/>
        <w:jc w:val="both"/>
        <w:rPr>
          <w:rFonts w:ascii="Garamond" w:hAnsi="Garamond"/>
          <w:b w:val="0"/>
          <w:bCs w:val="0"/>
          <w:sz w:val="24"/>
          <w:szCs w:val="24"/>
        </w:rPr>
      </w:pPr>
    </w:p>
    <w:p w14:paraId="385CE203" w14:textId="204EDBED" w:rsidR="009C68D3" w:rsidRPr="0036019C" w:rsidRDefault="00BE19F3" w:rsidP="009C68D3">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20</w:t>
      </w:r>
    </w:p>
    <w:p w14:paraId="1F1229DB" w14:textId="3BEE19B4" w:rsidR="00BE19F3" w:rsidRPr="0036019C" w:rsidRDefault="00BE19F3" w:rsidP="009C68D3">
      <w:pPr>
        <w:pStyle w:val="Heading20"/>
        <w:spacing w:after="0" w:line="240" w:lineRule="auto"/>
        <w:ind w:firstLine="284"/>
        <w:rPr>
          <w:rFonts w:ascii="Garamond" w:hAnsi="Garamond"/>
          <w:sz w:val="24"/>
          <w:szCs w:val="24"/>
        </w:rPr>
      </w:pPr>
      <w:r w:rsidRPr="0036019C">
        <w:rPr>
          <w:rFonts w:ascii="Garamond" w:hAnsi="Garamond"/>
          <w:bCs w:val="0"/>
          <w:sz w:val="24"/>
          <w:szCs w:val="24"/>
        </w:rPr>
        <w:t>Ligji i zbatueshëm, zgjidhja e mosmarrëveshjeve</w:t>
      </w:r>
    </w:p>
    <w:p w14:paraId="586B1D46" w14:textId="77777777" w:rsidR="009C68D3" w:rsidRPr="0036019C" w:rsidRDefault="009C68D3" w:rsidP="00C224FB">
      <w:pPr>
        <w:pStyle w:val="BodyText"/>
        <w:tabs>
          <w:tab w:val="left" w:pos="420"/>
        </w:tabs>
        <w:ind w:firstLine="284"/>
        <w:rPr>
          <w:rFonts w:ascii="Garamond" w:hAnsi="Garamond"/>
          <w:lang w:val="sq-AL"/>
        </w:rPr>
      </w:pPr>
    </w:p>
    <w:p w14:paraId="16DC719B" w14:textId="6EBBE366"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Kjo Marrëveshje interpretohet dhe zbatohet sipas </w:t>
      </w:r>
      <w:r w:rsidR="00E406EE">
        <w:rPr>
          <w:rFonts w:ascii="Garamond" w:hAnsi="Garamond"/>
          <w:lang w:val="sq-AL"/>
        </w:rPr>
        <w:t>s</w:t>
      </w:r>
      <w:r w:rsidRPr="0036019C">
        <w:rPr>
          <w:rFonts w:ascii="Garamond" w:hAnsi="Garamond"/>
          <w:lang w:val="sq-AL"/>
        </w:rPr>
        <w:t>ë drejtës së BE-së.</w:t>
      </w:r>
    </w:p>
    <w:p w14:paraId="21FEFFE2" w14:textId="07EDB6DC"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Nëse një mosmarrëveshje në lidhje me interpretimin, zbatimin apo vlefshmërinë e Marrëveshjes nuk mund të zgjidhet me konsultim, ajo referohet te Gjykata e Përhershme e Arbitrazhit sipas Rregullave të Arbitrazhit të vitit 2012, sipas kushteve të mëposhtme:</w:t>
      </w:r>
    </w:p>
    <w:p w14:paraId="4EAB39E6" w14:textId="75189B1A"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a) Përbërja e trupit gjykues</w:t>
      </w:r>
    </w:p>
    <w:p w14:paraId="19D8FA42" w14:textId="5FC84CA8" w:rsidR="00BE19F3" w:rsidRPr="0036019C" w:rsidRDefault="00BE19F3" w:rsidP="00C224FB">
      <w:pPr>
        <w:pStyle w:val="BodyText"/>
        <w:ind w:firstLine="284"/>
        <w:rPr>
          <w:rFonts w:ascii="Garamond" w:hAnsi="Garamond"/>
          <w:lang w:val="sq-AL"/>
        </w:rPr>
      </w:pPr>
      <w:r w:rsidRPr="0036019C">
        <w:rPr>
          <w:rFonts w:ascii="Garamond" w:hAnsi="Garamond"/>
          <w:lang w:val="sq-AL"/>
        </w:rPr>
        <w:t xml:space="preserve">Për pretendimet mbi 500 000 </w:t>
      </w:r>
      <w:r w:rsidR="00CC1C79" w:rsidRPr="0036019C">
        <w:rPr>
          <w:rFonts w:ascii="Garamond" w:hAnsi="Garamond"/>
          <w:lang w:val="sq-AL"/>
        </w:rPr>
        <w:t>euro</w:t>
      </w:r>
      <w:r w:rsidRPr="0036019C">
        <w:rPr>
          <w:rFonts w:ascii="Garamond" w:hAnsi="Garamond"/>
          <w:lang w:val="sq-AL"/>
        </w:rPr>
        <w:t>: trupi gjykues përbëhet nga tre arbitra. Secila palë cakton një arbitër brenda 40 ditësh kalendarike pas dërgimit të njoftimit të arbitrazhit. Dy arbitrat e caktuar prej palëve caktojnë vetë një arbitër të tretë që të veprojë si arbitër kryesues.</w:t>
      </w:r>
    </w:p>
    <w:p w14:paraId="34057751" w14:textId="24966D9C" w:rsidR="00BE19F3" w:rsidRPr="0036019C" w:rsidRDefault="00BE19F3" w:rsidP="00C224FB">
      <w:pPr>
        <w:pStyle w:val="BodyText"/>
        <w:ind w:firstLine="284"/>
        <w:rPr>
          <w:rFonts w:ascii="Garamond" w:hAnsi="Garamond"/>
          <w:lang w:val="sq-AL"/>
        </w:rPr>
      </w:pPr>
      <w:r w:rsidRPr="0036019C">
        <w:rPr>
          <w:rFonts w:ascii="Garamond" w:hAnsi="Garamond"/>
          <w:lang w:val="sq-AL"/>
        </w:rPr>
        <w:t xml:space="preserve">Për pretendimet nën 500 000 </w:t>
      </w:r>
      <w:r w:rsidR="00CC1C79" w:rsidRPr="0036019C">
        <w:rPr>
          <w:rFonts w:ascii="Garamond" w:hAnsi="Garamond"/>
          <w:lang w:val="sq-AL"/>
        </w:rPr>
        <w:t>euro</w:t>
      </w:r>
      <w:r w:rsidRPr="0036019C">
        <w:rPr>
          <w:rFonts w:ascii="Garamond" w:hAnsi="Garamond"/>
          <w:lang w:val="sq-AL"/>
        </w:rPr>
        <w:t>: trupi gjykues përbëhet nga vetëm një arbitër, përveç se kur palët bien dakord ndryshe.</w:t>
      </w:r>
    </w:p>
    <w:p w14:paraId="50BF20E3" w14:textId="18B5F1D7" w:rsidR="00BE19F3" w:rsidRPr="0036019C" w:rsidRDefault="00BE19F3" w:rsidP="00C224FB">
      <w:pPr>
        <w:pStyle w:val="BodyText"/>
        <w:ind w:firstLine="284"/>
        <w:rPr>
          <w:rFonts w:ascii="Garamond" w:hAnsi="Garamond"/>
          <w:lang w:val="sq-AL"/>
        </w:rPr>
      </w:pPr>
      <w:r w:rsidRPr="0036019C">
        <w:rPr>
          <w:rFonts w:ascii="Garamond" w:hAnsi="Garamond"/>
          <w:lang w:val="sq-AL"/>
        </w:rPr>
        <w:t>Nëse trupi gjykues nuk krijohet brenda 80 ditësh kalendarike pas dërgimit të njoftimit të arbitrazhit, secila palë mund t’i kërkojë Sekretariatit të Gjykatës së Përhershme të Arbitrazhit ose një autoriteti të paanshëm të pranuar bashkërisht që të caktojë arbitrin</w:t>
      </w:r>
      <w:r w:rsidR="007146B6">
        <w:rPr>
          <w:rFonts w:ascii="Garamond" w:hAnsi="Garamond"/>
          <w:lang w:val="sq-AL"/>
        </w:rPr>
        <w:t>/</w:t>
      </w:r>
      <w:r w:rsidRPr="0036019C">
        <w:rPr>
          <w:rFonts w:ascii="Garamond" w:hAnsi="Garamond"/>
          <w:lang w:val="sq-AL"/>
        </w:rPr>
        <w:t>at e nevojshëm.</w:t>
      </w:r>
    </w:p>
    <w:p w14:paraId="4F5D82B9" w14:textId="4C685836"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b) Selia</w:t>
      </w:r>
    </w:p>
    <w:p w14:paraId="516CE060"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Selia e trupit gjykues së arbitrazhit është Hagë, Holandë.</w:t>
      </w:r>
    </w:p>
    <w:p w14:paraId="58E8B5AA" w14:textId="5A0CE09D"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c) Gjuha</w:t>
      </w:r>
    </w:p>
    <w:p w14:paraId="728E1F16"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Gjuha e punimeve të arbitrazhit është anglisht ose një gjuhë tjetër zyrtare e BE-së e pranuar bashkërisht nga palët. Provat mund të paraqiten në gjuhë të tjera, nëse palët bien dakord.</w:t>
      </w:r>
    </w:p>
    <w:p w14:paraId="514B7126" w14:textId="3B11CE70"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d) Procedura</w:t>
      </w:r>
    </w:p>
    <w:p w14:paraId="564096D8"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 xml:space="preserve">Në punimet e arbitrazhit nuk pranohen rekurset për masa të ndërmjetme, ndërhyrjet e palëve të treta apo opinionet </w:t>
      </w:r>
      <w:r w:rsidRPr="0036019C">
        <w:rPr>
          <w:rFonts w:ascii="Garamond" w:hAnsi="Garamond"/>
          <w:i/>
          <w:iCs/>
          <w:lang w:val="sq-AL"/>
        </w:rPr>
        <w:t>amicus curiae</w:t>
      </w:r>
      <w:r w:rsidRPr="0036019C">
        <w:rPr>
          <w:rFonts w:ascii="Garamond" w:hAnsi="Garamond"/>
          <w:lang w:val="sq-AL"/>
        </w:rPr>
        <w:t>.</w:t>
      </w:r>
    </w:p>
    <w:p w14:paraId="06E7C6B9"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lastRenderedPageBreak/>
        <w:t>Nëse njëra palë i kërkon trupit gjykues të trajtojë një informacion apo material si konfidencial, vendimi merret në formën e një urdhri të arsyetuar dhe pasi dëgjohet pala tjetër (10 ditë kalendarike për të paraqitur parashtrimet). Trupi gjykues shqyrton arsyet e kërkesës, natyrën e informacionin dhe të drejtën për mbrojtje gjyqësore efektive. Trupi gjykues, në veçanti, mund:</w:t>
      </w:r>
    </w:p>
    <w:p w14:paraId="04BF4A0D" w14:textId="1F3F79F6" w:rsidR="00BE19F3" w:rsidRPr="0036019C" w:rsidRDefault="00BE19F3" w:rsidP="00C224FB">
      <w:pPr>
        <w:pStyle w:val="BodyText"/>
        <w:tabs>
          <w:tab w:val="left" w:pos="1140"/>
        </w:tabs>
        <w:ind w:firstLine="284"/>
        <w:rPr>
          <w:rFonts w:ascii="Garamond" w:hAnsi="Garamond"/>
          <w:lang w:val="sq-AL"/>
        </w:rPr>
      </w:pPr>
      <w:r w:rsidRPr="0036019C">
        <w:rPr>
          <w:rFonts w:ascii="Garamond" w:hAnsi="Garamond"/>
          <w:lang w:val="sq-AL"/>
        </w:rPr>
        <w:t>- ta kushtëzojë publikimin me disa detyra specifike; ose</w:t>
      </w:r>
    </w:p>
    <w:p w14:paraId="398899F5" w14:textId="076576DB" w:rsidR="00BE19F3" w:rsidRPr="0036019C" w:rsidRDefault="00BE19F3" w:rsidP="00C224FB">
      <w:pPr>
        <w:pStyle w:val="BodyText"/>
        <w:tabs>
          <w:tab w:val="left" w:pos="1140"/>
        </w:tabs>
        <w:ind w:firstLine="284"/>
        <w:rPr>
          <w:rFonts w:ascii="Garamond" w:hAnsi="Garamond"/>
          <w:lang w:val="sq-AL"/>
        </w:rPr>
      </w:pPr>
      <w:r w:rsidRPr="0036019C">
        <w:rPr>
          <w:rFonts w:ascii="Garamond" w:hAnsi="Garamond"/>
          <w:lang w:val="sq-AL"/>
        </w:rPr>
        <w:t>- të vendosë që informacioni/materiali të mos bëhet publik, por të urdhërojë përgatitjen e një versioni apo përmbledhjeje jokonfidenciale të informacionit apo materialit, i cili duhet të përmbajë të dhëna të mjaftueshme për t’i mundësuar palës tjetër shprehjen e qëndrimeve të veta në mënyrë kuptimplotë.</w:t>
      </w:r>
    </w:p>
    <w:p w14:paraId="48871F8C"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Nëse trupit gjykues i kërkohet ta shqyrtojë çështjen në dhomë këshillimi, vendimi merret pasi dëgjohet pala tjetër (10 ditë kalendarike për të depozituar parashtrimet). Trupi gjykues merr parasysh arsyet e kërkesës dhe kundërshtimet e palës tjetër (nëse ka).</w:t>
      </w:r>
    </w:p>
    <w:p w14:paraId="02D22C02" w14:textId="7E55CC1A" w:rsidR="00BE19F3" w:rsidRPr="0036019C" w:rsidRDefault="00BE19F3" w:rsidP="00C224FB">
      <w:pPr>
        <w:pStyle w:val="BodyText"/>
        <w:ind w:firstLine="284"/>
        <w:rPr>
          <w:rFonts w:ascii="Garamond" w:hAnsi="Garamond"/>
          <w:lang w:val="sq-AL"/>
        </w:rPr>
      </w:pPr>
      <w:r w:rsidRPr="0036019C">
        <w:rPr>
          <w:rFonts w:ascii="Garamond" w:hAnsi="Garamond"/>
          <w:lang w:val="sq-AL"/>
        </w:rPr>
        <w:t xml:space="preserve">Nëse trupit gjykues i kërkohet interpretimi apo aplikimi i </w:t>
      </w:r>
      <w:r w:rsidR="00E406EE">
        <w:rPr>
          <w:rFonts w:ascii="Garamond" w:hAnsi="Garamond"/>
          <w:lang w:val="sq-AL"/>
        </w:rPr>
        <w:t>s</w:t>
      </w:r>
      <w:r w:rsidRPr="0036019C">
        <w:rPr>
          <w:rFonts w:ascii="Garamond" w:hAnsi="Garamond"/>
          <w:lang w:val="sq-AL"/>
        </w:rPr>
        <w:t xml:space="preserve">ë drejtës së Bashkimit Evropian, trupi gjykues i ndalon punimet dhe i kërkon “Presidentit të Gjykatës së Lartë të Parisit (Président du Tribunal de grande instance de Paris, </w:t>
      </w:r>
      <w:r w:rsidRPr="00CE6415">
        <w:rPr>
          <w:rFonts w:ascii="Garamond" w:hAnsi="Garamond"/>
          <w:i/>
          <w:iCs/>
          <w:lang w:val="sq-AL"/>
        </w:rPr>
        <w:t>juge d’appui),</w:t>
      </w:r>
      <w:r w:rsidRPr="0036019C">
        <w:rPr>
          <w:rFonts w:ascii="Garamond" w:hAnsi="Garamond"/>
          <w:lang w:val="sq-AL"/>
        </w:rPr>
        <w:t xml:space="preserve"> sipas neneve 1460 dhe 1505 të Kodit të Procedurës Civile të Francës që t’i kërkojë një vendim paraprak Gjykatës së Drejtësisë të Bashkimit Evropian në përputhje </w:t>
      </w:r>
      <w:r w:rsidR="00C347BB">
        <w:rPr>
          <w:rFonts w:ascii="Garamond" w:hAnsi="Garamond"/>
          <w:lang w:val="sq-AL"/>
        </w:rPr>
        <w:t>me nenin</w:t>
      </w:r>
      <w:r w:rsidRPr="0036019C">
        <w:rPr>
          <w:rFonts w:ascii="Garamond" w:hAnsi="Garamond"/>
          <w:lang w:val="sq-AL"/>
        </w:rPr>
        <w:t xml:space="preserve"> 267 të Traktatit të Funksionimit të BE-së (TFBE). Punimet para gjykatës së arbitrazhit rifillojnë sapo merret vendimi nga gjyqtari mbështetës </w:t>
      </w:r>
      <w:r w:rsidRPr="00CE6415">
        <w:rPr>
          <w:rFonts w:ascii="Garamond" w:hAnsi="Garamond"/>
          <w:i/>
          <w:iCs/>
          <w:lang w:val="sq-AL"/>
        </w:rPr>
        <w:t>(juge d’appui).</w:t>
      </w:r>
      <w:r w:rsidRPr="0036019C">
        <w:rPr>
          <w:rFonts w:ascii="Garamond" w:hAnsi="Garamond"/>
          <w:lang w:val="sq-AL"/>
        </w:rPr>
        <w:t xml:space="preserve"> Vendimi i Gjykatës së Drejtësisë dhe i gjyqtarit mbështetës është detyrues për trupin gjykues.</w:t>
      </w:r>
    </w:p>
    <w:p w14:paraId="53EEFCA7"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Vendimi i arbitrazhit është i formës së prerë dhe detyrues për palët, si dhe zbatohet prej tyre pa vonesa.</w:t>
      </w:r>
    </w:p>
    <w:p w14:paraId="125F67CB"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Megjithatë, secila palë mund të kërkojë rishikimin e këtij vendimi nga Gjykata e Apelit e Hagës (</w:t>
      </w:r>
      <w:r w:rsidRPr="0036019C">
        <w:rPr>
          <w:rFonts w:ascii="Garamond" w:hAnsi="Garamond"/>
          <w:i/>
          <w:iCs/>
          <w:lang w:val="sq-AL"/>
        </w:rPr>
        <w:t>Gerechtshof Den Haag</w:t>
      </w:r>
      <w:r w:rsidRPr="0036019C">
        <w:rPr>
          <w:rFonts w:ascii="Garamond" w:hAnsi="Garamond"/>
          <w:lang w:val="sq-AL"/>
        </w:rPr>
        <w:t>) mbi bazën e legjislacionit të brendshëm. Në këtë rast, vendimi nuk konsiderohet i formës së prerë deri në përfundim të procedurës. Vendimi i gjykatës rishikuese është detyrues për trupin gjykues.</w:t>
      </w:r>
    </w:p>
    <w:p w14:paraId="711D880C" w14:textId="35296BA4" w:rsidR="00BE19F3" w:rsidRPr="0036019C" w:rsidRDefault="00BE19F3" w:rsidP="00C224FB">
      <w:pPr>
        <w:pStyle w:val="BodyText"/>
        <w:tabs>
          <w:tab w:val="left" w:pos="820"/>
        </w:tabs>
        <w:ind w:firstLine="284"/>
        <w:rPr>
          <w:rFonts w:ascii="Garamond" w:hAnsi="Garamond"/>
          <w:lang w:val="sq-AL"/>
        </w:rPr>
      </w:pPr>
      <w:r w:rsidRPr="0036019C">
        <w:rPr>
          <w:rFonts w:ascii="Garamond" w:hAnsi="Garamond"/>
          <w:lang w:val="sq-AL"/>
        </w:rPr>
        <w:t>e) Shpenzimet</w:t>
      </w:r>
    </w:p>
    <w:p w14:paraId="14F92222"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Shpenzimet e arbitrazhit konsistojnë në:</w:t>
      </w:r>
    </w:p>
    <w:p w14:paraId="349F29E0" w14:textId="328FF488" w:rsidR="00BE19F3" w:rsidRPr="0036019C" w:rsidRDefault="00BE19F3" w:rsidP="00C224FB">
      <w:pPr>
        <w:pStyle w:val="ListParagraph"/>
        <w:tabs>
          <w:tab w:val="left" w:pos="980"/>
        </w:tabs>
        <w:spacing w:after="0" w:line="240" w:lineRule="auto"/>
        <w:ind w:left="0" w:firstLine="284"/>
        <w:rPr>
          <w:rFonts w:ascii="Garamond" w:hAnsi="Garamond"/>
        </w:rPr>
      </w:pPr>
      <w:r w:rsidRPr="0036019C">
        <w:rPr>
          <w:rFonts w:ascii="Garamond" w:hAnsi="Garamond"/>
        </w:rPr>
        <w:t>- tarifat dhe shpenzimet e arsyeshme të arbitrave;</w:t>
      </w:r>
    </w:p>
    <w:p w14:paraId="591640B4" w14:textId="789D0CB5" w:rsidR="00BE19F3" w:rsidRPr="0036019C" w:rsidRDefault="00BE19F3" w:rsidP="00C224FB">
      <w:pPr>
        <w:pStyle w:val="ListParagraph"/>
        <w:tabs>
          <w:tab w:val="left" w:pos="980"/>
        </w:tabs>
        <w:spacing w:after="0" w:line="240" w:lineRule="auto"/>
        <w:ind w:left="0" w:firstLine="284"/>
        <w:rPr>
          <w:rFonts w:ascii="Garamond" w:hAnsi="Garamond"/>
        </w:rPr>
      </w:pPr>
      <w:r w:rsidRPr="0036019C">
        <w:rPr>
          <w:rFonts w:ascii="Garamond" w:hAnsi="Garamond"/>
        </w:rPr>
        <w:t>- shpenzimet e arsyeshme të ekspertëve dhe dëshmitarëve, të cilat miratohen nga trupi</w:t>
      </w:r>
      <w:r w:rsidR="000F72F0" w:rsidRPr="0036019C">
        <w:rPr>
          <w:rFonts w:ascii="Garamond" w:hAnsi="Garamond"/>
        </w:rPr>
        <w:t xml:space="preserve"> </w:t>
      </w:r>
      <w:r w:rsidRPr="0036019C">
        <w:rPr>
          <w:rFonts w:ascii="Garamond" w:hAnsi="Garamond"/>
        </w:rPr>
        <w:t>gjykues</w:t>
      </w:r>
      <w:r w:rsidR="00BB2491">
        <w:rPr>
          <w:rFonts w:ascii="Garamond" w:hAnsi="Garamond"/>
        </w:rPr>
        <w:t>;</w:t>
      </w:r>
      <w:r w:rsidRPr="0036019C">
        <w:rPr>
          <w:rFonts w:ascii="Garamond" w:hAnsi="Garamond"/>
        </w:rPr>
        <w:t xml:space="preserve"> dhe </w:t>
      </w:r>
    </w:p>
    <w:p w14:paraId="45BD1A6C" w14:textId="1A81CD58" w:rsidR="00BE19F3" w:rsidRPr="0036019C" w:rsidRDefault="00BE19F3" w:rsidP="00C224FB">
      <w:pPr>
        <w:pStyle w:val="ListParagraph"/>
        <w:tabs>
          <w:tab w:val="left" w:pos="980"/>
        </w:tabs>
        <w:spacing w:after="0" w:line="240" w:lineRule="auto"/>
        <w:ind w:left="0" w:firstLine="284"/>
        <w:rPr>
          <w:rFonts w:ascii="Garamond" w:hAnsi="Garamond"/>
        </w:rPr>
      </w:pPr>
      <w:r w:rsidRPr="0036019C">
        <w:rPr>
          <w:rFonts w:ascii="Garamond" w:hAnsi="Garamond"/>
        </w:rPr>
        <w:t>- tarifat dhe shpenzimet e Sekretariatit të Gjykatës së Përhershme të Arbitrazhit për punimet e arbitrazhit (p.sh. kateringu, puna e punonjësve të administratës, salla, përkthimi).</w:t>
      </w:r>
    </w:p>
    <w:p w14:paraId="02AB83B2"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Tarifat e arbitrave nuk tejkalojnë:</w:t>
      </w:r>
    </w:p>
    <w:p w14:paraId="08E7EAB5" w14:textId="37EB7985" w:rsidR="00BE19F3" w:rsidRPr="0036019C" w:rsidRDefault="00BE19F3" w:rsidP="00C224FB">
      <w:pPr>
        <w:pStyle w:val="BodyText"/>
        <w:tabs>
          <w:tab w:val="left" w:pos="1140"/>
        </w:tabs>
        <w:ind w:firstLine="284"/>
        <w:rPr>
          <w:rFonts w:ascii="Garamond" w:hAnsi="Garamond"/>
          <w:lang w:val="sq-AL"/>
        </w:rPr>
      </w:pPr>
      <w:r w:rsidRPr="0036019C">
        <w:rPr>
          <w:rFonts w:ascii="Garamond" w:hAnsi="Garamond"/>
          <w:lang w:val="sq-AL"/>
        </w:rPr>
        <w:t xml:space="preserve">- 30 000 </w:t>
      </w:r>
      <w:r w:rsidR="00CE6415" w:rsidRPr="0036019C">
        <w:rPr>
          <w:rFonts w:ascii="Garamond" w:hAnsi="Garamond"/>
          <w:lang w:val="sq-AL"/>
        </w:rPr>
        <w:t xml:space="preserve">euro </w:t>
      </w:r>
      <w:r w:rsidRPr="0036019C">
        <w:rPr>
          <w:rFonts w:ascii="Garamond" w:hAnsi="Garamond"/>
          <w:lang w:val="sq-AL"/>
        </w:rPr>
        <w:t xml:space="preserve">për çdo arbitër, nëse shuma e kundërshtuar është nën 1 000 000 </w:t>
      </w:r>
      <w:r w:rsidR="00CE6415" w:rsidRPr="0036019C">
        <w:rPr>
          <w:rFonts w:ascii="Garamond" w:hAnsi="Garamond"/>
          <w:lang w:val="sq-AL"/>
        </w:rPr>
        <w:t>euro</w:t>
      </w:r>
      <w:r w:rsidRPr="0036019C">
        <w:rPr>
          <w:rFonts w:ascii="Garamond" w:hAnsi="Garamond"/>
          <w:lang w:val="sq-AL"/>
        </w:rPr>
        <w:t>;</w:t>
      </w:r>
    </w:p>
    <w:p w14:paraId="4423C738" w14:textId="53136E1E" w:rsidR="00BE19F3" w:rsidRPr="0036019C" w:rsidRDefault="00BE19F3" w:rsidP="00C224FB">
      <w:pPr>
        <w:pStyle w:val="BodyText"/>
        <w:tabs>
          <w:tab w:val="left" w:pos="1140"/>
        </w:tabs>
        <w:ind w:firstLine="284"/>
        <w:rPr>
          <w:rFonts w:ascii="Garamond" w:hAnsi="Garamond"/>
          <w:lang w:val="sq-AL"/>
        </w:rPr>
      </w:pPr>
      <w:r w:rsidRPr="0036019C">
        <w:rPr>
          <w:rFonts w:ascii="Garamond" w:hAnsi="Garamond"/>
          <w:lang w:val="sq-AL"/>
        </w:rPr>
        <w:t xml:space="preserve">- 15% të shumës së kundërshtuar kur kjo shumë është mbi 1 000 000 </w:t>
      </w:r>
      <w:r w:rsidR="00CE6415" w:rsidRPr="0036019C">
        <w:rPr>
          <w:rFonts w:ascii="Garamond" w:hAnsi="Garamond"/>
          <w:lang w:val="sq-AL"/>
        </w:rPr>
        <w:t>euro</w:t>
      </w:r>
      <w:r w:rsidRPr="0036019C">
        <w:rPr>
          <w:rFonts w:ascii="Garamond" w:hAnsi="Garamond"/>
          <w:lang w:val="sq-AL"/>
        </w:rPr>
        <w:t xml:space="preserve">. </w:t>
      </w:r>
    </w:p>
    <w:p w14:paraId="2B9E9949" w14:textId="7EDF46E2" w:rsidR="00BE19F3" w:rsidRPr="0036019C" w:rsidRDefault="00BE19F3" w:rsidP="00C224FB">
      <w:pPr>
        <w:pStyle w:val="BodyText"/>
        <w:tabs>
          <w:tab w:val="left" w:pos="1140"/>
        </w:tabs>
        <w:ind w:firstLine="284"/>
        <w:rPr>
          <w:rFonts w:ascii="Garamond" w:hAnsi="Garamond"/>
          <w:lang w:val="sq-AL"/>
        </w:rPr>
      </w:pPr>
      <w:r w:rsidRPr="0036019C">
        <w:rPr>
          <w:rFonts w:ascii="Garamond" w:hAnsi="Garamond"/>
          <w:lang w:val="sq-AL"/>
        </w:rPr>
        <w:t xml:space="preserve">Në çdo rast, tarifa e arbitrave nuk tejkalon 300 000 </w:t>
      </w:r>
      <w:r w:rsidR="00CC1C79" w:rsidRPr="0036019C">
        <w:rPr>
          <w:rFonts w:ascii="Garamond" w:hAnsi="Garamond"/>
          <w:lang w:val="sq-AL"/>
        </w:rPr>
        <w:t>euro</w:t>
      </w:r>
      <w:r w:rsidRPr="0036019C">
        <w:rPr>
          <w:rFonts w:ascii="Garamond" w:hAnsi="Garamond"/>
          <w:lang w:val="sq-AL"/>
        </w:rPr>
        <w:t>.</w:t>
      </w:r>
    </w:p>
    <w:p w14:paraId="7E6B49ED"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Shpenzimet e arbitrazhit përballohen përgjysmë nga palët, përveç kur bien dakord ndryshe.</w:t>
      </w:r>
    </w:p>
    <w:p w14:paraId="75000314"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Palët i përballojnë vetë shpenzimet e tyre për përfaqësim ligjor dhe shpenzime të tjera që i kryejnë në lidhje me arbitrazhin.</w:t>
      </w:r>
    </w:p>
    <w:p w14:paraId="1C830B62" w14:textId="11133AF6" w:rsidR="00BE19F3" w:rsidRPr="0036019C" w:rsidRDefault="00BE19F3" w:rsidP="00C224FB">
      <w:pPr>
        <w:pStyle w:val="BodyText"/>
        <w:tabs>
          <w:tab w:val="left" w:pos="800"/>
        </w:tabs>
        <w:ind w:firstLine="284"/>
        <w:rPr>
          <w:rFonts w:ascii="Garamond" w:hAnsi="Garamond"/>
          <w:lang w:val="sq-AL"/>
        </w:rPr>
      </w:pPr>
      <w:r w:rsidRPr="0036019C">
        <w:rPr>
          <w:rFonts w:ascii="Garamond" w:hAnsi="Garamond"/>
          <w:lang w:val="sq-AL"/>
        </w:rPr>
        <w:t>f) Privilegjet dhe imunitetet</w:t>
      </w:r>
    </w:p>
    <w:p w14:paraId="6A585E7A" w14:textId="77777777" w:rsidR="00BE19F3" w:rsidRPr="0036019C" w:rsidRDefault="00BE19F3" w:rsidP="00C224FB">
      <w:pPr>
        <w:pStyle w:val="BodyText"/>
        <w:ind w:firstLine="284"/>
        <w:rPr>
          <w:rFonts w:ascii="Garamond" w:hAnsi="Garamond"/>
          <w:lang w:val="sq-AL"/>
        </w:rPr>
      </w:pPr>
      <w:r w:rsidRPr="0036019C">
        <w:rPr>
          <w:rFonts w:ascii="Garamond" w:hAnsi="Garamond"/>
          <w:lang w:val="sq-AL"/>
        </w:rPr>
        <w:t>Marrëveshja për ndjekjen në arbitrazh sipas Rregullave të Arbitrazhit të vitit 2012 të Gjykatës së Përhershme të Arbitrazhit nuk përbën dhe nuk mund të interpretohet si heqje dorë nga privilegjet ose imunitetet që gëzon secila palë.</w:t>
      </w:r>
    </w:p>
    <w:p w14:paraId="1FDC9665" w14:textId="77777777" w:rsidR="009C68D3" w:rsidRPr="0036019C" w:rsidRDefault="009C68D3" w:rsidP="00C224FB">
      <w:pPr>
        <w:pStyle w:val="Heading20"/>
        <w:spacing w:after="0" w:line="240" w:lineRule="auto"/>
        <w:ind w:firstLine="284"/>
        <w:jc w:val="both"/>
        <w:rPr>
          <w:rFonts w:ascii="Garamond" w:hAnsi="Garamond"/>
          <w:b w:val="0"/>
          <w:bCs w:val="0"/>
          <w:sz w:val="24"/>
          <w:szCs w:val="24"/>
        </w:rPr>
      </w:pPr>
    </w:p>
    <w:p w14:paraId="1E1D47C0" w14:textId="6456524F" w:rsidR="009C68D3" w:rsidRPr="0036019C" w:rsidRDefault="00BE19F3" w:rsidP="009C68D3">
      <w:pPr>
        <w:pStyle w:val="Heading20"/>
        <w:spacing w:after="0" w:line="240" w:lineRule="auto"/>
        <w:ind w:firstLine="284"/>
        <w:rPr>
          <w:rFonts w:ascii="Garamond" w:hAnsi="Garamond"/>
          <w:b w:val="0"/>
          <w:bCs w:val="0"/>
          <w:sz w:val="24"/>
          <w:szCs w:val="24"/>
        </w:rPr>
      </w:pPr>
      <w:r w:rsidRPr="0036019C">
        <w:rPr>
          <w:rFonts w:ascii="Garamond" w:hAnsi="Garamond"/>
          <w:b w:val="0"/>
          <w:bCs w:val="0"/>
          <w:sz w:val="24"/>
          <w:szCs w:val="24"/>
        </w:rPr>
        <w:t>Neni 21</w:t>
      </w:r>
    </w:p>
    <w:p w14:paraId="5B2D7125" w14:textId="73D71A6A" w:rsidR="00BE19F3" w:rsidRPr="0036019C" w:rsidRDefault="00BE19F3" w:rsidP="009C68D3">
      <w:pPr>
        <w:pStyle w:val="Heading20"/>
        <w:spacing w:after="0" w:line="240" w:lineRule="auto"/>
        <w:ind w:firstLine="284"/>
        <w:rPr>
          <w:rFonts w:ascii="Garamond" w:hAnsi="Garamond"/>
          <w:sz w:val="24"/>
          <w:szCs w:val="24"/>
        </w:rPr>
      </w:pPr>
      <w:r w:rsidRPr="0036019C">
        <w:rPr>
          <w:rFonts w:ascii="Garamond" w:hAnsi="Garamond"/>
          <w:bCs w:val="0"/>
          <w:sz w:val="24"/>
          <w:szCs w:val="24"/>
        </w:rPr>
        <w:t>Masat kufizuese të BE-së</w:t>
      </w:r>
    </w:p>
    <w:p w14:paraId="5FA45EA0" w14:textId="77777777" w:rsidR="009C68D3" w:rsidRPr="0036019C" w:rsidRDefault="009C68D3" w:rsidP="00C224FB">
      <w:pPr>
        <w:pStyle w:val="BodyText"/>
        <w:tabs>
          <w:tab w:val="left" w:pos="420"/>
        </w:tabs>
        <w:ind w:firstLine="284"/>
        <w:rPr>
          <w:rFonts w:ascii="Garamond" w:hAnsi="Garamond"/>
          <w:lang w:val="sq-AL"/>
        </w:rPr>
      </w:pPr>
    </w:p>
    <w:p w14:paraId="795A77D2" w14:textId="3EFD5272"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1</w:t>
      </w:r>
      <w:r w:rsidR="002B38F0" w:rsidRPr="0036019C">
        <w:rPr>
          <w:rFonts w:ascii="Garamond" w:hAnsi="Garamond"/>
          <w:lang w:val="sq-AL"/>
        </w:rPr>
        <w:t>.</w:t>
      </w:r>
      <w:r w:rsidRPr="0036019C">
        <w:rPr>
          <w:rFonts w:ascii="Garamond" w:hAnsi="Garamond"/>
          <w:lang w:val="sq-AL"/>
        </w:rPr>
        <w:t xml:space="preserve"> Përkufizime</w:t>
      </w:r>
    </w:p>
    <w:p w14:paraId="1EB3BC43" w14:textId="1750BA15" w:rsidR="00BE19F3" w:rsidRPr="0036019C" w:rsidRDefault="00BE19F3" w:rsidP="00C224FB">
      <w:pPr>
        <w:pStyle w:val="BodyText"/>
        <w:tabs>
          <w:tab w:val="left" w:pos="860"/>
        </w:tabs>
        <w:ind w:firstLine="284"/>
        <w:rPr>
          <w:rFonts w:ascii="Garamond" w:hAnsi="Garamond"/>
          <w:lang w:val="sq-AL"/>
        </w:rPr>
      </w:pPr>
      <w:r w:rsidRPr="0036019C">
        <w:rPr>
          <w:rFonts w:ascii="Garamond" w:hAnsi="Garamond"/>
          <w:lang w:val="sq-AL"/>
        </w:rPr>
        <w:t>a) “Masat kufizuese të BE-së” nënkupton masat shtrënguese të miratuara në zbatim të Traktatit të Bashkimit Evropian (TBE) ose të Traktatit për Funksionimin e Bashkimit Evropian (TFBE).</w:t>
      </w:r>
    </w:p>
    <w:p w14:paraId="704A0B50" w14:textId="56AF40C4" w:rsidR="00BE19F3" w:rsidRPr="0036019C" w:rsidRDefault="00BE19F3" w:rsidP="00C224FB">
      <w:pPr>
        <w:pStyle w:val="BodyText"/>
        <w:tabs>
          <w:tab w:val="left" w:pos="860"/>
        </w:tabs>
        <w:ind w:firstLine="284"/>
        <w:rPr>
          <w:rFonts w:ascii="Garamond" w:hAnsi="Garamond"/>
          <w:lang w:val="sq-AL"/>
        </w:rPr>
      </w:pPr>
      <w:r w:rsidRPr="0036019C">
        <w:rPr>
          <w:rFonts w:ascii="Garamond" w:hAnsi="Garamond"/>
          <w:lang w:val="sq-AL"/>
        </w:rPr>
        <w:lastRenderedPageBreak/>
        <w:t>b) “Person i Kufizuar” nënkupton çdo subjekt, individ apo grup individësh i përcaktuar nga BE-ja si objekt i Masave Kufizuese të BE-së.</w:t>
      </w:r>
      <w:r w:rsidR="009C68D3" w:rsidRPr="0036019C">
        <w:rPr>
          <w:rStyle w:val="FootnoteReference"/>
          <w:rFonts w:ascii="Garamond" w:hAnsi="Garamond"/>
          <w:lang w:val="sq-AL"/>
        </w:rPr>
        <w:footnoteReference w:id="37"/>
      </w:r>
    </w:p>
    <w:p w14:paraId="63A0E602" w14:textId="6B437F15"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2</w:t>
      </w:r>
      <w:r w:rsidR="002B38F0" w:rsidRPr="0036019C">
        <w:rPr>
          <w:rFonts w:ascii="Garamond" w:hAnsi="Garamond"/>
          <w:lang w:val="sq-AL"/>
        </w:rPr>
        <w:t>.</w:t>
      </w:r>
      <w:r w:rsidRPr="0036019C">
        <w:rPr>
          <w:rFonts w:ascii="Garamond" w:hAnsi="Garamond"/>
          <w:lang w:val="sq-AL"/>
        </w:rPr>
        <w:t xml:space="preserve"> Në të gjitha marrëdhëniet e tyre, Palët pranojnë që në kuadrin e </w:t>
      </w:r>
      <w:r w:rsidR="00E406EE">
        <w:rPr>
          <w:rFonts w:ascii="Garamond" w:hAnsi="Garamond"/>
          <w:lang w:val="sq-AL"/>
        </w:rPr>
        <w:t>s</w:t>
      </w:r>
      <w:r w:rsidRPr="0036019C">
        <w:rPr>
          <w:rFonts w:ascii="Garamond" w:hAnsi="Garamond"/>
          <w:lang w:val="sq-AL"/>
        </w:rPr>
        <w:t>ë drejtës së BE-së të mos u japin Personave të Kufizuar fonde apo burime ekonomike të BE-së, qoftë drejtpërdrejt apo tërthorazi ose në dobi të tyre.</w:t>
      </w:r>
    </w:p>
    <w:p w14:paraId="2EA4D4F0" w14:textId="256D9B99"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3</w:t>
      </w:r>
      <w:r w:rsidR="002B38F0" w:rsidRPr="0036019C">
        <w:rPr>
          <w:rFonts w:ascii="Garamond" w:hAnsi="Garamond"/>
          <w:lang w:val="sq-AL"/>
        </w:rPr>
        <w:t>.</w:t>
      </w:r>
      <w:r w:rsidRPr="0036019C">
        <w:rPr>
          <w:rFonts w:ascii="Garamond" w:hAnsi="Garamond"/>
          <w:lang w:val="sq-AL"/>
        </w:rPr>
        <w:t xml:space="preserve"> Përfituesi IPA III garanton që asnjë transaksion në lidhje me fondet e BE-së të mos bëhet drejtpërdrejt ose tërthorazi në favor të personave/subjekteve që janë objekt i sanksioneve të BE-së. Përfituesi IPA III zotohet ta respektojë këtë detyrim:</w:t>
      </w:r>
    </w:p>
    <w:p w14:paraId="0489B87C" w14:textId="78F6F60D" w:rsidR="00BE19F3" w:rsidRPr="0036019C" w:rsidRDefault="00BE19F3" w:rsidP="00C224FB">
      <w:pPr>
        <w:pStyle w:val="BodyText"/>
        <w:tabs>
          <w:tab w:val="left" w:pos="860"/>
        </w:tabs>
        <w:ind w:firstLine="284"/>
        <w:rPr>
          <w:rFonts w:ascii="Garamond" w:hAnsi="Garamond"/>
          <w:lang w:val="sq-AL"/>
        </w:rPr>
      </w:pPr>
      <w:r w:rsidRPr="0036019C">
        <w:rPr>
          <w:rFonts w:ascii="Garamond" w:hAnsi="Garamond"/>
          <w:lang w:val="sq-AL"/>
        </w:rPr>
        <w:t>a) duke verifikuar në listën e sanksioneve të BE-së përpara se të nënshkruajnë apo të kryejnë pagesa në kuadrin e marrëveshjeve përkatëse, çdo Kontraktues, Përfitues Granti dhe Marrës Përfundimtar me të cilët Përfituesi IPA III ka ose pritet të ketë marrëdhënie kontraktuale direkte (marrës direkt), me qëllim që të konstatojë nëse ky marrës/përfitues është Person i Kufizuar.</w:t>
      </w:r>
    </w:p>
    <w:p w14:paraId="3277107D" w14:textId="0D584369" w:rsidR="00BE19F3" w:rsidRPr="0036019C" w:rsidRDefault="00BE19F3" w:rsidP="00C224FB">
      <w:pPr>
        <w:pStyle w:val="BodyText"/>
        <w:tabs>
          <w:tab w:val="left" w:pos="860"/>
        </w:tabs>
        <w:ind w:firstLine="284"/>
        <w:rPr>
          <w:rFonts w:ascii="Garamond" w:hAnsi="Garamond"/>
          <w:lang w:val="sq-AL"/>
        </w:rPr>
      </w:pPr>
      <w:r w:rsidRPr="0036019C">
        <w:rPr>
          <w:rFonts w:ascii="Garamond" w:hAnsi="Garamond"/>
          <w:lang w:val="sq-AL"/>
        </w:rPr>
        <w:t xml:space="preserve">b) duke verifikuar përmes mjeteve të tjera të përshtatshme (që mund të përfshijnë verifikime </w:t>
      </w:r>
      <w:r w:rsidRPr="0036019C">
        <w:rPr>
          <w:rFonts w:ascii="Garamond" w:hAnsi="Garamond"/>
          <w:i/>
          <w:iCs/>
          <w:lang w:val="sq-AL"/>
        </w:rPr>
        <w:t>ex-post)</w:t>
      </w:r>
      <w:r w:rsidRPr="0036019C">
        <w:rPr>
          <w:rFonts w:ascii="Garamond" w:hAnsi="Garamond"/>
          <w:lang w:val="sq-AL"/>
        </w:rPr>
        <w:t xml:space="preserve"> mbi bazën e një vlerësimi risku, që asnjë subjekt që është Person i Kufizuar të mos përfitojë tërthorazi fonde të BE-së.</w:t>
      </w:r>
    </w:p>
    <w:p w14:paraId="1CC06208" w14:textId="2193820E"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4</w:t>
      </w:r>
      <w:r w:rsidR="00727A5D" w:rsidRPr="0036019C">
        <w:rPr>
          <w:rFonts w:ascii="Garamond" w:hAnsi="Garamond"/>
          <w:lang w:val="sq-AL"/>
        </w:rPr>
        <w:t>.</w:t>
      </w:r>
      <w:r w:rsidRPr="0036019C">
        <w:rPr>
          <w:rFonts w:ascii="Garamond" w:hAnsi="Garamond"/>
          <w:lang w:val="sq-AL"/>
        </w:rPr>
        <w:t xml:space="preserve"> Përfituesi IPA njofton menjëherë Komisionin nëse konstaton se ndonjë marrës/përfitues (direkt ose indirekt) të fondeve të BE-së është Person i Kufizuar.</w:t>
      </w:r>
    </w:p>
    <w:p w14:paraId="1B7D7F7C" w14:textId="64088ECF"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5</w:t>
      </w:r>
      <w:r w:rsidR="00727A5D" w:rsidRPr="0036019C">
        <w:rPr>
          <w:rFonts w:ascii="Garamond" w:hAnsi="Garamond"/>
          <w:lang w:val="sq-AL"/>
        </w:rPr>
        <w:t>.</w:t>
      </w:r>
      <w:r w:rsidRPr="0036019C">
        <w:rPr>
          <w:rFonts w:ascii="Garamond" w:hAnsi="Garamond"/>
          <w:lang w:val="sq-AL"/>
        </w:rPr>
        <w:t xml:space="preserve"> Pa cenuar detyrimin në pikën 3 më lart, nëse Komisionin konstaton se përdorimi i asistencës financiare të BE-së në kuadrin e IPA III rezulton ose ka rezultuar në shkelje të masave kufizuese të BE-së, shumat korresponduese nuk janë të pranueshme për asistencë financiare të BE-së në kuadrin e IPA III. Kjo nuk i cenon të drejtat që Komisioni mund të ketë për pezullimin apo anulimin e masës së prekur nga kjo shkelje, për rikuperimin e fondeve të BE-së që ka kontribuuar Komisioni, për pezullimin ose zgjidhjen e kësaj marrëveshjeje financimi.</w:t>
      </w:r>
    </w:p>
    <w:p w14:paraId="1AF7BD22" w14:textId="5D2B3C93"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6</w:t>
      </w:r>
      <w:r w:rsidR="00727A5D" w:rsidRPr="0036019C">
        <w:rPr>
          <w:rFonts w:ascii="Garamond" w:hAnsi="Garamond"/>
          <w:lang w:val="sq-AL"/>
        </w:rPr>
        <w:t>.</w:t>
      </w:r>
      <w:r w:rsidRPr="0036019C">
        <w:rPr>
          <w:rFonts w:ascii="Garamond" w:hAnsi="Garamond"/>
          <w:lang w:val="sq-AL"/>
        </w:rPr>
        <w:t xml:space="preserve"> Përcaktimi i masave korrigjuese bëhet në përputhje me parimin e proporcionalitetit. Masat korrigjuese zbatohen vetëm për fondet e BE-së të cilat i janë vënë në dispozicion apo kanë shkuar në favor të një marrësi/përfituesi gjatë periudhës që ka qenë Person i Kufizuar.</w:t>
      </w:r>
    </w:p>
    <w:p w14:paraId="2D1F8B15" w14:textId="7B2F2C24" w:rsidR="00BE19F3" w:rsidRPr="0036019C" w:rsidRDefault="00BE19F3" w:rsidP="00C224FB">
      <w:pPr>
        <w:pStyle w:val="BodyText"/>
        <w:tabs>
          <w:tab w:val="left" w:pos="420"/>
        </w:tabs>
        <w:ind w:firstLine="284"/>
        <w:rPr>
          <w:rFonts w:ascii="Garamond" w:hAnsi="Garamond"/>
          <w:lang w:val="sq-AL"/>
        </w:rPr>
      </w:pPr>
      <w:r w:rsidRPr="0036019C">
        <w:rPr>
          <w:rFonts w:ascii="Garamond" w:hAnsi="Garamond"/>
          <w:lang w:val="sq-AL"/>
        </w:rPr>
        <w:t>7</w:t>
      </w:r>
      <w:r w:rsidR="00727A5D" w:rsidRPr="0036019C">
        <w:rPr>
          <w:rFonts w:ascii="Garamond" w:hAnsi="Garamond"/>
          <w:lang w:val="sq-AL"/>
        </w:rPr>
        <w:t>.</w:t>
      </w:r>
      <w:r w:rsidRPr="0036019C">
        <w:rPr>
          <w:rFonts w:ascii="Garamond" w:hAnsi="Garamond"/>
          <w:lang w:val="sq-AL"/>
        </w:rPr>
        <w:t xml:space="preserve"> Kjo klauzolë nuk cenon përjashtimet e përcaktuara në Masat Kufizuese të BE-së.</w:t>
      </w:r>
    </w:p>
    <w:p w14:paraId="26FB07E7" w14:textId="076AF9C5" w:rsidR="00BE19F3" w:rsidRPr="0036019C" w:rsidRDefault="00BE19F3" w:rsidP="00C224FB">
      <w:pPr>
        <w:pStyle w:val="BodyText"/>
        <w:tabs>
          <w:tab w:val="left" w:pos="420"/>
        </w:tabs>
        <w:ind w:firstLine="284"/>
        <w:rPr>
          <w:rFonts w:ascii="Garamond" w:hAnsi="Garamond"/>
          <w:lang w:val="sq-AL"/>
        </w:rPr>
      </w:pPr>
    </w:p>
    <w:p w14:paraId="2DFCADAB" w14:textId="77777777" w:rsidR="00BE19F3" w:rsidRPr="0036019C" w:rsidRDefault="00BE19F3" w:rsidP="00C224FB">
      <w:pPr>
        <w:pStyle w:val="BodyText"/>
        <w:tabs>
          <w:tab w:val="left" w:pos="420"/>
        </w:tabs>
        <w:ind w:firstLine="284"/>
        <w:rPr>
          <w:rFonts w:ascii="Garamond" w:hAnsi="Garamond"/>
          <w:lang w:val="sq-AL"/>
        </w:rPr>
      </w:pPr>
    </w:p>
    <w:sectPr w:rsidR="00BE19F3" w:rsidRPr="0036019C" w:rsidSect="006164B6">
      <w:footerReference w:type="default" r:id="rId14"/>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95595" w14:textId="77777777" w:rsidR="00CB0CA4" w:rsidRDefault="00CB0CA4" w:rsidP="00B06BDA">
      <w:r>
        <w:separator/>
      </w:r>
    </w:p>
  </w:endnote>
  <w:endnote w:type="continuationSeparator" w:id="0">
    <w:p w14:paraId="552E330B" w14:textId="77777777" w:rsidR="00CB0CA4" w:rsidRDefault="00CB0CA4" w:rsidP="00B06BDA">
      <w:r>
        <w:continuationSeparator/>
      </w:r>
    </w:p>
  </w:endnote>
  <w:endnote w:type="continuationNotice" w:id="1">
    <w:p w14:paraId="1F9438CA" w14:textId="77777777" w:rsidR="00CB0CA4" w:rsidRDefault="00CB0C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3706298"/>
      <w:docPartObj>
        <w:docPartGallery w:val="Page Numbers (Bottom of Page)"/>
        <w:docPartUnique/>
      </w:docPartObj>
    </w:sdtPr>
    <w:sdtEndPr>
      <w:rPr>
        <w:noProof/>
      </w:rPr>
    </w:sdtEndPr>
    <w:sdtContent>
      <w:p w14:paraId="0A9E620A" w14:textId="6CABC669" w:rsidR="00CB0CA4" w:rsidRDefault="00CB0C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DD795D" w14:textId="77777777" w:rsidR="00CB0CA4" w:rsidRDefault="00CB0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7E7BE" w14:textId="77777777" w:rsidR="00CB0CA4" w:rsidRDefault="00CB0CA4" w:rsidP="00B06BDA">
      <w:r>
        <w:separator/>
      </w:r>
    </w:p>
  </w:footnote>
  <w:footnote w:type="continuationSeparator" w:id="0">
    <w:p w14:paraId="61CD2A80" w14:textId="77777777" w:rsidR="00CB0CA4" w:rsidRDefault="00CB0CA4" w:rsidP="00B06BDA">
      <w:r>
        <w:continuationSeparator/>
      </w:r>
    </w:p>
  </w:footnote>
  <w:footnote w:type="continuationNotice" w:id="1">
    <w:p w14:paraId="543D6124" w14:textId="77777777" w:rsidR="00CB0CA4" w:rsidRDefault="00CB0CA4"/>
  </w:footnote>
  <w:footnote w:id="2">
    <w:p w14:paraId="5A7D0E99" w14:textId="0404F672" w:rsidR="00CB0CA4" w:rsidRPr="00A208E8" w:rsidRDefault="00CB0CA4" w:rsidP="0036019C">
      <w:pPr>
        <w:pStyle w:val="FootnoteText"/>
        <w:jc w:val="left"/>
        <w:rPr>
          <w:rFonts w:ascii="Garamond" w:hAnsi="Garamond"/>
          <w:lang w:val="sq-AL"/>
        </w:rPr>
      </w:pPr>
      <w:r w:rsidRPr="00A208E8">
        <w:rPr>
          <w:rStyle w:val="FootnoteReference"/>
          <w:rFonts w:ascii="Garamond" w:hAnsi="Garamond"/>
          <w:lang w:val="sq-AL"/>
        </w:rPr>
        <w:footnoteRef/>
      </w:r>
      <w:r w:rsidRPr="00A208E8">
        <w:rPr>
          <w:rFonts w:ascii="Garamond" w:hAnsi="Garamond"/>
          <w:lang w:val="sq-AL"/>
        </w:rPr>
        <w:t xml:space="preserve"> </w:t>
      </w:r>
      <w:r w:rsidRPr="00A208E8">
        <w:rPr>
          <w:rFonts w:ascii="Garamond" w:eastAsia="Courier New" w:hAnsi="Garamond"/>
          <w:color w:val="000000"/>
          <w:lang w:val="sq-AL" w:eastAsia="sq-AL" w:bidi="sq-AL"/>
        </w:rPr>
        <w:t>Rregullorja (BE) 2021/1529 e Parlamentit Evropian dhe e Këshillit e datës 15 shtator 2021, e cila krijon  Instrumentin për Asistencën e Paraanëtarësimit (IPA III), GZ L 330, 20.9.2021, p. 1.</w:t>
      </w:r>
      <w:r w:rsidRPr="00A208E8">
        <w:rPr>
          <w:rFonts w:ascii="Garamond" w:hAnsi="Garamond"/>
          <w:lang w:val="sq-AL"/>
        </w:rPr>
        <w:t xml:space="preserve">, </w:t>
      </w:r>
      <w:r w:rsidRPr="00A208E8">
        <w:rPr>
          <w:rFonts w:ascii="Garamond" w:hAnsi="Garamond"/>
          <w:color w:val="333333"/>
          <w:shd w:val="clear" w:color="auto" w:fill="FFFFFF"/>
          <w:lang w:val="sq-AL"/>
        </w:rPr>
        <w:t>ELI: </w:t>
      </w:r>
      <w:hyperlink r:id="rId1" w:tooltip="Gives access to this document through its ELI URI." w:history="1">
        <w:r w:rsidRPr="00A208E8">
          <w:rPr>
            <w:rFonts w:ascii="Garamond" w:hAnsi="Garamond"/>
            <w:color w:val="23527C"/>
            <w:u w:val="single"/>
            <w:shd w:val="clear" w:color="auto" w:fill="FFFFFF"/>
            <w:lang w:val="sq-AL"/>
          </w:rPr>
          <w:t>http://data.europa.eu/eli/reg/2021/1529/oj</w:t>
        </w:r>
      </w:hyperlink>
      <w:r w:rsidRPr="00A208E8">
        <w:rPr>
          <w:rFonts w:ascii="Garamond" w:hAnsi="Garamond"/>
          <w:lang w:val="sq-AL"/>
        </w:rPr>
        <w:t>).</w:t>
      </w:r>
    </w:p>
  </w:footnote>
  <w:footnote w:id="3">
    <w:p w14:paraId="666FF165" w14:textId="7777777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Miratuar nga Këshilli i Ministrave me Vendimin Nr. 736, datë 13.12.2023</w:t>
      </w:r>
    </w:p>
  </w:footnote>
  <w:footnote w:id="4">
    <w:p w14:paraId="6F8CA58D" w14:textId="53239F2D"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w:t>
      </w:r>
      <w:hyperlink r:id="rId2" w:history="1">
        <w:r w:rsidRPr="00A208E8">
          <w:rPr>
            <w:rStyle w:val="Hyperlink"/>
            <w:rFonts w:ascii="Garamond" w:hAnsi="Garamond"/>
            <w:lang w:val="sq-AL"/>
          </w:rPr>
          <w:t>https://www.consilium.europa.eu/en/press/press-releases/2024/10/15/second-meeting-of-the-accession conference-with-albania-at-ministerial-level/</w:t>
        </w:r>
      </w:hyperlink>
      <w:r w:rsidRPr="00A208E8">
        <w:rPr>
          <w:rFonts w:ascii="Garamond" w:hAnsi="Garamond"/>
          <w:color w:val="000000" w:themeColor="text1"/>
          <w:lang w:val="sq-AL"/>
        </w:rPr>
        <w:t xml:space="preserve"> </w:t>
      </w:r>
    </w:p>
  </w:footnote>
  <w:footnote w:id="5">
    <w:p w14:paraId="01B807B7" w14:textId="7777777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OZHQ 16: Paqja, Drejtësia dhe Institucionet e Forta, konkretisht objektivat 16.3 (promovimi i sundimit të ligjit dhe aksesi i barabartë në drejtësi) dhe 16.6 (zhvillimi i institucioneve të përgjegjshme dhe transparente).</w:t>
      </w:r>
    </w:p>
  </w:footnote>
  <w:footnote w:id="6">
    <w:p w14:paraId="0C0CA3C4" w14:textId="7777777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Rregullorja (BE) 2024/1252 e Parlamentit Evropian dhe Këshillit, datë 11 prill 2024, për krijimin e një kuadri për garantimin e furnizimit të sigurt dhe të qëndrueshëm të lëndëve të para kritike dhe për ndryshimin e Rregulloreve (BE) Nr. 168/2013, (BE) 2018/858, (BE) 2018/1724 dhe (BE) 2019/1020.</w:t>
      </w:r>
    </w:p>
  </w:footnote>
  <w:footnote w:id="7">
    <w:p w14:paraId="5BF35718" w14:textId="423FD7C1"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Plani i Veprimit për Lëndët e Para Kritike, COM/KKE (Komunikimi i Komisionit Evropian) nr. 474 i vitit 2020, final.</w:t>
      </w:r>
    </w:p>
  </w:footnote>
  <w:footnote w:id="8">
    <w:p w14:paraId="216109BB" w14:textId="3365A975" w:rsidR="00CB0CA4" w:rsidRPr="00A208E8" w:rsidRDefault="00CB0CA4" w:rsidP="000F72F0">
      <w:pPr>
        <w:pStyle w:val="Default"/>
        <w:jc w:val="both"/>
        <w:rPr>
          <w:rFonts w:ascii="Garamond" w:hAnsi="Garamond" w:cs="Times New Roman"/>
          <w:color w:val="000000" w:themeColor="text1"/>
          <w:sz w:val="20"/>
          <w:szCs w:val="20"/>
          <w:lang w:val="sq-AL"/>
        </w:rPr>
      </w:pPr>
      <w:r w:rsidRPr="00A208E8">
        <w:rPr>
          <w:rStyle w:val="FootnoteReference"/>
          <w:rFonts w:ascii="Garamond" w:hAnsi="Garamond" w:cs="Times New Roman"/>
          <w:color w:val="000000" w:themeColor="text1"/>
          <w:sz w:val="20"/>
          <w:szCs w:val="20"/>
          <w:lang w:val="sq-AL"/>
        </w:rPr>
        <w:footnoteRef/>
      </w:r>
      <w:r w:rsidRPr="00A208E8">
        <w:rPr>
          <w:rFonts w:ascii="Garamond" w:hAnsi="Garamond" w:cs="Times New Roman"/>
          <w:color w:val="000000" w:themeColor="text1"/>
          <w:sz w:val="20"/>
          <w:szCs w:val="20"/>
          <w:lang w:val="sq-AL"/>
        </w:rPr>
        <w:t xml:space="preserve"> Vendimi i Zbatuar i Komisionit, datë 10.12.2021, për miratimin e Kuadrit Programues të Instrumentit të Asistencës Paraanëtarësimit (IPA III) për periudhën 2021-2027.</w:t>
      </w:r>
    </w:p>
  </w:footnote>
  <w:footnote w:id="9">
    <w:p w14:paraId="22BF0335" w14:textId="77777777" w:rsidR="00CB0CA4" w:rsidRPr="00A208E8" w:rsidRDefault="00CB0CA4" w:rsidP="000F72F0">
      <w:pPr>
        <w:rPr>
          <w:rFonts w:ascii="Garamond" w:hAnsi="Garamond"/>
          <w:color w:val="000000" w:themeColor="text1"/>
          <w:sz w:val="20"/>
          <w:szCs w:val="20"/>
          <w:lang w:val="sq-AL"/>
        </w:rPr>
      </w:pPr>
      <w:r w:rsidRPr="00A208E8">
        <w:rPr>
          <w:rStyle w:val="FootnoteReference"/>
          <w:rFonts w:ascii="Garamond" w:hAnsi="Garamond"/>
          <w:color w:val="000000" w:themeColor="text1"/>
          <w:sz w:val="20"/>
          <w:szCs w:val="20"/>
          <w:lang w:val="sq-AL"/>
        </w:rPr>
        <w:footnoteRef/>
      </w:r>
      <w:r w:rsidRPr="00A208E8">
        <w:rPr>
          <w:rFonts w:ascii="Garamond" w:hAnsi="Garamond"/>
          <w:color w:val="000000" w:themeColor="text1"/>
          <w:sz w:val="20"/>
          <w:szCs w:val="20"/>
          <w:lang w:val="sq-AL"/>
        </w:rPr>
        <w:t xml:space="preserve"> Komunikatë e Komisionit drejtuar Parlamentit Evropian, Këshillit, Komitetit Ekonomik dhe Social Evropian dhe Komitetit të Rajoneve – Plani i ri i rritjes për Ballkanin Perëndimor, 8.11.2023, COM (Komunikatë e Komisionit Evropian) Nr. 691 e vitit 2023.</w:t>
      </w:r>
    </w:p>
  </w:footnote>
  <w:footnote w:id="10">
    <w:p w14:paraId="14EACB8B" w14:textId="176A3CD9" w:rsidR="00CB0CA4" w:rsidRPr="00A208E8" w:rsidRDefault="00CB0CA4" w:rsidP="0070324F">
      <w:pPr>
        <w:jc w:val="both"/>
        <w:rPr>
          <w:rFonts w:ascii="Garamond" w:hAnsi="Garamond"/>
          <w:color w:val="000000" w:themeColor="text1"/>
          <w:sz w:val="20"/>
          <w:szCs w:val="20"/>
          <w:lang w:val="sq-AL"/>
        </w:rPr>
      </w:pPr>
      <w:r w:rsidRPr="00A208E8">
        <w:rPr>
          <w:rStyle w:val="FootnoteReference"/>
          <w:rFonts w:ascii="Garamond" w:hAnsi="Garamond"/>
          <w:color w:val="000000" w:themeColor="text1"/>
          <w:sz w:val="20"/>
          <w:szCs w:val="20"/>
          <w:lang w:val="sq-AL"/>
        </w:rPr>
        <w:footnoteRef/>
      </w:r>
      <w:r w:rsidRPr="00A208E8">
        <w:rPr>
          <w:rFonts w:ascii="Garamond" w:hAnsi="Garamond"/>
          <w:color w:val="000000" w:themeColor="text1"/>
          <w:sz w:val="20"/>
          <w:szCs w:val="20"/>
          <w:lang w:val="sq-AL"/>
        </w:rPr>
        <w:t xml:space="preserve"> </w:t>
      </w:r>
      <w:r w:rsidRPr="00A208E8">
        <w:rPr>
          <w:rFonts w:ascii="Garamond" w:hAnsi="Garamond"/>
          <w:color w:val="000000" w:themeColor="text1"/>
          <w:sz w:val="20"/>
          <w:szCs w:val="20"/>
          <w:shd w:val="clear" w:color="auto" w:fill="FFFFFF"/>
          <w:lang w:val="sq-AL"/>
        </w:rPr>
        <w:t xml:space="preserve">Komunikatë e Komisionit drejtuar Parlamentit Evropian, Këshillit, Komitetit Ekonomik dhe Social Evropian dhe Komitetit të Rajoneve – Plani Ekonomik dhe i Investimeve për Ballkanin Perëndimor, 6.10.2020, </w:t>
      </w:r>
      <w:r w:rsidRPr="00A208E8">
        <w:rPr>
          <w:rFonts w:ascii="Garamond" w:hAnsi="Garamond"/>
          <w:color w:val="000000" w:themeColor="text1"/>
          <w:sz w:val="20"/>
          <w:szCs w:val="20"/>
          <w:lang w:val="sq-AL"/>
        </w:rPr>
        <w:t>COM (Komunikimi i Komisionit Evropian) nr. 641 i vitit 2020.</w:t>
      </w:r>
    </w:p>
  </w:footnote>
  <w:footnote w:id="11">
    <w:p w14:paraId="0E8F4B52" w14:textId="61AD212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Dokumenti i Punës i Stafit të Komisionit - Udhëzime për Zbatimin e Agjendës së Gjelbër për Ballkanin Perëndimor që shoqëron Komunikatën nga Komisioni drejtuar Parlamentit Evropian, Këshillit, Komitetit Ekonomik dhe Social Evropian dhe Komitetit të Rajoneve Një Plan Ekonomik dhe Investimesh për Ballkanin Perëndimor {SWD(2020) 223}.</w:t>
      </w:r>
    </w:p>
  </w:footnote>
  <w:footnote w:id="12">
    <w:p w14:paraId="2A4948A1" w14:textId="6006EC43"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Agjenda Strategjike e Lëndëve të Para të EIT 2021–2027, Berlin, 15 mars 2021.</w:t>
      </w:r>
    </w:p>
  </w:footnote>
  <w:footnote w:id="13">
    <w:p w14:paraId="58741909" w14:textId="7777777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eastAsiaTheme="majorEastAsia" w:hAnsi="Garamond"/>
          <w:color w:val="000000" w:themeColor="text1"/>
          <w:lang w:val="sq-AL"/>
        </w:rPr>
        <w:footnoteRef/>
      </w:r>
      <w:r w:rsidRPr="00A208E8">
        <w:rPr>
          <w:rFonts w:ascii="Garamond" w:hAnsi="Garamond"/>
          <w:color w:val="000000" w:themeColor="text1"/>
          <w:lang w:val="sq-AL"/>
        </w:rPr>
        <w:t xml:space="preserve"> VKM nr. 736 13.12.2023.</w:t>
      </w:r>
    </w:p>
  </w:footnote>
  <w:footnote w:id="14">
    <w:p w14:paraId="78F15239" w14:textId="0A52DF8E"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eastAsiaTheme="majorEastAsia" w:hAnsi="Garamond"/>
          <w:color w:val="000000" w:themeColor="text1"/>
          <w:lang w:val="sq-AL"/>
        </w:rPr>
        <w:footnoteRef/>
      </w:r>
      <w:r w:rsidRPr="00A208E8">
        <w:rPr>
          <w:rFonts w:ascii="Garamond" w:hAnsi="Garamond"/>
          <w:color w:val="000000" w:themeColor="text1"/>
          <w:lang w:val="sq-AL"/>
        </w:rPr>
        <w:t xml:space="preserve"> Raporti i shqyrtimit i Komisionit të BE-së për grupin 1, f. 30.</w:t>
      </w:r>
    </w:p>
  </w:footnote>
  <w:footnote w:id="15">
    <w:p w14:paraId="5CEC3A62" w14:textId="2A108D9B"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Vendimi i Këshillit të Ministrave nr. 736, datë 13.12.2023.</w:t>
      </w:r>
    </w:p>
  </w:footnote>
  <w:footnote w:id="16">
    <w:p w14:paraId="6D88AE2C" w14:textId="611A3C7E"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Vendimi i Këshillit të Ministrave nr. 737, datë 3.12.2023.</w:t>
      </w:r>
    </w:p>
  </w:footnote>
  <w:footnote w:id="17">
    <w:p w14:paraId="2F8EAF64" w14:textId="6CB5ECA1"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Në proces konsultimi të brendshëm.</w:t>
      </w:r>
    </w:p>
  </w:footnote>
  <w:footnote w:id="18">
    <w:p w14:paraId="0FEB6E44" w14:textId="0C4C7876"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Vendimi i Këshillit të Ministrave nr. 29, datë 17.1.2024. </w:t>
      </w:r>
    </w:p>
  </w:footnote>
  <w:footnote w:id="19">
    <w:p w14:paraId="55F1DF7F" w14:textId="7777777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Ligji Organik i Buxhetit (OBL/LOB) Nr. 9936/2008, i ndryshuar.</w:t>
      </w:r>
    </w:p>
  </w:footnote>
  <w:footnote w:id="20">
    <w:p w14:paraId="3B17FF34" w14:textId="3EE2C330"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Kapitulli 5 – Prokurimi Publik, Kapitulli 18 – Statistikat, Kapitulli 23 – Sistemi Gjyqësor dhe të Drejtat Themelore, Kapitulli 24 – Drejtësia, Liria dhe Siguria, dhe Kapitulli 32 – Kontrolli Financiar.</w:t>
      </w:r>
    </w:p>
  </w:footnote>
  <w:footnote w:id="21">
    <w:p w14:paraId="22A62F3B" w14:textId="4567AB8C"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Vendimi Zbatues i Komisionit i datës 23.10.2024 për miratimin e Agjendave të Reformës dhe programit shumëvjeçar të veprimit në kuadër të Programit të Instrumentit për Reformë dhe Rritje për Ballkanin Perëndimor* {SWD(2024) 241 përfundimtar} - {SWD(2024) 242, përfundimtar} - {SWD </w:t>
      </w:r>
      <w:r w:rsidRPr="00A208E8">
        <w:rPr>
          <w:rFonts w:ascii="Garamond" w:hAnsi="Garamond"/>
          <w:i/>
          <w:iCs/>
          <w:color w:val="000000" w:themeColor="text1"/>
          <w:lang w:val="sq-AL"/>
        </w:rPr>
        <w:t>(Dokumenti i Punës i Stafit)</w:t>
      </w:r>
      <w:r w:rsidRPr="00A208E8">
        <w:rPr>
          <w:rFonts w:ascii="Garamond" w:hAnsi="Garamond"/>
          <w:color w:val="000000" w:themeColor="text1"/>
          <w:lang w:val="sq-AL"/>
        </w:rPr>
        <w:t xml:space="preserve"> (2024) 243 përfundimtar} - {SWD(2024) 244 përfundimtar} - {SWD(2024) 245 përfundimtar} https://neighbourhood-enlargement.ec.europa.eu/commission-implementing-decision-approving-reform-agendas-and-multiannual-work-programme-under_en, C(2024) 7375, përfundimtar</w:t>
      </w:r>
    </w:p>
  </w:footnote>
  <w:footnote w:id="22">
    <w:p w14:paraId="4211EBD5" w14:textId="59C1F56F" w:rsidR="003E2696" w:rsidRDefault="00CB0CA4" w:rsidP="000F72F0">
      <w:pPr>
        <w:pStyle w:val="FootnoteText"/>
        <w:rPr>
          <w:rFonts w:ascii="Garamond" w:hAnsi="Garamond"/>
          <w:color w:val="000000" w:themeColor="text1"/>
          <w:lang w:val="sq-AL"/>
        </w:rPr>
      </w:pPr>
      <w:r w:rsidRPr="00A208E8">
        <w:rPr>
          <w:rStyle w:val="FootnoteReference"/>
          <w:rFonts w:ascii="Garamond" w:hAnsi="Garamond"/>
          <w:b/>
          <w:bCs/>
          <w:color w:val="000000" w:themeColor="text1"/>
          <w:lang w:val="sq-AL"/>
        </w:rPr>
        <w:footnoteRef/>
      </w:r>
      <w:r w:rsidRPr="00A208E8">
        <w:rPr>
          <w:rFonts w:ascii="Garamond" w:hAnsi="Garamond"/>
          <w:color w:val="000000" w:themeColor="text1"/>
          <w:lang w:val="sq-AL"/>
        </w:rPr>
        <w:t xml:space="preserve"> Vendimi Zbatues i Komisionit i datës </w:t>
      </w:r>
      <w:bookmarkStart w:id="2" w:name="_GoBack"/>
      <w:bookmarkEnd w:id="2"/>
      <w:r w:rsidRPr="00A208E8">
        <w:rPr>
          <w:rFonts w:ascii="Garamond" w:hAnsi="Garamond"/>
          <w:color w:val="000000" w:themeColor="text1"/>
          <w:lang w:val="sq-AL"/>
        </w:rPr>
        <w:t xml:space="preserve">5.8.2024 mbi financimin e planit shumëvjeçar të veprimit për një Program Operacional mbi energjinë në favor të Republikës së Shqipërisë për vitet 2024–2027, C(2024) 5758 përfundimtar; Vendimi Zbatues i Komisionit i datës 20.8.2024 mbi financimin e planit shumëvjeçar të veprimit për një Program Operacional mbi Ekonominë dhe Shoqërinë Digjitale në favor të Republikës së Shqipërisë për vitet 2024–2027, C (2024) 5759 përfundimtar; </w:t>
      </w:r>
    </w:p>
    <w:p w14:paraId="1CEBAB74" w14:textId="44912112" w:rsidR="00CB0CA4" w:rsidRPr="00A208E8" w:rsidRDefault="00CB0CA4" w:rsidP="000F72F0">
      <w:pPr>
        <w:pStyle w:val="FootnoteText"/>
        <w:rPr>
          <w:rFonts w:ascii="Garamond" w:hAnsi="Garamond"/>
          <w:color w:val="000000" w:themeColor="text1"/>
          <w:lang w:val="sq-AL"/>
        </w:rPr>
      </w:pPr>
      <w:r w:rsidRPr="00A208E8">
        <w:rPr>
          <w:rFonts w:ascii="Garamond" w:hAnsi="Garamond"/>
          <w:color w:val="000000" w:themeColor="text1"/>
          <w:lang w:val="sq-AL"/>
        </w:rPr>
        <w:t>Vendimi Zbatues i Komisionit i datës 20.8.2024 mbi financimin e planit shumëvjeçar të veprimit për një Program Operacional mbi BE-në për Punësimin e të Rinjve në favor të Republikës së Shqipërisë për vitet 2024–2027, C(2024) 5760, përfundimtar</w:t>
      </w:r>
    </w:p>
  </w:footnote>
  <w:footnote w:id="23">
    <w:p w14:paraId="181D47F3" w14:textId="7777777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Barit, Fluorit, Nikeli, Titanomagnetiti, Arseniku, Boksiti, Kobalti, Magneziti, Mangani, Fosforiti dhe Platini</w:t>
      </w:r>
    </w:p>
  </w:footnote>
  <w:footnote w:id="24">
    <w:p w14:paraId="365E01B5" w14:textId="49A65729"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VKM 111, 2.3.2022</w:t>
      </w:r>
      <w:r>
        <w:rPr>
          <w:rFonts w:ascii="Garamond" w:hAnsi="Garamond"/>
          <w:color w:val="000000" w:themeColor="text1"/>
          <w:lang w:val="sq-AL"/>
        </w:rPr>
        <w:t>,</w:t>
      </w:r>
      <w:r w:rsidRPr="00A208E8">
        <w:rPr>
          <w:rFonts w:ascii="Garamond" w:hAnsi="Garamond"/>
          <w:color w:val="000000" w:themeColor="text1"/>
          <w:lang w:val="sq-AL"/>
        </w:rPr>
        <w:t xml:space="preserve"> “Për ndarjen e përgjegjësive për ministrinë e infrastrukturës dhe energjisë”.</w:t>
      </w:r>
    </w:p>
  </w:footnote>
  <w:footnote w:id="25">
    <w:p w14:paraId="4F743AB8" w14:textId="77777777"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Instituti Evropian i Inovacionit dhe Teknologjisë</w:t>
      </w:r>
    </w:p>
  </w:footnote>
  <w:footnote w:id="26">
    <w:p w14:paraId="38FD8700" w14:textId="352CF81F"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Vendimi i Këshillit të Ministrave nr. 697, datë 6.12.2023, “Për krijimin, organizimin dhe funksionimin e Qendrës Rajonale të Inovacionit të Institutit Evropian të Teknologjisë dhe Inovacionit për Lëndët e Para (Qendra Rajonale e Inovacionit të Lëndëve të Para EIT).</w:t>
      </w:r>
    </w:p>
  </w:footnote>
  <w:footnote w:id="27">
    <w:p w14:paraId="7130E2E3" w14:textId="31850965"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Veprimtaria e AGS/SHGJSH-së rregullohet nga ligji nr. 111/2015, datë 15.10.2015, “Për shërbimin gjeologjik shqiptar”.</w:t>
      </w:r>
    </w:p>
  </w:footnote>
  <w:footnote w:id="28">
    <w:p w14:paraId="7B7D2123" w14:textId="1F7132CB"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VKM nr. 547, 9.8.2006, i ndryshuar, “Për krijimin e Agjencisë Kombëtare të Burimeve Natyrore”.</w:t>
      </w:r>
    </w:p>
  </w:footnote>
  <w:footnote w:id="29">
    <w:p w14:paraId="0A6D3387" w14:textId="3A62A329"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Rregullorja (BE) 2021/240 e Parlamentit Evropian dhe e Këshillit, datë 10 shkurt 2021, për krijimin e një Instrumenti Mbështetjeje Teknike, FZ/OJ L 57, 18/02/2021, f. 1–16 https://eur-lex.europa.eu/eli/reg/2021/240/oj/eng</w:t>
      </w:r>
      <w:r w:rsidRPr="00A208E8">
        <w:rPr>
          <w:rFonts w:ascii="Garamond" w:hAnsi="Garamond"/>
          <w:i/>
          <w:iCs/>
          <w:color w:val="000000" w:themeColor="text1"/>
          <w:lang w:val="sq-AL"/>
        </w:rPr>
        <w:t>”</w:t>
      </w:r>
    </w:p>
  </w:footnote>
  <w:footnote w:id="30">
    <w:p w14:paraId="1A5E869B" w14:textId="77777777" w:rsidR="00CB0CA4" w:rsidRPr="00A208E8" w:rsidRDefault="00CB0CA4" w:rsidP="000F72F0">
      <w:pPr>
        <w:pStyle w:val="FootnoteText"/>
        <w:shd w:val="clear" w:color="auto" w:fill="FFFFFF" w:themeFill="background1"/>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Shihni </w:t>
      </w:r>
      <w:r w:rsidRPr="00A208E8">
        <w:rPr>
          <w:rStyle w:val="Strong"/>
          <w:rFonts w:ascii="Garamond" w:hAnsi="Garamond"/>
          <w:color w:val="000000" w:themeColor="text1"/>
          <w:lang w:val="sq-AL"/>
        </w:rPr>
        <w:t>Hartën e Sanksioneve të BE-së</w:t>
      </w:r>
      <w:r w:rsidRPr="00A208E8">
        <w:rPr>
          <w:rFonts w:ascii="Garamond" w:hAnsi="Garamond"/>
          <w:color w:val="000000" w:themeColor="text1"/>
          <w:lang w:val="sq-AL"/>
        </w:rPr>
        <w:t xml:space="preserve">. Harta e sanksioneve është një mjet IT për identifikimin e regjimeve të sanksioneve. Burimi i sanksioneve rrjedh nga aktet ligjore të botuara në </w:t>
      </w:r>
      <w:r w:rsidRPr="00A208E8">
        <w:rPr>
          <w:rStyle w:val="Strong"/>
          <w:rFonts w:ascii="Garamond" w:hAnsi="Garamond"/>
          <w:color w:val="000000" w:themeColor="text1"/>
          <w:lang w:val="sq-AL"/>
        </w:rPr>
        <w:t>Fletoren Zyrtare (OJ/FZ)</w:t>
      </w:r>
      <w:r w:rsidRPr="00A208E8">
        <w:rPr>
          <w:rFonts w:ascii="Garamond" w:hAnsi="Garamond"/>
          <w:color w:val="000000" w:themeColor="text1"/>
          <w:lang w:val="sq-AL"/>
        </w:rPr>
        <w:t>. Në rast të një mospërputhjeje midis akteve ligjore të botuara dhe përditësimeve në faqen e internetit, versioni i Fletores Zyrtare do të ketë përparësi.</w:t>
      </w:r>
    </w:p>
  </w:footnote>
  <w:footnote w:id="31">
    <w:p w14:paraId="375EA381" w14:textId="77777777" w:rsidR="00CB0CA4" w:rsidRPr="00A208E8" w:rsidRDefault="00CB0CA4" w:rsidP="000F72F0">
      <w:pPr>
        <w:pStyle w:val="FootnoteText"/>
        <w:contextualSpacing/>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Nënshkrimi i një marrëveshjeje kontributi me entitetin e përzgjedhur është i lidhur me përfundimin e vlerësimit të nevojshëm sipas kolonës.</w:t>
      </w:r>
    </w:p>
  </w:footnote>
  <w:footnote w:id="32">
    <w:p w14:paraId="44B3525F" w14:textId="6E11C7EA" w:rsidR="00CB0CA4" w:rsidRPr="00A208E8" w:rsidRDefault="00CB0CA4" w:rsidP="000F72F0">
      <w:pPr>
        <w:pStyle w:val="FootnoteText"/>
        <w:rPr>
          <w:rFonts w:ascii="Garamond" w:hAnsi="Garamond"/>
          <w:color w:val="000000" w:themeColor="text1"/>
          <w:lang w:val="sq-AL"/>
        </w:rPr>
      </w:pPr>
      <w:r w:rsidRPr="00A208E8">
        <w:rPr>
          <w:rStyle w:val="FootnoteReference"/>
          <w:rFonts w:ascii="Garamond" w:hAnsi="Garamond"/>
          <w:color w:val="000000" w:themeColor="text1"/>
          <w:lang w:val="sq-AL"/>
        </w:rPr>
        <w:footnoteRef/>
      </w:r>
      <w:r w:rsidRPr="00A208E8">
        <w:rPr>
          <w:rFonts w:ascii="Garamond" w:hAnsi="Garamond"/>
          <w:color w:val="000000" w:themeColor="text1"/>
          <w:lang w:val="sq-AL"/>
        </w:rPr>
        <w:t xml:space="preserve"> Udhëzime të Better Regulation (Rregullimit më të Mirë), SWD(2021) 305 final.</w:t>
      </w:r>
    </w:p>
  </w:footnote>
  <w:footnote w:id="33">
    <w:p w14:paraId="59238DF3" w14:textId="7E8F36C9" w:rsidR="00CB0CA4" w:rsidRPr="00A208E8" w:rsidRDefault="00CB0CA4" w:rsidP="000F72F0">
      <w:pPr>
        <w:pStyle w:val="FootnoteText"/>
        <w:rPr>
          <w:rFonts w:ascii="Garamond" w:hAnsi="Garamond"/>
          <w:lang w:val="sq-AL"/>
        </w:rPr>
      </w:pPr>
      <w:r w:rsidRPr="00A208E8">
        <w:rPr>
          <w:rStyle w:val="FootnoteReference"/>
          <w:rFonts w:ascii="Garamond" w:hAnsi="Garamond"/>
          <w:lang w:val="sq-AL"/>
        </w:rPr>
        <w:footnoteRef/>
      </w:r>
      <w:r w:rsidRPr="00A208E8">
        <w:rPr>
          <w:rFonts w:ascii="Garamond" w:hAnsi="Garamond"/>
          <w:lang w:val="sq-AL"/>
        </w:rPr>
        <w:t xml:space="preserve"> </w:t>
      </w:r>
      <w:r w:rsidRPr="00A208E8">
        <w:rPr>
          <w:rStyle w:val="BodyTextChar"/>
          <w:rFonts w:ascii="Garamond" w:eastAsia="Courier New" w:hAnsi="Garamond"/>
          <w:sz w:val="20"/>
          <w:szCs w:val="20"/>
          <w:lang w:val="sq-AL"/>
        </w:rPr>
        <w:t>Eliminimi i ofertave jofituese pesë vjet pas mbylljes së procedurës së prokurimit.</w:t>
      </w:r>
    </w:p>
  </w:footnote>
  <w:footnote w:id="34">
    <w:p w14:paraId="1595C091" w14:textId="5735B20E" w:rsidR="00CB0CA4" w:rsidRPr="00A208E8" w:rsidRDefault="00CB0CA4" w:rsidP="000F72F0">
      <w:pPr>
        <w:pStyle w:val="FootnoteText"/>
        <w:rPr>
          <w:rFonts w:ascii="Garamond" w:hAnsi="Garamond"/>
          <w:lang w:val="sq-AL"/>
        </w:rPr>
      </w:pPr>
      <w:r w:rsidRPr="00A208E8">
        <w:rPr>
          <w:rStyle w:val="FootnoteReference"/>
          <w:rFonts w:ascii="Garamond" w:hAnsi="Garamond"/>
          <w:lang w:val="sq-AL"/>
        </w:rPr>
        <w:footnoteRef/>
      </w:r>
      <w:r w:rsidRPr="00A208E8">
        <w:rPr>
          <w:rFonts w:ascii="Garamond" w:hAnsi="Garamond"/>
          <w:lang w:val="sq-AL"/>
        </w:rPr>
        <w:t xml:space="preserve"> </w:t>
      </w:r>
      <w:r w:rsidRPr="00A208E8">
        <w:rPr>
          <w:rStyle w:val="BodyTextChar"/>
          <w:rFonts w:ascii="Garamond" w:eastAsia="Courier New" w:hAnsi="Garamond"/>
          <w:sz w:val="20"/>
          <w:szCs w:val="20"/>
          <w:lang w:val="sq-AL"/>
        </w:rPr>
        <w:t>Eliminimi i ofertave jofituese tre vjet pas mbylljes së procedurës së grantit.</w:t>
      </w:r>
    </w:p>
  </w:footnote>
  <w:footnote w:id="35">
    <w:p w14:paraId="06E635DF" w14:textId="0FE0BD0C" w:rsidR="00CB0CA4" w:rsidRPr="00A208E8" w:rsidRDefault="00CB0CA4" w:rsidP="000F72F0">
      <w:pPr>
        <w:pStyle w:val="FootnoteText"/>
        <w:rPr>
          <w:rFonts w:ascii="Garamond" w:hAnsi="Garamond"/>
          <w:lang w:val="sq-AL"/>
        </w:rPr>
      </w:pPr>
      <w:r w:rsidRPr="00A208E8">
        <w:rPr>
          <w:rStyle w:val="FootnoteReference"/>
          <w:rFonts w:ascii="Garamond" w:hAnsi="Garamond"/>
          <w:lang w:val="sq-AL"/>
        </w:rPr>
        <w:footnoteRef/>
      </w:r>
      <w:r w:rsidRPr="00A208E8">
        <w:rPr>
          <w:rFonts w:ascii="Garamond" w:hAnsi="Garamond"/>
          <w:lang w:val="sq-AL"/>
        </w:rPr>
        <w:t xml:space="preserve"> </w:t>
      </w:r>
      <w:r w:rsidRPr="00A208E8">
        <w:rPr>
          <w:rStyle w:val="BodyTextChar"/>
          <w:rFonts w:ascii="Garamond" w:eastAsia="Courier New" w:hAnsi="Garamond"/>
          <w:sz w:val="20"/>
          <w:szCs w:val="20"/>
          <w:lang w:val="sq-AL"/>
        </w:rPr>
        <w:t xml:space="preserve">Për kontratat e shërbimit, ky hap përfshin kontrolle </w:t>
      </w:r>
      <w:r w:rsidRPr="00A208E8">
        <w:rPr>
          <w:rStyle w:val="BodyTextChar"/>
          <w:rFonts w:ascii="Garamond" w:eastAsia="Courier New" w:hAnsi="Garamond"/>
          <w:i/>
          <w:iCs/>
          <w:sz w:val="20"/>
          <w:szCs w:val="20"/>
          <w:lang w:val="sq-AL"/>
        </w:rPr>
        <w:t>ex-ante</w:t>
      </w:r>
      <w:r w:rsidRPr="00A208E8">
        <w:rPr>
          <w:rStyle w:val="BodyTextChar"/>
          <w:rFonts w:ascii="Garamond" w:eastAsia="Courier New" w:hAnsi="Garamond"/>
          <w:sz w:val="20"/>
          <w:szCs w:val="20"/>
          <w:lang w:val="sq-AL"/>
        </w:rPr>
        <w:t xml:space="preserve"> në lidhje me miratimin e listës së kandidatëve të përzgjedhur</w:t>
      </w:r>
    </w:p>
  </w:footnote>
  <w:footnote w:id="36">
    <w:p w14:paraId="6DE4D26C" w14:textId="64FF9093" w:rsidR="00CB0CA4" w:rsidRPr="00A208E8" w:rsidRDefault="00CB0CA4" w:rsidP="000F72F0">
      <w:pPr>
        <w:pStyle w:val="FootnoteText"/>
        <w:rPr>
          <w:rFonts w:ascii="Garamond" w:hAnsi="Garamond"/>
          <w:lang w:val="sq-AL"/>
        </w:rPr>
      </w:pPr>
      <w:r w:rsidRPr="00A208E8">
        <w:rPr>
          <w:rStyle w:val="FootnoteReference"/>
          <w:rFonts w:ascii="Garamond" w:hAnsi="Garamond"/>
          <w:lang w:val="sq-AL"/>
        </w:rPr>
        <w:footnoteRef/>
      </w:r>
      <w:r w:rsidRPr="00A208E8">
        <w:rPr>
          <w:rFonts w:ascii="Garamond" w:hAnsi="Garamond"/>
          <w:lang w:val="sq-AL"/>
        </w:rPr>
        <w:t xml:space="preserve"> IPA-APP është aplikacion TI i dedikuar që është zhvilluar nga DG NEAR për të zëvendësuar instrumentin iPerseus që përdorej për të monitoruar zbatimin e fondeve të paraanëtarësimit në kuadrin e menaxhimit indirekt nga vendet përfituesve (MIVP).</w:t>
      </w:r>
    </w:p>
  </w:footnote>
  <w:footnote w:id="37">
    <w:p w14:paraId="1102C6DB" w14:textId="743F5EE4" w:rsidR="00CB0CA4" w:rsidRPr="00A208E8" w:rsidRDefault="00CB0CA4" w:rsidP="000F72F0">
      <w:pPr>
        <w:pStyle w:val="FootnoteText"/>
        <w:rPr>
          <w:rFonts w:ascii="Garamond" w:hAnsi="Garamond"/>
          <w:lang w:val="sq-AL"/>
        </w:rPr>
      </w:pPr>
      <w:r w:rsidRPr="00A208E8">
        <w:rPr>
          <w:rStyle w:val="FootnoteReference"/>
          <w:rFonts w:ascii="Garamond" w:hAnsi="Garamond"/>
          <w:lang w:val="sq-AL"/>
        </w:rPr>
        <w:footnoteRef/>
      </w:r>
      <w:r w:rsidRPr="00A208E8">
        <w:rPr>
          <w:rFonts w:ascii="Garamond" w:hAnsi="Garamond"/>
          <w:lang w:val="sq-AL"/>
        </w:rPr>
        <w:t xml:space="preserve">  </w:t>
      </w:r>
      <w:hyperlink r:id="rId3" w:history="1">
        <w:r w:rsidRPr="00A208E8">
          <w:rPr>
            <w:rStyle w:val="Footnote"/>
            <w:rFonts w:ascii="Garamond" w:hAnsi="Garamond"/>
            <w:lang w:val="sq-AL"/>
          </w:rPr>
          <w:t xml:space="preserve"> </w:t>
        </w:r>
        <w:r w:rsidRPr="00A208E8">
          <w:rPr>
            <w:rStyle w:val="Footnote"/>
            <w:rFonts w:ascii="Garamond" w:hAnsi="Garamond"/>
            <w:color w:val="0000FF"/>
            <w:u w:val="single"/>
            <w:lang w:val="sq-AL"/>
          </w:rPr>
          <w:t>www.sanctionsmap.eu</w:t>
        </w:r>
        <w:r w:rsidRPr="00A208E8">
          <w:rPr>
            <w:rStyle w:val="Footnote"/>
            <w:rFonts w:ascii="Garamond" w:hAnsi="Garamond"/>
            <w:lang w:val="sq-AL"/>
          </w:rPr>
          <w:t xml:space="preserve">. </w:t>
        </w:r>
      </w:hyperlink>
      <w:r w:rsidRPr="00A208E8">
        <w:rPr>
          <w:rStyle w:val="Footnote"/>
          <w:rFonts w:ascii="Garamond" w:hAnsi="Garamond"/>
          <w:lang w:val="sq-AL"/>
        </w:rPr>
        <w:t>Vini re se harta e sanksioneve është një mjet TI për identifikimin e regjimeve sanksionuese. Sanksionet burojnë nga aktet ligjore të publikuara në Fletoren Zyrtare (FZ). Në rast mospërputhjeje midis akteve ligjore të publikuara dhe përditësimeve në faqen e internetit, versionet e publikuara në FZ do të kenë përparësi.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281D"/>
    <w:multiLevelType w:val="multilevel"/>
    <w:tmpl w:val="2E84F0F8"/>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063CD8"/>
    <w:multiLevelType w:val="multilevel"/>
    <w:tmpl w:val="C852AF5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9F5B1D"/>
    <w:multiLevelType w:val="hybridMultilevel"/>
    <w:tmpl w:val="37122F7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0A6459F0"/>
    <w:multiLevelType w:val="multilevel"/>
    <w:tmpl w:val="2A3A6FA4"/>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D4EEE"/>
    <w:multiLevelType w:val="multilevel"/>
    <w:tmpl w:val="6818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46D93"/>
    <w:multiLevelType w:val="multilevel"/>
    <w:tmpl w:val="C31A6480"/>
    <w:lvl w:ilvl="0">
      <w:start w:val="4"/>
      <w:numFmt w:val="decimal"/>
      <w:lvlText w:val="%1"/>
      <w:lvlJc w:val="left"/>
      <w:pPr>
        <w:ind w:left="480" w:hanging="480"/>
      </w:pPr>
      <w:rPr>
        <w:rFonts w:hint="default"/>
        <w:b/>
      </w:rPr>
    </w:lvl>
    <w:lvl w:ilvl="1">
      <w:start w:val="3"/>
      <w:numFmt w:val="decimal"/>
      <w:lvlText w:val="%1.%2"/>
      <w:lvlJc w:val="left"/>
      <w:pPr>
        <w:ind w:left="862" w:hanging="720"/>
      </w:pPr>
      <w:rPr>
        <w:rFonts w:hint="default"/>
        <w:b/>
      </w:rPr>
    </w:lvl>
    <w:lvl w:ilvl="2">
      <w:start w:val="2"/>
      <w:numFmt w:val="decimal"/>
      <w:lvlText w:val="%1.%2.%3"/>
      <w:lvlJc w:val="left"/>
      <w:pPr>
        <w:ind w:left="1004" w:hanging="720"/>
      </w:pPr>
      <w:rPr>
        <w:rFonts w:hint="default"/>
        <w:b/>
      </w:rPr>
    </w:lvl>
    <w:lvl w:ilvl="3">
      <w:start w:val="1"/>
      <w:numFmt w:val="decimal"/>
      <w:lvlText w:val="%1.%2.%3.%4"/>
      <w:lvlJc w:val="left"/>
      <w:pPr>
        <w:ind w:left="1506" w:hanging="108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2150" w:hanging="144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794" w:hanging="1800"/>
      </w:pPr>
      <w:rPr>
        <w:rFonts w:hint="default"/>
        <w:b/>
      </w:rPr>
    </w:lvl>
    <w:lvl w:ilvl="8">
      <w:start w:val="1"/>
      <w:numFmt w:val="decimal"/>
      <w:lvlText w:val="%1.%2.%3.%4.%5.%6.%7.%8.%9"/>
      <w:lvlJc w:val="left"/>
      <w:pPr>
        <w:ind w:left="3296" w:hanging="2160"/>
      </w:pPr>
      <w:rPr>
        <w:rFonts w:hint="default"/>
        <w:b/>
      </w:rPr>
    </w:lvl>
  </w:abstractNum>
  <w:abstractNum w:abstractNumId="6" w15:restartNumberingAfterBreak="0">
    <w:nsid w:val="13FF40F0"/>
    <w:multiLevelType w:val="multilevel"/>
    <w:tmpl w:val="F84A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07AEB"/>
    <w:multiLevelType w:val="hybridMultilevel"/>
    <w:tmpl w:val="29669918"/>
    <w:lvl w:ilvl="0" w:tplc="B01CD8F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8B8D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1173"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284A566F"/>
    <w:multiLevelType w:val="hybridMultilevel"/>
    <w:tmpl w:val="EFB49448"/>
    <w:lvl w:ilvl="0" w:tplc="F19A3A5A">
      <w:start w:val="1"/>
      <w:numFmt w:val="bullet"/>
      <w:lvlText w:val="-"/>
      <w:lvlJc w:val="left"/>
      <w:pPr>
        <w:ind w:left="720" w:hanging="360"/>
      </w:pPr>
      <w:rPr>
        <w:rFonts w:ascii="Aptos" w:hAnsi="Aptos" w:hint="default"/>
      </w:rPr>
    </w:lvl>
    <w:lvl w:ilvl="1" w:tplc="FAA67A34">
      <w:start w:val="1"/>
      <w:numFmt w:val="bullet"/>
      <w:lvlText w:val="o"/>
      <w:lvlJc w:val="left"/>
      <w:pPr>
        <w:ind w:left="1440" w:hanging="360"/>
      </w:pPr>
      <w:rPr>
        <w:rFonts w:ascii="Courier New" w:hAnsi="Courier New" w:hint="default"/>
      </w:rPr>
    </w:lvl>
    <w:lvl w:ilvl="2" w:tplc="7CFA1A4C">
      <w:start w:val="1"/>
      <w:numFmt w:val="bullet"/>
      <w:lvlText w:val=""/>
      <w:lvlJc w:val="left"/>
      <w:pPr>
        <w:ind w:left="2160" w:hanging="360"/>
      </w:pPr>
      <w:rPr>
        <w:rFonts w:ascii="Wingdings" w:hAnsi="Wingdings" w:hint="default"/>
      </w:rPr>
    </w:lvl>
    <w:lvl w:ilvl="3" w:tplc="528E8804">
      <w:start w:val="1"/>
      <w:numFmt w:val="bullet"/>
      <w:lvlText w:val=""/>
      <w:lvlJc w:val="left"/>
      <w:pPr>
        <w:ind w:left="2880" w:hanging="360"/>
      </w:pPr>
      <w:rPr>
        <w:rFonts w:ascii="Symbol" w:hAnsi="Symbol" w:hint="default"/>
      </w:rPr>
    </w:lvl>
    <w:lvl w:ilvl="4" w:tplc="64D4A556">
      <w:start w:val="1"/>
      <w:numFmt w:val="bullet"/>
      <w:lvlText w:val="o"/>
      <w:lvlJc w:val="left"/>
      <w:pPr>
        <w:ind w:left="3600" w:hanging="360"/>
      </w:pPr>
      <w:rPr>
        <w:rFonts w:ascii="Courier New" w:hAnsi="Courier New" w:hint="default"/>
      </w:rPr>
    </w:lvl>
    <w:lvl w:ilvl="5" w:tplc="5964CA92">
      <w:start w:val="1"/>
      <w:numFmt w:val="bullet"/>
      <w:lvlText w:val=""/>
      <w:lvlJc w:val="left"/>
      <w:pPr>
        <w:ind w:left="4320" w:hanging="360"/>
      </w:pPr>
      <w:rPr>
        <w:rFonts w:ascii="Wingdings" w:hAnsi="Wingdings" w:hint="default"/>
      </w:rPr>
    </w:lvl>
    <w:lvl w:ilvl="6" w:tplc="FDFE92C2">
      <w:start w:val="1"/>
      <w:numFmt w:val="bullet"/>
      <w:lvlText w:val=""/>
      <w:lvlJc w:val="left"/>
      <w:pPr>
        <w:ind w:left="5040" w:hanging="360"/>
      </w:pPr>
      <w:rPr>
        <w:rFonts w:ascii="Symbol" w:hAnsi="Symbol" w:hint="default"/>
      </w:rPr>
    </w:lvl>
    <w:lvl w:ilvl="7" w:tplc="9200AD70">
      <w:start w:val="1"/>
      <w:numFmt w:val="bullet"/>
      <w:lvlText w:val="o"/>
      <w:lvlJc w:val="left"/>
      <w:pPr>
        <w:ind w:left="5760" w:hanging="360"/>
      </w:pPr>
      <w:rPr>
        <w:rFonts w:ascii="Courier New" w:hAnsi="Courier New" w:hint="default"/>
      </w:rPr>
    </w:lvl>
    <w:lvl w:ilvl="8" w:tplc="264A4E30">
      <w:start w:val="1"/>
      <w:numFmt w:val="bullet"/>
      <w:lvlText w:val=""/>
      <w:lvlJc w:val="left"/>
      <w:pPr>
        <w:ind w:left="6480" w:hanging="360"/>
      </w:pPr>
      <w:rPr>
        <w:rFonts w:ascii="Wingdings" w:hAnsi="Wingdings" w:hint="default"/>
      </w:rPr>
    </w:lvl>
  </w:abstractNum>
  <w:abstractNum w:abstractNumId="10" w15:restartNumberingAfterBreak="0">
    <w:nsid w:val="39536C24"/>
    <w:multiLevelType w:val="multilevel"/>
    <w:tmpl w:val="E20475CE"/>
    <w:lvl w:ilvl="0">
      <w:start w:val="1"/>
      <w:numFmt w:val="decimal"/>
      <w:lvlText w:val="%1"/>
      <w:lvlJc w:val="left"/>
      <w:pPr>
        <w:ind w:left="440" w:hanging="440"/>
      </w:pPr>
      <w:rPr>
        <w:rFonts w:hint="default"/>
      </w:rPr>
    </w:lvl>
    <w:lvl w:ilvl="1">
      <w:start w:val="1"/>
      <w:numFmt w:val="decimal"/>
      <w:lvlText w:val="%1.%2"/>
      <w:lvlJc w:val="left"/>
      <w:pPr>
        <w:ind w:left="800" w:hanging="4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B0E535B"/>
    <w:multiLevelType w:val="hybridMultilevel"/>
    <w:tmpl w:val="0164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F127AE"/>
    <w:multiLevelType w:val="multilevel"/>
    <w:tmpl w:val="08C4AC2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F470A80"/>
    <w:multiLevelType w:val="multilevel"/>
    <w:tmpl w:val="1840B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061844"/>
    <w:multiLevelType w:val="multilevel"/>
    <w:tmpl w:val="2832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9725E8"/>
    <w:multiLevelType w:val="multilevel"/>
    <w:tmpl w:val="C23A9C9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4.3.%3."/>
      <w:lvlJc w:val="left"/>
      <w:pPr>
        <w:ind w:left="1080" w:hanging="360"/>
      </w:pPr>
      <w:rPr>
        <w:rFonts w:hint="default"/>
      </w:rPr>
    </w:lvl>
    <w:lvl w:ilvl="3">
      <w:start w:val="1"/>
      <w:numFmt w:val="decimal"/>
      <w:lvlText w:val="%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E007D8F"/>
    <w:multiLevelType w:val="multilevel"/>
    <w:tmpl w:val="7888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3A1077"/>
    <w:multiLevelType w:val="multilevel"/>
    <w:tmpl w:val="15B879B2"/>
    <w:lvl w:ilvl="0">
      <w:start w:val="1"/>
      <w:numFmt w:val="decimal"/>
      <w:lvlText w:val="%1."/>
      <w:lvlJc w:val="left"/>
      <w:pPr>
        <w:ind w:left="720" w:hanging="360"/>
      </w:pPr>
      <w:rPr>
        <w:rFonts w:hint="default"/>
      </w:rPr>
    </w:lvl>
    <w:lvl w:ilvl="1">
      <w:start w:val="1"/>
      <w:numFmt w:val="decimal"/>
      <w:isLgl/>
      <w:lvlText w:val="%1.%2"/>
      <w:lvlJc w:val="left"/>
      <w:pPr>
        <w:ind w:left="277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5"/>
  </w:num>
  <w:num w:numId="3">
    <w:abstractNumId w:val="18"/>
  </w:num>
  <w:num w:numId="4">
    <w:abstractNumId w:val="9"/>
  </w:num>
  <w:num w:numId="5">
    <w:abstractNumId w:val="3"/>
  </w:num>
  <w:num w:numId="6">
    <w:abstractNumId w:val="7"/>
  </w:num>
  <w:num w:numId="7">
    <w:abstractNumId w:val="17"/>
  </w:num>
  <w:num w:numId="8">
    <w:abstractNumId w:val="10"/>
  </w:num>
  <w:num w:numId="9">
    <w:abstractNumId w:val="12"/>
  </w:num>
  <w:num w:numId="10">
    <w:abstractNumId w:val="2"/>
  </w:num>
  <w:num w:numId="11">
    <w:abstractNumId w:val="11"/>
  </w:num>
  <w:num w:numId="12">
    <w:abstractNumId w:val="0"/>
  </w:num>
  <w:num w:numId="13">
    <w:abstractNumId w:val="1"/>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6"/>
  </w:num>
  <w:num w:numId="17">
    <w:abstractNumId w:val="13"/>
  </w:num>
  <w:num w:numId="18">
    <w:abstractNumId w:val="14"/>
  </w:num>
  <w:num w:numId="19">
    <w:abstractNumId w:val="4"/>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58B"/>
    <w:rsid w:val="00012EA0"/>
    <w:rsid w:val="00014EEB"/>
    <w:rsid w:val="000335E3"/>
    <w:rsid w:val="000675F3"/>
    <w:rsid w:val="0007038A"/>
    <w:rsid w:val="00083F8D"/>
    <w:rsid w:val="000900AA"/>
    <w:rsid w:val="00091000"/>
    <w:rsid w:val="000C6C0A"/>
    <w:rsid w:val="000D49F7"/>
    <w:rsid w:val="000F72F0"/>
    <w:rsid w:val="0011464D"/>
    <w:rsid w:val="00115EED"/>
    <w:rsid w:val="00125622"/>
    <w:rsid w:val="00133A44"/>
    <w:rsid w:val="0015332B"/>
    <w:rsid w:val="001C2DEC"/>
    <w:rsid w:val="001D2A23"/>
    <w:rsid w:val="001E737C"/>
    <w:rsid w:val="00221C8A"/>
    <w:rsid w:val="00273D4C"/>
    <w:rsid w:val="0028545B"/>
    <w:rsid w:val="002957F9"/>
    <w:rsid w:val="002B38F0"/>
    <w:rsid w:val="002B683C"/>
    <w:rsid w:val="002C75B7"/>
    <w:rsid w:val="002F2858"/>
    <w:rsid w:val="002F5B9A"/>
    <w:rsid w:val="003212D1"/>
    <w:rsid w:val="003215FC"/>
    <w:rsid w:val="00327565"/>
    <w:rsid w:val="00330AC4"/>
    <w:rsid w:val="00342552"/>
    <w:rsid w:val="003450F5"/>
    <w:rsid w:val="0036019C"/>
    <w:rsid w:val="00360201"/>
    <w:rsid w:val="00362878"/>
    <w:rsid w:val="00365601"/>
    <w:rsid w:val="003C52BC"/>
    <w:rsid w:val="003E2696"/>
    <w:rsid w:val="00403117"/>
    <w:rsid w:val="0043290D"/>
    <w:rsid w:val="004415E2"/>
    <w:rsid w:val="00456322"/>
    <w:rsid w:val="00460772"/>
    <w:rsid w:val="00463851"/>
    <w:rsid w:val="00495978"/>
    <w:rsid w:val="0051080E"/>
    <w:rsid w:val="005162FD"/>
    <w:rsid w:val="005A1FB4"/>
    <w:rsid w:val="005D5B80"/>
    <w:rsid w:val="005E340C"/>
    <w:rsid w:val="005E46CE"/>
    <w:rsid w:val="005F541C"/>
    <w:rsid w:val="0060569D"/>
    <w:rsid w:val="00605EBD"/>
    <w:rsid w:val="00611CA6"/>
    <w:rsid w:val="006162EA"/>
    <w:rsid w:val="006164B6"/>
    <w:rsid w:val="006A46B9"/>
    <w:rsid w:val="007000DC"/>
    <w:rsid w:val="0070324F"/>
    <w:rsid w:val="007129A2"/>
    <w:rsid w:val="007146B6"/>
    <w:rsid w:val="00715121"/>
    <w:rsid w:val="007248D4"/>
    <w:rsid w:val="00727A5D"/>
    <w:rsid w:val="00731ADD"/>
    <w:rsid w:val="00786C46"/>
    <w:rsid w:val="00791705"/>
    <w:rsid w:val="0079621A"/>
    <w:rsid w:val="00796B0B"/>
    <w:rsid w:val="00803F10"/>
    <w:rsid w:val="008202AE"/>
    <w:rsid w:val="00833675"/>
    <w:rsid w:val="00835F17"/>
    <w:rsid w:val="00843055"/>
    <w:rsid w:val="008709DB"/>
    <w:rsid w:val="00895A12"/>
    <w:rsid w:val="00904F3B"/>
    <w:rsid w:val="0095191B"/>
    <w:rsid w:val="00952C93"/>
    <w:rsid w:val="00997454"/>
    <w:rsid w:val="009C68D3"/>
    <w:rsid w:val="009D37DC"/>
    <w:rsid w:val="009D4416"/>
    <w:rsid w:val="009F5E55"/>
    <w:rsid w:val="00A0779A"/>
    <w:rsid w:val="00A165E9"/>
    <w:rsid w:val="00A208E8"/>
    <w:rsid w:val="00A45550"/>
    <w:rsid w:val="00A50823"/>
    <w:rsid w:val="00A81947"/>
    <w:rsid w:val="00A95E06"/>
    <w:rsid w:val="00B06BDA"/>
    <w:rsid w:val="00B125CE"/>
    <w:rsid w:val="00B15DB7"/>
    <w:rsid w:val="00B23B10"/>
    <w:rsid w:val="00BB2491"/>
    <w:rsid w:val="00BC5735"/>
    <w:rsid w:val="00BE19F3"/>
    <w:rsid w:val="00C133F3"/>
    <w:rsid w:val="00C224FB"/>
    <w:rsid w:val="00C347BB"/>
    <w:rsid w:val="00C45469"/>
    <w:rsid w:val="00C50020"/>
    <w:rsid w:val="00C6242C"/>
    <w:rsid w:val="00C76D9A"/>
    <w:rsid w:val="00C851E7"/>
    <w:rsid w:val="00C92764"/>
    <w:rsid w:val="00CA28E4"/>
    <w:rsid w:val="00CB0CA4"/>
    <w:rsid w:val="00CC1C79"/>
    <w:rsid w:val="00CC4E19"/>
    <w:rsid w:val="00CE6415"/>
    <w:rsid w:val="00CE7B9D"/>
    <w:rsid w:val="00D20604"/>
    <w:rsid w:val="00D2458B"/>
    <w:rsid w:val="00D41AF0"/>
    <w:rsid w:val="00D424ED"/>
    <w:rsid w:val="00D50516"/>
    <w:rsid w:val="00D70C44"/>
    <w:rsid w:val="00D73826"/>
    <w:rsid w:val="00D74AA5"/>
    <w:rsid w:val="00D91DF9"/>
    <w:rsid w:val="00DB6265"/>
    <w:rsid w:val="00DC471E"/>
    <w:rsid w:val="00DF2D2B"/>
    <w:rsid w:val="00E255D8"/>
    <w:rsid w:val="00E30A60"/>
    <w:rsid w:val="00E406EE"/>
    <w:rsid w:val="00E5024F"/>
    <w:rsid w:val="00E57B44"/>
    <w:rsid w:val="00E62F94"/>
    <w:rsid w:val="00E6629A"/>
    <w:rsid w:val="00E755E1"/>
    <w:rsid w:val="00E827AF"/>
    <w:rsid w:val="00E92521"/>
    <w:rsid w:val="00EA5C29"/>
    <w:rsid w:val="00F4639F"/>
    <w:rsid w:val="00F47BC2"/>
    <w:rsid w:val="00F574F0"/>
    <w:rsid w:val="00F82514"/>
    <w:rsid w:val="00F9751C"/>
    <w:rsid w:val="00FA4FC7"/>
    <w:rsid w:val="00FC3B48"/>
    <w:rsid w:val="00FD51F9"/>
    <w:rsid w:val="00FF06CA"/>
    <w:rsid w:val="00FF2E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CA4F"/>
  <w15:docId w15:val="{6537D1C0-41EA-4A6A-9B7A-BB8E27A3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458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2458B"/>
    <w:pPr>
      <w:keepNext/>
      <w:jc w:val="center"/>
      <w:outlineLvl w:val="0"/>
    </w:pPr>
    <w:rPr>
      <w:b/>
      <w:bCs/>
      <w:lang w:val="sq-AL"/>
    </w:rPr>
  </w:style>
  <w:style w:type="paragraph" w:styleId="Heading2">
    <w:name w:val="heading 2"/>
    <w:basedOn w:val="Normal"/>
    <w:next w:val="Normal"/>
    <w:link w:val="Heading2Char"/>
    <w:uiPriority w:val="9"/>
    <w:unhideWhenUsed/>
    <w:qFormat/>
    <w:rsid w:val="00B06BDA"/>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en-GB"/>
    </w:rPr>
  </w:style>
  <w:style w:type="paragraph" w:styleId="Heading4">
    <w:name w:val="heading 4"/>
    <w:basedOn w:val="Normal"/>
    <w:next w:val="Normal"/>
    <w:link w:val="Heading4Char"/>
    <w:uiPriority w:val="9"/>
    <w:qFormat/>
    <w:rsid w:val="00D2458B"/>
    <w:pPr>
      <w:keepNext/>
      <w:jc w:val="center"/>
      <w:outlineLvl w:val="3"/>
    </w:pPr>
    <w:rPr>
      <w:b/>
      <w:spacing w:val="100"/>
      <w:sz w:val="28"/>
      <w:szCs w:val="28"/>
      <w:lang w:val="sq-AL"/>
    </w:rPr>
  </w:style>
  <w:style w:type="paragraph" w:styleId="Heading6">
    <w:name w:val="heading 6"/>
    <w:basedOn w:val="Normal"/>
    <w:next w:val="Normal"/>
    <w:link w:val="Heading6Char"/>
    <w:qFormat/>
    <w:rsid w:val="00D2458B"/>
    <w:pPr>
      <w:keepNext/>
      <w:tabs>
        <w:tab w:val="left" w:pos="2160"/>
      </w:tabs>
      <w:ind w:left="-720" w:right="6149"/>
      <w:jc w:val="center"/>
      <w:outlineLvl w:val="5"/>
    </w:pPr>
    <w:rPr>
      <w:b/>
      <w:bCs/>
      <w:sz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58B"/>
    <w:rPr>
      <w:rFonts w:ascii="Times New Roman" w:eastAsia="Times New Roman" w:hAnsi="Times New Roman" w:cs="Times New Roman"/>
      <w:b/>
      <w:bCs/>
      <w:sz w:val="24"/>
      <w:szCs w:val="24"/>
      <w:lang w:val="sq-AL"/>
    </w:rPr>
  </w:style>
  <w:style w:type="character" w:customStyle="1" w:styleId="Heading2Char">
    <w:name w:val="Heading 2 Char"/>
    <w:basedOn w:val="DefaultParagraphFont"/>
    <w:link w:val="Heading2"/>
    <w:uiPriority w:val="9"/>
    <w:rsid w:val="00B06BDA"/>
    <w:rPr>
      <w:rFonts w:asciiTheme="majorHAnsi" w:eastAsiaTheme="majorEastAsia" w:hAnsiTheme="majorHAnsi" w:cstheme="majorBidi"/>
      <w:color w:val="365F91" w:themeColor="accent1" w:themeShade="BF"/>
      <w:sz w:val="26"/>
      <w:szCs w:val="26"/>
      <w:lang w:val="en-GB"/>
    </w:rPr>
  </w:style>
  <w:style w:type="character" w:customStyle="1" w:styleId="Heading4Char">
    <w:name w:val="Heading 4 Char"/>
    <w:basedOn w:val="DefaultParagraphFont"/>
    <w:link w:val="Heading4"/>
    <w:uiPriority w:val="9"/>
    <w:rsid w:val="00D2458B"/>
    <w:rPr>
      <w:rFonts w:ascii="Times New Roman" w:eastAsia="Times New Roman" w:hAnsi="Times New Roman" w:cs="Times New Roman"/>
      <w:b/>
      <w:spacing w:val="100"/>
      <w:sz w:val="28"/>
      <w:szCs w:val="28"/>
      <w:lang w:val="sq-AL"/>
    </w:rPr>
  </w:style>
  <w:style w:type="character" w:customStyle="1" w:styleId="Heading6Char">
    <w:name w:val="Heading 6 Char"/>
    <w:basedOn w:val="DefaultParagraphFont"/>
    <w:link w:val="Heading6"/>
    <w:rsid w:val="00D2458B"/>
    <w:rPr>
      <w:rFonts w:ascii="Times New Roman" w:eastAsia="Times New Roman" w:hAnsi="Times New Roman" w:cs="Times New Roman"/>
      <w:b/>
      <w:bCs/>
      <w:sz w:val="28"/>
      <w:szCs w:val="24"/>
      <w:lang w:val="sq-AL"/>
    </w:rPr>
  </w:style>
  <w:style w:type="paragraph" w:styleId="BodyText">
    <w:name w:val="Body Text"/>
    <w:basedOn w:val="Normal"/>
    <w:link w:val="BodyTextChar"/>
    <w:rsid w:val="00D2458B"/>
    <w:pPr>
      <w:jc w:val="both"/>
    </w:pPr>
  </w:style>
  <w:style w:type="character" w:customStyle="1" w:styleId="BodyTextChar">
    <w:name w:val="Body Text Char"/>
    <w:basedOn w:val="DefaultParagraphFont"/>
    <w:link w:val="BodyText"/>
    <w:rsid w:val="00D2458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44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416"/>
    <w:rPr>
      <w:rFonts w:ascii="Segoe UI" w:eastAsia="Times New Roman" w:hAnsi="Segoe UI" w:cs="Segoe UI"/>
      <w:sz w:val="18"/>
      <w:szCs w:val="18"/>
    </w:rPr>
  </w:style>
  <w:style w:type="paragraph" w:customStyle="1" w:styleId="Heading3">
    <w:name w:val="Heading #3"/>
    <w:basedOn w:val="Normal"/>
    <w:rsid w:val="000335E3"/>
    <w:pPr>
      <w:autoSpaceDE w:val="0"/>
      <w:autoSpaceDN w:val="0"/>
      <w:adjustRightInd w:val="0"/>
      <w:spacing w:after="200" w:line="302" w:lineRule="atLeast"/>
    </w:pPr>
    <w:rPr>
      <w:rFonts w:eastAsiaTheme="minorHAnsi"/>
      <w:b/>
      <w:bCs/>
      <w:color w:val="000000"/>
      <w:sz w:val="22"/>
      <w:szCs w:val="22"/>
      <w:lang w:val="sq-AL"/>
    </w:rPr>
  </w:style>
  <w:style w:type="paragraph" w:customStyle="1" w:styleId="Heading20">
    <w:name w:val="Heading #2"/>
    <w:basedOn w:val="Normal"/>
    <w:uiPriority w:val="99"/>
    <w:rsid w:val="000335E3"/>
    <w:pPr>
      <w:autoSpaceDE w:val="0"/>
      <w:autoSpaceDN w:val="0"/>
      <w:adjustRightInd w:val="0"/>
      <w:spacing w:after="540" w:line="440" w:lineRule="atLeast"/>
      <w:jc w:val="center"/>
    </w:pPr>
    <w:rPr>
      <w:rFonts w:eastAsiaTheme="minorHAnsi"/>
      <w:b/>
      <w:bCs/>
      <w:color w:val="000000"/>
      <w:sz w:val="32"/>
      <w:szCs w:val="32"/>
      <w:lang w:val="sq-AL"/>
    </w:rPr>
  </w:style>
  <w:style w:type="paragraph" w:customStyle="1" w:styleId="Heading10">
    <w:name w:val="Heading #1"/>
    <w:basedOn w:val="Normal"/>
    <w:uiPriority w:val="99"/>
    <w:rsid w:val="000335E3"/>
    <w:pPr>
      <w:autoSpaceDE w:val="0"/>
      <w:autoSpaceDN w:val="0"/>
      <w:adjustRightInd w:val="0"/>
      <w:spacing w:before="480" w:after="200" w:line="552" w:lineRule="atLeast"/>
      <w:jc w:val="center"/>
    </w:pPr>
    <w:rPr>
      <w:rFonts w:eastAsiaTheme="minorHAnsi"/>
      <w:b/>
      <w:bCs/>
      <w:color w:val="000000"/>
      <w:sz w:val="40"/>
      <w:szCs w:val="40"/>
      <w:lang w:val="sq-AL"/>
    </w:rPr>
  </w:style>
  <w:style w:type="paragraph" w:styleId="ListParagraph">
    <w:name w:val="List Paragraph"/>
    <w:aliases w:val="References,List1,1st level - Bullet List Paragraph,Lettre d'introduction,Paragrafo elenco,Normal bullet 2,Medium Grid 1 - Accent 21,FooterText,Bullet list,Bullet List Paragraph,Normal numbered,OBC Bullet,EC,PROVERE 1,6,Liste Paragraf,L,2"/>
    <w:basedOn w:val="Normal"/>
    <w:link w:val="ListParagraphChar"/>
    <w:uiPriority w:val="99"/>
    <w:qFormat/>
    <w:rsid w:val="000335E3"/>
    <w:pPr>
      <w:autoSpaceDE w:val="0"/>
      <w:autoSpaceDN w:val="0"/>
      <w:adjustRightInd w:val="0"/>
      <w:spacing w:after="160" w:line="332" w:lineRule="atLeast"/>
      <w:ind w:left="720"/>
    </w:pPr>
    <w:rPr>
      <w:rFonts w:ascii="Calibri" w:eastAsiaTheme="minorHAnsi" w:hAnsi="Calibri" w:cs="Calibri"/>
      <w:color w:val="000000"/>
      <w:lang w:val="sq-AL"/>
    </w:rPr>
  </w:style>
  <w:style w:type="character" w:customStyle="1" w:styleId="ListParagraphChar">
    <w:name w:val="List Paragraph Char"/>
    <w:aliases w:val="References Char,List1 Char,1st level - Bullet List Paragraph Char,Lettre d'introduction Char,Paragrafo elenco Char,Normal bullet 2 Char,Medium Grid 1 - Accent 21 Char,FooterText Char,Bullet list Char,Bullet List Paragraph Char,6 Char"/>
    <w:link w:val="ListParagraph"/>
    <w:uiPriority w:val="34"/>
    <w:qFormat/>
    <w:rsid w:val="00B06BDA"/>
    <w:rPr>
      <w:rFonts w:ascii="Calibri" w:hAnsi="Calibri" w:cs="Calibri"/>
      <w:color w:val="000000"/>
      <w:sz w:val="24"/>
      <w:szCs w:val="24"/>
      <w:lang w:val="sq-AL"/>
    </w:rPr>
  </w:style>
  <w:style w:type="paragraph" w:customStyle="1" w:styleId="TEKSTIIIII">
    <w:name w:val="TEKSTIIIII"/>
    <w:basedOn w:val="Normal"/>
    <w:qFormat/>
    <w:rsid w:val="000335E3"/>
    <w:pPr>
      <w:ind w:firstLine="284"/>
      <w:jc w:val="both"/>
    </w:pPr>
    <w:rPr>
      <w:rFonts w:ascii="Garamond" w:hAnsi="Garamond"/>
      <w:lang w:val="sq-AL"/>
    </w:rPr>
  </w:style>
  <w:style w:type="character" w:styleId="Hyperlink">
    <w:name w:val="Hyperlink"/>
    <w:basedOn w:val="DefaultParagraphFont"/>
    <w:uiPriority w:val="99"/>
    <w:unhideWhenUsed/>
    <w:rsid w:val="00B06BDA"/>
    <w:rPr>
      <w:color w:val="0000FF" w:themeColor="hyperlink"/>
      <w:u w:val="single"/>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qFormat/>
    <w:rsid w:val="00B06BDA"/>
    <w:pPr>
      <w:jc w:val="both"/>
    </w:pPr>
    <w:rPr>
      <w:sz w:val="20"/>
      <w:szCs w:val="20"/>
      <w:lang w:val="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sid w:val="00B06BDA"/>
    <w:rPr>
      <w:rFonts w:ascii="Times New Roman" w:eastAsia="Times New Roman" w:hAnsi="Times New Roman" w:cs="Times New Roman"/>
      <w:sz w:val="20"/>
      <w:szCs w:val="20"/>
      <w:lang w:val="en-GB"/>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link w:val="BVIfnrChar1"/>
    <w:uiPriority w:val="99"/>
    <w:qFormat/>
    <w:rsid w:val="00B06BDA"/>
    <w:rPr>
      <w:vertAlign w:val="superscript"/>
    </w:rPr>
  </w:style>
  <w:style w:type="paragraph" w:customStyle="1" w:styleId="BVIfnrChar1">
    <w:name w:val="BVI fnr Char1"/>
    <w:aliases w:val="Appel note de bas de p..BVI fnr Car Car Car Car, BVI fnr Car Car,BVI fnr Car, BVI fnr Car Car Car Car, BVI fnr Car Car Car Car Char,Appel note de bas de p..BVI fnr Car Car Car Car1, BVI fnr, BVI fnr Char,Appel note de bas de p."/>
    <w:basedOn w:val="Normal"/>
    <w:link w:val="FootnoteReference"/>
    <w:uiPriority w:val="99"/>
    <w:rsid w:val="00B06BDA"/>
    <w:pPr>
      <w:spacing w:line="240" w:lineRule="exact"/>
      <w:jc w:val="both"/>
    </w:pPr>
    <w:rPr>
      <w:rFonts w:asciiTheme="minorHAnsi" w:eastAsiaTheme="minorHAnsi" w:hAnsiTheme="minorHAnsi" w:cstheme="minorBidi"/>
      <w:sz w:val="22"/>
      <w:szCs w:val="22"/>
      <w:vertAlign w:val="superscript"/>
    </w:rPr>
  </w:style>
  <w:style w:type="paragraph" w:styleId="Header">
    <w:name w:val="header"/>
    <w:basedOn w:val="Normal"/>
    <w:link w:val="HeaderChar"/>
    <w:uiPriority w:val="99"/>
    <w:unhideWhenUsed/>
    <w:rsid w:val="00B06BDA"/>
    <w:pPr>
      <w:tabs>
        <w:tab w:val="center" w:pos="4513"/>
        <w:tab w:val="right" w:pos="9026"/>
      </w:tabs>
    </w:pPr>
    <w:rPr>
      <w:rFonts w:asciiTheme="minorHAnsi" w:eastAsiaTheme="minorEastAsia" w:hAnsiTheme="minorHAnsi" w:cstheme="minorBidi"/>
      <w:sz w:val="22"/>
      <w:szCs w:val="22"/>
      <w:lang w:val="en-GB"/>
    </w:rPr>
  </w:style>
  <w:style w:type="character" w:customStyle="1" w:styleId="HeaderChar">
    <w:name w:val="Header Char"/>
    <w:basedOn w:val="DefaultParagraphFont"/>
    <w:link w:val="Header"/>
    <w:uiPriority w:val="99"/>
    <w:rsid w:val="00B06BDA"/>
    <w:rPr>
      <w:rFonts w:eastAsiaTheme="minorEastAsia"/>
      <w:lang w:val="en-GB"/>
    </w:rPr>
  </w:style>
  <w:style w:type="paragraph" w:styleId="Footer">
    <w:name w:val="footer"/>
    <w:basedOn w:val="Normal"/>
    <w:link w:val="FooterChar"/>
    <w:uiPriority w:val="99"/>
    <w:unhideWhenUsed/>
    <w:rsid w:val="00B06BDA"/>
    <w:pPr>
      <w:tabs>
        <w:tab w:val="center" w:pos="4513"/>
        <w:tab w:val="right" w:pos="9026"/>
      </w:tabs>
    </w:pPr>
    <w:rPr>
      <w:rFonts w:asciiTheme="minorHAnsi" w:eastAsiaTheme="minorEastAsia" w:hAnsiTheme="minorHAnsi" w:cstheme="minorBidi"/>
      <w:sz w:val="22"/>
      <w:szCs w:val="22"/>
      <w:lang w:val="en-GB"/>
    </w:rPr>
  </w:style>
  <w:style w:type="character" w:customStyle="1" w:styleId="FooterChar">
    <w:name w:val="Footer Char"/>
    <w:basedOn w:val="DefaultParagraphFont"/>
    <w:link w:val="Footer"/>
    <w:uiPriority w:val="99"/>
    <w:rsid w:val="00B06BDA"/>
    <w:rPr>
      <w:rFonts w:eastAsiaTheme="minorEastAsia"/>
      <w:lang w:val="en-GB"/>
    </w:rPr>
  </w:style>
  <w:style w:type="paragraph" w:customStyle="1" w:styleId="Text1">
    <w:name w:val="Text 1"/>
    <w:basedOn w:val="Normal"/>
    <w:link w:val="Text1Car"/>
    <w:qFormat/>
    <w:rsid w:val="00B06BDA"/>
    <w:pPr>
      <w:spacing w:before="120" w:after="120"/>
      <w:ind w:left="850"/>
      <w:jc w:val="both"/>
    </w:pPr>
    <w:rPr>
      <w:lang w:val="en-GB"/>
    </w:rPr>
  </w:style>
  <w:style w:type="character" w:customStyle="1" w:styleId="Text1Car">
    <w:name w:val="Text 1 Car"/>
    <w:link w:val="Text1"/>
    <w:rsid w:val="00B06BDA"/>
    <w:rPr>
      <w:rFonts w:ascii="Times New Roman" w:eastAsia="Times New Roman" w:hAnsi="Times New Roman" w:cs="Times New Roman"/>
      <w:sz w:val="24"/>
      <w:szCs w:val="24"/>
      <w:lang w:val="en-GB"/>
    </w:rPr>
  </w:style>
  <w:style w:type="paragraph" w:customStyle="1" w:styleId="Text2">
    <w:name w:val="Text 2"/>
    <w:basedOn w:val="Normal"/>
    <w:link w:val="Text2Char"/>
    <w:qFormat/>
    <w:rsid w:val="00B06BDA"/>
    <w:pPr>
      <w:spacing w:before="120" w:after="120"/>
      <w:ind w:left="850"/>
      <w:jc w:val="both"/>
    </w:pPr>
    <w:rPr>
      <w:lang w:val="en-GB"/>
    </w:rPr>
  </w:style>
  <w:style w:type="character" w:customStyle="1" w:styleId="Text2Char">
    <w:name w:val="Text 2 Char"/>
    <w:link w:val="Text2"/>
    <w:locked/>
    <w:rsid w:val="00B06BDA"/>
    <w:rPr>
      <w:rFonts w:ascii="Times New Roman" w:eastAsia="Times New Roman" w:hAnsi="Times New Roman" w:cs="Times New Roman"/>
      <w:sz w:val="24"/>
      <w:szCs w:val="24"/>
      <w:lang w:val="en-GB"/>
    </w:rPr>
  </w:style>
  <w:style w:type="character" w:styleId="CommentReference">
    <w:name w:val="annotation reference"/>
    <w:qFormat/>
    <w:rsid w:val="00B06BDA"/>
    <w:rPr>
      <w:sz w:val="16"/>
      <w:szCs w:val="16"/>
    </w:rPr>
  </w:style>
  <w:style w:type="character" w:customStyle="1" w:styleId="Marker1">
    <w:name w:val="Marker1"/>
    <w:rsid w:val="00B06BDA"/>
    <w:rPr>
      <w:color w:val="008000"/>
      <w:shd w:val="clear" w:color="auto" w:fill="auto"/>
    </w:rPr>
  </w:style>
  <w:style w:type="paragraph" w:styleId="CommentText">
    <w:name w:val="annotation text"/>
    <w:aliases w:val="Char Char"/>
    <w:basedOn w:val="Normal"/>
    <w:link w:val="CommentTextChar"/>
    <w:uiPriority w:val="99"/>
    <w:qFormat/>
    <w:rsid w:val="00B06BDA"/>
    <w:pPr>
      <w:jc w:val="both"/>
    </w:pPr>
    <w:rPr>
      <w:sz w:val="20"/>
      <w:szCs w:val="20"/>
      <w:lang w:val="en-GB" w:eastAsia="en-GB"/>
    </w:rPr>
  </w:style>
  <w:style w:type="character" w:customStyle="1" w:styleId="CommentTextChar">
    <w:name w:val="Comment Text Char"/>
    <w:aliases w:val="Char Char Char"/>
    <w:basedOn w:val="DefaultParagraphFont"/>
    <w:link w:val="CommentText"/>
    <w:uiPriority w:val="99"/>
    <w:qFormat/>
    <w:rsid w:val="00B06BDA"/>
    <w:rPr>
      <w:rFonts w:ascii="Times New Roman" w:eastAsia="Times New Roman" w:hAnsi="Times New Roman" w:cs="Times New Roman"/>
      <w:sz w:val="20"/>
      <w:szCs w:val="20"/>
      <w:lang w:val="en-GB" w:eastAsia="en-GB"/>
    </w:rPr>
  </w:style>
  <w:style w:type="character" w:customStyle="1" w:styleId="CommentSubjectChar">
    <w:name w:val="Comment Subject Char"/>
    <w:basedOn w:val="CommentTextChar"/>
    <w:link w:val="CommentSubject"/>
    <w:uiPriority w:val="99"/>
    <w:semiHidden/>
    <w:rsid w:val="00B06BDA"/>
    <w:rPr>
      <w:rFonts w:ascii="Times New Roman" w:eastAsia="Times New Roman" w:hAnsi="Times New Roman" w:cs="Times New Roman"/>
      <w:b/>
      <w:bCs/>
      <w:sz w:val="20"/>
      <w:szCs w:val="20"/>
      <w:lang w:val="en-GB" w:eastAsia="en-GB"/>
    </w:rPr>
  </w:style>
  <w:style w:type="paragraph" w:styleId="CommentSubject">
    <w:name w:val="annotation subject"/>
    <w:basedOn w:val="CommentText"/>
    <w:next w:val="CommentText"/>
    <w:link w:val="CommentSubjectChar"/>
    <w:uiPriority w:val="99"/>
    <w:semiHidden/>
    <w:unhideWhenUsed/>
    <w:rsid w:val="00B06BDA"/>
    <w:pPr>
      <w:spacing w:after="160"/>
      <w:jc w:val="left"/>
    </w:pPr>
    <w:rPr>
      <w:rFonts w:asciiTheme="minorHAnsi" w:eastAsiaTheme="minorHAnsi" w:hAnsiTheme="minorHAnsi" w:cstheme="minorBidi"/>
      <w:b/>
      <w:bCs/>
      <w:lang w:val="en-US" w:eastAsia="en-US"/>
    </w:rPr>
  </w:style>
  <w:style w:type="paragraph" w:customStyle="1" w:styleId="Considrant">
    <w:name w:val="Considérant"/>
    <w:basedOn w:val="Normal"/>
    <w:rsid w:val="00B06BDA"/>
    <w:pPr>
      <w:numPr>
        <w:numId w:val="3"/>
      </w:numPr>
      <w:spacing w:before="120" w:after="120"/>
      <w:jc w:val="both"/>
    </w:pPr>
    <w:rPr>
      <w:rFonts w:eastAsiaTheme="minorEastAsia"/>
      <w:szCs w:val="22"/>
      <w:lang w:val="en-GB"/>
    </w:rPr>
  </w:style>
  <w:style w:type="character" w:customStyle="1" w:styleId="Mention1">
    <w:name w:val="Mention1"/>
    <w:basedOn w:val="DefaultParagraphFont"/>
    <w:uiPriority w:val="99"/>
    <w:unhideWhenUsed/>
    <w:rsid w:val="00B06BDA"/>
    <w:rPr>
      <w:color w:val="2B579A"/>
      <w:shd w:val="clear" w:color="auto" w:fill="E1DFDD"/>
    </w:rPr>
  </w:style>
  <w:style w:type="character" w:styleId="BookTitle">
    <w:name w:val="Book Title"/>
    <w:basedOn w:val="DefaultParagraphFont"/>
    <w:uiPriority w:val="33"/>
    <w:qFormat/>
    <w:rsid w:val="00B06BDA"/>
    <w:rPr>
      <w:rFonts w:ascii="Times New Roman" w:hAnsi="Times New Roman"/>
      <w:b w:val="0"/>
      <w:bCs/>
      <w:i w:val="0"/>
      <w:iCs/>
      <w:spacing w:val="5"/>
      <w:sz w:val="18"/>
    </w:rPr>
  </w:style>
  <w:style w:type="character" w:customStyle="1" w:styleId="normaltextrun">
    <w:name w:val="normaltextrun"/>
    <w:basedOn w:val="DefaultParagraphFont"/>
    <w:rsid w:val="00B06BDA"/>
  </w:style>
  <w:style w:type="paragraph" w:customStyle="1" w:styleId="paragraph">
    <w:name w:val="paragraph"/>
    <w:basedOn w:val="Normal"/>
    <w:rsid w:val="00B06BDA"/>
    <w:pPr>
      <w:spacing w:before="100" w:beforeAutospacing="1" w:after="100" w:afterAutospacing="1"/>
    </w:pPr>
    <w:rPr>
      <w:lang w:val="en-IE" w:eastAsia="en-IE"/>
    </w:rPr>
  </w:style>
  <w:style w:type="character" w:customStyle="1" w:styleId="eop">
    <w:name w:val="eop"/>
    <w:basedOn w:val="DefaultParagraphFont"/>
    <w:rsid w:val="00B06BDA"/>
  </w:style>
  <w:style w:type="paragraph" w:customStyle="1" w:styleId="Style2">
    <w:name w:val="Style2"/>
    <w:basedOn w:val="Normal"/>
    <w:link w:val="Style2Char"/>
    <w:qFormat/>
    <w:rsid w:val="00B06BDA"/>
    <w:pPr>
      <w:shd w:val="clear" w:color="auto" w:fill="B6DDE8" w:themeFill="accent5" w:themeFillTint="66"/>
      <w:jc w:val="both"/>
    </w:pPr>
    <w:rPr>
      <w:rFonts w:eastAsiaTheme="minorEastAsia"/>
      <w:sz w:val="20"/>
      <w:szCs w:val="20"/>
      <w:lang w:val="en-GB"/>
    </w:rPr>
  </w:style>
  <w:style w:type="character" w:customStyle="1" w:styleId="Style2Char">
    <w:name w:val="Style2 Char"/>
    <w:basedOn w:val="DefaultParagraphFont"/>
    <w:link w:val="Style2"/>
    <w:rsid w:val="00B06BDA"/>
    <w:rPr>
      <w:rFonts w:ascii="Times New Roman" w:eastAsiaTheme="minorEastAsia" w:hAnsi="Times New Roman" w:cs="Times New Roman"/>
      <w:sz w:val="20"/>
      <w:szCs w:val="20"/>
      <w:shd w:val="clear" w:color="auto" w:fill="B6DDE8" w:themeFill="accent5" w:themeFillTint="66"/>
      <w:lang w:val="en-GB"/>
    </w:rPr>
  </w:style>
  <w:style w:type="paragraph" w:customStyle="1" w:styleId="Style1">
    <w:name w:val="Style1"/>
    <w:basedOn w:val="CommentText"/>
    <w:link w:val="Style1Char"/>
    <w:qFormat/>
    <w:rsid w:val="00B06BDA"/>
    <w:pPr>
      <w:shd w:val="clear" w:color="auto" w:fill="B6DDE8" w:themeFill="accent5" w:themeFillTint="66"/>
    </w:pPr>
  </w:style>
  <w:style w:type="character" w:customStyle="1" w:styleId="Style1Char">
    <w:name w:val="Style1 Char"/>
    <w:basedOn w:val="CommentTextChar"/>
    <w:link w:val="Style1"/>
    <w:rsid w:val="00B06BDA"/>
    <w:rPr>
      <w:rFonts w:ascii="Times New Roman" w:eastAsia="Times New Roman" w:hAnsi="Times New Roman" w:cs="Times New Roman"/>
      <w:sz w:val="20"/>
      <w:szCs w:val="20"/>
      <w:shd w:val="clear" w:color="auto" w:fill="B6DDE8" w:themeFill="accent5" w:themeFillTint="66"/>
      <w:lang w:val="en-GB" w:eastAsia="en-GB"/>
    </w:rPr>
  </w:style>
  <w:style w:type="character" w:customStyle="1" w:styleId="rynqvb">
    <w:name w:val="rynqvb"/>
    <w:basedOn w:val="DefaultParagraphFont"/>
    <w:rsid w:val="00B06BDA"/>
  </w:style>
  <w:style w:type="character" w:customStyle="1" w:styleId="hgkelc">
    <w:name w:val="hgkelc"/>
    <w:basedOn w:val="DefaultParagraphFont"/>
    <w:rsid w:val="00B06BDA"/>
  </w:style>
  <w:style w:type="character" w:styleId="Strong">
    <w:name w:val="Strong"/>
    <w:basedOn w:val="DefaultParagraphFont"/>
    <w:uiPriority w:val="22"/>
    <w:qFormat/>
    <w:rsid w:val="00B06BDA"/>
    <w:rPr>
      <w:b/>
      <w:bCs/>
    </w:rPr>
  </w:style>
  <w:style w:type="paragraph" w:styleId="NormalWeb">
    <w:name w:val="Normal (Web)"/>
    <w:basedOn w:val="Normal"/>
    <w:uiPriority w:val="99"/>
    <w:unhideWhenUsed/>
    <w:rsid w:val="00B06BDA"/>
    <w:pPr>
      <w:spacing w:before="100" w:beforeAutospacing="1" w:after="100" w:afterAutospacing="1"/>
      <w:jc w:val="both"/>
    </w:pPr>
    <w:rPr>
      <w:lang w:val="en-GB" w:eastAsia="en-GB"/>
    </w:rPr>
  </w:style>
  <w:style w:type="character" w:customStyle="1" w:styleId="apple-converted-space">
    <w:name w:val="apple-converted-space"/>
    <w:basedOn w:val="DefaultParagraphFont"/>
    <w:rsid w:val="00B06BDA"/>
  </w:style>
  <w:style w:type="paragraph" w:customStyle="1" w:styleId="Default">
    <w:name w:val="Default"/>
    <w:rsid w:val="00B06BDA"/>
    <w:pPr>
      <w:autoSpaceDE w:val="0"/>
      <w:autoSpaceDN w:val="0"/>
      <w:adjustRightInd w:val="0"/>
      <w:spacing w:after="0" w:line="240" w:lineRule="auto"/>
    </w:pPr>
    <w:rPr>
      <w:rFonts w:ascii="Calibri" w:eastAsia="Times New Roman" w:hAnsi="Calibri" w:cs="Calibri"/>
      <w:color w:val="000000"/>
      <w:sz w:val="24"/>
      <w:szCs w:val="24"/>
      <w:lang w:val="en-GB"/>
    </w:rPr>
  </w:style>
  <w:style w:type="character" w:customStyle="1" w:styleId="Mention2">
    <w:name w:val="Mention2"/>
    <w:basedOn w:val="DefaultParagraphFont"/>
    <w:uiPriority w:val="99"/>
    <w:unhideWhenUsed/>
    <w:rsid w:val="00B06BDA"/>
    <w:rPr>
      <w:color w:val="2B579A"/>
      <w:shd w:val="clear" w:color="auto" w:fill="E1DFDD"/>
    </w:rPr>
  </w:style>
  <w:style w:type="character" w:styleId="Emphasis">
    <w:name w:val="Emphasis"/>
    <w:basedOn w:val="DefaultParagraphFont"/>
    <w:uiPriority w:val="20"/>
    <w:qFormat/>
    <w:rsid w:val="00B06BDA"/>
    <w:rPr>
      <w:i/>
      <w:iCs/>
    </w:rPr>
  </w:style>
  <w:style w:type="paragraph" w:styleId="NoSpacing">
    <w:name w:val="No Spacing"/>
    <w:uiPriority w:val="1"/>
    <w:qFormat/>
    <w:rsid w:val="00B06BDA"/>
    <w:pPr>
      <w:spacing w:after="0" w:line="240" w:lineRule="auto"/>
    </w:pPr>
    <w:rPr>
      <w:rFonts w:eastAsiaTheme="minorEastAsia"/>
      <w:lang w:val="en-GB"/>
    </w:rPr>
  </w:style>
  <w:style w:type="character" w:customStyle="1" w:styleId="Bodytext2">
    <w:name w:val="Body text (2)_"/>
    <w:basedOn w:val="DefaultParagraphFont"/>
    <w:link w:val="Bodytext20"/>
    <w:rsid w:val="00C133F3"/>
    <w:rPr>
      <w:rFonts w:ascii="Times New Roman" w:eastAsia="Times New Roman" w:hAnsi="Times New Roman" w:cs="Times New Roman"/>
      <w:sz w:val="32"/>
      <w:szCs w:val="32"/>
    </w:rPr>
  </w:style>
  <w:style w:type="paragraph" w:customStyle="1" w:styleId="Bodytext20">
    <w:name w:val="Body text (2)"/>
    <w:basedOn w:val="Normal"/>
    <w:link w:val="Bodytext2"/>
    <w:rsid w:val="00C133F3"/>
    <w:pPr>
      <w:widowControl w:val="0"/>
      <w:spacing w:after="650"/>
      <w:jc w:val="center"/>
    </w:pPr>
    <w:rPr>
      <w:sz w:val="32"/>
      <w:szCs w:val="32"/>
    </w:rPr>
  </w:style>
  <w:style w:type="character" w:customStyle="1" w:styleId="Footnote">
    <w:name w:val="Footnote_"/>
    <w:basedOn w:val="DefaultParagraphFont"/>
    <w:rsid w:val="009C68D3"/>
    <w:rPr>
      <w:rFonts w:ascii="Times New Roman" w:eastAsia="Times New Roman" w:hAnsi="Times New Roman" w:cs="Times New Roman"/>
      <w:b w:val="0"/>
      <w:bCs w:val="0"/>
      <w:i w:val="0"/>
      <w:iCs w:val="0"/>
      <w:smallCaps w:val="0"/>
      <w:strike w:val="0"/>
      <w:sz w:val="20"/>
      <w:szCs w:val="20"/>
      <w:u w:val="none"/>
    </w:rPr>
  </w:style>
  <w:style w:type="character" w:styleId="UnresolvedMention">
    <w:name w:val="Unresolved Mention"/>
    <w:basedOn w:val="DefaultParagraphFont"/>
    <w:uiPriority w:val="99"/>
    <w:semiHidden/>
    <w:unhideWhenUsed/>
    <w:rsid w:val="00360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sanctionsmap.eu/" TargetMode="External"/><Relationship Id="rId2" Type="http://schemas.openxmlformats.org/officeDocument/2006/relationships/hyperlink" Target="https://www.consilium.europa.eu/en/press/press-releases/2024/10/15/second-meeting-of-the-accession%20conference-with-albania-at-ministerial-level/" TargetMode="External"/><Relationship Id="rId1"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CEFB713C14F403AAEEEC5FFF56496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735</Nr_x002e__x0020_akti>
    <Data_x0020_e_x0020_Krijimit xmlns="0e656187-b300-4fb0-8bf4-3a50f872073c">2025-12-11T09:22:06Z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2025-12-11T00:00:00Z</Date_x0020_protokolli>
    <Titulli xmlns="0e656187-b300-4fb0-8bf4-3a50f872073c">Për miratimin e marrëveshjes së financimit, ndërmjet Republikës së Shqipërisë, përfaqësuar nga Këshilli i Ministrave i Republikës së Shqipërisë, dhe Komisionit Evropian, për planin shumëvjeçar të veprimit    në favor të Shqipërisë për vitet 2025-2027, në kuadërtë Instrumentit të Asistencës së Paraanëtarësimit              (IPA III) </Titulli>
    <Modifikuesi xmlns="0e656187-b300-4fb0-8bf4-3a50f872073c">alma.lisaku</Modifikuesi>
    <Nr_x002e__x0020_prot_x0020_QBZ xmlns="0e656187-b300-4fb0-8bf4-3a50f872073c">2089</Nr_x002e__x0020_prot_x0020_QBZ>
    <Data_x0020_e_x0020_Modifikimit xmlns="0e656187-b300-4fb0-8bf4-3a50f872073c">2025-12-11T11:46:29Z</Data_x0020_e_x0020_Modifikimit>
    <Dekretuar xmlns="0e656187-b300-4fb0-8bf4-3a50f872073c">false</Dekretuar>
    <Data xmlns="0e656187-b300-4fb0-8bf4-3a50f872073c">2025-12-10T00:00:00Z</Data>
    <Nr_x002e__x0020_protokolli_x0020_i_x0020_aktit xmlns="0e656187-b300-4fb0-8bf4-3a50f872073c">6034/4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CEFB713C14F403AAEEEC5FFF56496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1AE39-B051-46EA-93FB-404724925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F27E52-6F60-4AAE-B2D5-3A4DD9C4EE39}">
  <ds:schemaRefs>
    <ds:schemaRef ds:uri="http://www.w3.org/XML/1998/namespace"/>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8B76833F-620C-4FBC-B117-C9C9BEAD636A}">
  <ds:schemaRefs>
    <ds:schemaRef ds:uri="http://schemas.microsoft.com/sharepoint/v3/contenttype/forms"/>
  </ds:schemaRefs>
</ds:datastoreItem>
</file>

<file path=customXml/itemProps4.xml><?xml version="1.0" encoding="utf-8"?>
<ds:datastoreItem xmlns:ds="http://schemas.openxmlformats.org/officeDocument/2006/customXml" ds:itemID="{FF30A776-82A9-4507-B130-BE5A1337B0BE}">
  <ds:schemaRefs>
    <ds:schemaRef ds:uri="http://schemas.microsoft.com/sharepoint/v3/contenttype/forms"/>
  </ds:schemaRefs>
</ds:datastoreItem>
</file>

<file path=customXml/itemProps5.xml><?xml version="1.0" encoding="utf-8"?>
<ds:datastoreItem xmlns:ds="http://schemas.openxmlformats.org/officeDocument/2006/customXml" ds:itemID="{D579ED2E-4AF2-4ED3-AA00-D52213762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6AE50A8-4C38-4AE1-98BD-8173F12688E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135</TotalTime>
  <Pages>49</Pages>
  <Words>26390</Words>
  <Characters>150424</Characters>
  <Application>Microsoft Office Word</Application>
  <DocSecurity>0</DocSecurity>
  <Lines>1253</Lines>
  <Paragraphs>352</Paragraphs>
  <ScaleCrop>false</ScaleCrop>
  <HeadingPairs>
    <vt:vector size="2" baseType="variant">
      <vt:variant>
        <vt:lpstr>Title</vt:lpstr>
      </vt:variant>
      <vt:variant>
        <vt:i4>1</vt:i4>
      </vt:variant>
    </vt:vector>
  </HeadingPairs>
  <TitlesOfParts>
    <vt:vector size="1" baseType="lpstr">
      <vt:lpstr>Për miratimin e marrëveshjes së financimit, ndërmjet Republikës së Shqipërisë, përfaqësuar nga Këshilli i Ministrave i Republikës së Shqipërisë, dhe Komisionit Evropian, për planin shumëvjeçar të veprimit në favor të Shqipërisë për vitet 2025-2027, në kua</vt:lpstr>
    </vt:vector>
  </TitlesOfParts>
  <Company>MI</Company>
  <LinksUpToDate>false</LinksUpToDate>
  <CharactersWithSpaces>176462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financimit, ndërmjet Republikës së Shqipërisë, përfaqësuar nga Këshilli i Ministrave i Republikës së Shqipërisë, dhe Komisionit Evropian, për planin shumëvjeçar të veprimit në favor të Shqipërisë për vitet 2025-2027, në kuadërtë Instrumentit të Asistencës së Paraanëtarësimit (IPA III)</dc:title>
  <dc:creator>lorela.simoni</dc:creator>
  <cp:lastModifiedBy>Valeta Kaftalli</cp:lastModifiedBy>
  <cp:revision>59</cp:revision>
  <cp:lastPrinted>2025-12-10T15:40:00Z</cp:lastPrinted>
  <dcterms:created xsi:type="dcterms:W3CDTF">2025-12-11T08:29:00Z</dcterms:created>
  <dcterms:modified xsi:type="dcterms:W3CDTF">2025-12-11T11:32:00Z</dcterms:modified>
</cp:coreProperties>
</file>