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F6811" w14:textId="77777777" w:rsidR="003F60B9" w:rsidRPr="00B6793F" w:rsidRDefault="003F60B9" w:rsidP="00805898">
      <w:pPr>
        <w:spacing w:after="0" w:line="240" w:lineRule="auto"/>
        <w:ind w:firstLine="284"/>
        <w:jc w:val="center"/>
        <w:rPr>
          <w:rFonts w:ascii="Garamond" w:hAnsi="Garamond"/>
          <w:b/>
          <w:sz w:val="24"/>
        </w:rPr>
      </w:pPr>
      <w:r w:rsidRPr="00B6793F">
        <w:rPr>
          <w:rFonts w:ascii="Garamond" w:hAnsi="Garamond"/>
          <w:b/>
          <w:sz w:val="24"/>
        </w:rPr>
        <w:t>VENDIM</w:t>
      </w:r>
    </w:p>
    <w:p w14:paraId="2AC654EA" w14:textId="1EF2B10F" w:rsidR="00E57538" w:rsidRPr="00B6793F" w:rsidRDefault="003F60B9" w:rsidP="00805898">
      <w:pPr>
        <w:spacing w:after="0" w:line="240" w:lineRule="auto"/>
        <w:ind w:firstLine="284"/>
        <w:jc w:val="center"/>
        <w:rPr>
          <w:rFonts w:ascii="Garamond" w:hAnsi="Garamond"/>
          <w:b/>
          <w:sz w:val="24"/>
        </w:rPr>
      </w:pPr>
      <w:r w:rsidRPr="00B6793F">
        <w:rPr>
          <w:rFonts w:ascii="Garamond" w:hAnsi="Garamond"/>
          <w:b/>
          <w:sz w:val="24"/>
        </w:rPr>
        <w:t>Nr</w:t>
      </w:r>
      <w:r w:rsidR="00B76D08" w:rsidRPr="00B6793F">
        <w:rPr>
          <w:rFonts w:ascii="Garamond" w:hAnsi="Garamond"/>
          <w:b/>
          <w:sz w:val="24"/>
        </w:rPr>
        <w:t>.</w:t>
      </w:r>
      <w:r w:rsidR="00B6793F">
        <w:rPr>
          <w:rFonts w:ascii="Garamond" w:hAnsi="Garamond"/>
          <w:b/>
          <w:sz w:val="24"/>
        </w:rPr>
        <w:t xml:space="preserve"> </w:t>
      </w:r>
      <w:r w:rsidR="00B76D08" w:rsidRPr="00B6793F">
        <w:rPr>
          <w:rFonts w:ascii="Garamond" w:hAnsi="Garamond"/>
          <w:b/>
          <w:sz w:val="24"/>
        </w:rPr>
        <w:t>812, dat</w:t>
      </w:r>
      <w:r w:rsidR="00B6793F">
        <w:rPr>
          <w:rFonts w:ascii="Garamond" w:hAnsi="Garamond"/>
          <w:b/>
          <w:sz w:val="24"/>
        </w:rPr>
        <w:t>ë</w:t>
      </w:r>
      <w:bookmarkStart w:id="0" w:name="_GoBack"/>
      <w:bookmarkEnd w:id="0"/>
      <w:r w:rsidR="00B76D08" w:rsidRPr="00B6793F">
        <w:rPr>
          <w:rFonts w:ascii="Garamond" w:hAnsi="Garamond"/>
          <w:b/>
          <w:sz w:val="24"/>
        </w:rPr>
        <w:t xml:space="preserve"> 30.12.2025</w:t>
      </w:r>
    </w:p>
    <w:p w14:paraId="38255CEF" w14:textId="0C6B0E20" w:rsidR="00A12A77" w:rsidRPr="00B6793F" w:rsidRDefault="00A12A77" w:rsidP="00805898">
      <w:pPr>
        <w:spacing w:after="0" w:line="240" w:lineRule="auto"/>
        <w:ind w:firstLine="284"/>
        <w:jc w:val="center"/>
        <w:rPr>
          <w:rFonts w:ascii="Garamond" w:hAnsi="Garamond"/>
          <w:b/>
          <w:sz w:val="24"/>
        </w:rPr>
      </w:pPr>
    </w:p>
    <w:p w14:paraId="4601392C" w14:textId="2E7A33CB" w:rsidR="00805898" w:rsidRPr="00B6793F" w:rsidRDefault="00805898" w:rsidP="00805898">
      <w:pPr>
        <w:spacing w:after="0" w:line="240" w:lineRule="auto"/>
        <w:ind w:firstLine="284"/>
        <w:jc w:val="center"/>
        <w:rPr>
          <w:rFonts w:ascii="Garamond" w:hAnsi="Garamond"/>
          <w:b/>
          <w:sz w:val="24"/>
        </w:rPr>
      </w:pPr>
      <w:r w:rsidRPr="00B6793F">
        <w:rPr>
          <w:rFonts w:ascii="Garamond" w:hAnsi="Garamond"/>
          <w:b/>
          <w:sz w:val="24"/>
        </w:rPr>
        <w:t>PËR MIRATIMIN E PROGRAMIT TË PËRGJITHSHËM ANALITIK  TË PROJEKTAKTEVE, QË DO TË PARAQITEN PËR SHQYRTIM  NË KËSHILLIN E MINISTRAVE GJATË VITIT 2026</w:t>
      </w:r>
    </w:p>
    <w:p w14:paraId="37FB355C" w14:textId="77777777" w:rsidR="00805898" w:rsidRPr="00B6793F" w:rsidRDefault="00805898" w:rsidP="00805898">
      <w:pPr>
        <w:spacing w:after="0" w:line="240" w:lineRule="auto"/>
        <w:ind w:firstLine="284"/>
        <w:jc w:val="center"/>
        <w:rPr>
          <w:rFonts w:ascii="Garamond" w:hAnsi="Garamond"/>
          <w:b/>
          <w:sz w:val="24"/>
        </w:rPr>
      </w:pPr>
    </w:p>
    <w:p w14:paraId="3B3AE53C" w14:textId="0DB22570" w:rsidR="00805898" w:rsidRPr="00B6793F" w:rsidRDefault="00805898" w:rsidP="00805898">
      <w:pPr>
        <w:spacing w:after="0" w:line="240" w:lineRule="auto"/>
        <w:ind w:firstLine="284"/>
        <w:jc w:val="both"/>
        <w:rPr>
          <w:rFonts w:ascii="Garamond" w:hAnsi="Garamond"/>
          <w:sz w:val="24"/>
        </w:rPr>
      </w:pPr>
      <w:r w:rsidRPr="00B6793F">
        <w:rPr>
          <w:rFonts w:ascii="Garamond" w:hAnsi="Garamond"/>
          <w:sz w:val="24"/>
        </w:rPr>
        <w:t>Në mbështetje të nenit 100 të Kushtetutës dhe të nenit 27, të ligjit nr.</w:t>
      </w:r>
      <w:r w:rsidR="00B6793F">
        <w:rPr>
          <w:rFonts w:ascii="Garamond" w:hAnsi="Garamond"/>
          <w:sz w:val="24"/>
        </w:rPr>
        <w:t xml:space="preserve"> </w:t>
      </w:r>
      <w:r w:rsidRPr="00B6793F">
        <w:rPr>
          <w:rFonts w:ascii="Garamond" w:hAnsi="Garamond"/>
          <w:sz w:val="24"/>
        </w:rPr>
        <w:t xml:space="preserve">9000, datë 30.1.2003, “Për organizimin dhe funksionimin e Këshillit të Ministrave”, me propozimin e Kryeministrit, Këshilli i Ministrave </w:t>
      </w:r>
    </w:p>
    <w:p w14:paraId="08279D10" w14:textId="77777777" w:rsidR="00805898" w:rsidRPr="00B6793F" w:rsidRDefault="00805898" w:rsidP="00805898">
      <w:pPr>
        <w:spacing w:after="0" w:line="240" w:lineRule="auto"/>
        <w:ind w:firstLine="284"/>
        <w:jc w:val="both"/>
        <w:rPr>
          <w:rFonts w:ascii="Garamond" w:hAnsi="Garamond"/>
          <w:sz w:val="24"/>
        </w:rPr>
      </w:pPr>
    </w:p>
    <w:p w14:paraId="72C11B8B" w14:textId="0A655E7A" w:rsidR="00805898" w:rsidRPr="00B6793F" w:rsidRDefault="00805898" w:rsidP="00805898">
      <w:pPr>
        <w:spacing w:after="0" w:line="240" w:lineRule="auto"/>
        <w:ind w:firstLine="284"/>
        <w:jc w:val="center"/>
        <w:rPr>
          <w:rFonts w:ascii="Garamond" w:hAnsi="Garamond"/>
          <w:sz w:val="24"/>
        </w:rPr>
      </w:pPr>
      <w:r w:rsidRPr="00B6793F">
        <w:rPr>
          <w:rFonts w:ascii="Garamond" w:hAnsi="Garamond"/>
          <w:sz w:val="24"/>
        </w:rPr>
        <w:t>VENDOSI:</w:t>
      </w:r>
    </w:p>
    <w:p w14:paraId="754A8E31" w14:textId="77777777" w:rsidR="00805898" w:rsidRPr="00B6793F" w:rsidRDefault="00805898" w:rsidP="00805898">
      <w:pPr>
        <w:spacing w:after="0" w:line="240" w:lineRule="auto"/>
        <w:ind w:firstLine="284"/>
        <w:jc w:val="both"/>
        <w:rPr>
          <w:rFonts w:ascii="Garamond" w:hAnsi="Garamond"/>
          <w:sz w:val="24"/>
        </w:rPr>
      </w:pPr>
    </w:p>
    <w:p w14:paraId="08E684E0" w14:textId="77777777" w:rsidR="00805898" w:rsidRPr="00B6793F" w:rsidRDefault="00805898" w:rsidP="00805898">
      <w:pPr>
        <w:spacing w:after="0" w:line="240" w:lineRule="auto"/>
        <w:ind w:firstLine="284"/>
        <w:jc w:val="both"/>
        <w:rPr>
          <w:rFonts w:ascii="Garamond" w:hAnsi="Garamond"/>
          <w:sz w:val="24"/>
        </w:rPr>
      </w:pPr>
      <w:r w:rsidRPr="00B6793F">
        <w:rPr>
          <w:rFonts w:ascii="Garamond" w:hAnsi="Garamond"/>
          <w:sz w:val="24"/>
        </w:rPr>
        <w:t>Miratimin e programit të përgjithshëm analitik të projektakteve, që do të paraqiten për shqyrtim në Këshillin e Ministrave gjatë vitit 2026, sipas tabelave që i bashkëlidhen këtij vendimi.</w:t>
      </w:r>
    </w:p>
    <w:p w14:paraId="52FE43C6" w14:textId="4B432346" w:rsidR="00805898" w:rsidRPr="00B6793F" w:rsidRDefault="00805898" w:rsidP="00805898">
      <w:pPr>
        <w:spacing w:after="0" w:line="240" w:lineRule="auto"/>
        <w:ind w:firstLine="284"/>
        <w:jc w:val="both"/>
        <w:rPr>
          <w:rFonts w:ascii="Garamond" w:hAnsi="Garamond"/>
          <w:sz w:val="24"/>
        </w:rPr>
      </w:pPr>
      <w:r w:rsidRPr="00B6793F">
        <w:rPr>
          <w:rFonts w:ascii="Garamond" w:hAnsi="Garamond"/>
          <w:sz w:val="24"/>
        </w:rPr>
        <w:t>Ky vendim hyn në fuqi menjëherë dhe botohet në Fletoren Zyrtare.</w:t>
      </w:r>
    </w:p>
    <w:p w14:paraId="7F7ADFC4" w14:textId="77777777" w:rsidR="00805898" w:rsidRPr="00B6793F" w:rsidRDefault="00805898" w:rsidP="00805898">
      <w:pPr>
        <w:spacing w:after="0" w:line="240" w:lineRule="auto"/>
        <w:ind w:firstLine="284"/>
        <w:jc w:val="both"/>
        <w:rPr>
          <w:rFonts w:ascii="Garamond" w:hAnsi="Garamond"/>
          <w:sz w:val="24"/>
        </w:rPr>
      </w:pPr>
    </w:p>
    <w:p w14:paraId="27E75512" w14:textId="2A799065" w:rsidR="00805898" w:rsidRPr="00B6793F" w:rsidRDefault="00805898" w:rsidP="00805898">
      <w:pPr>
        <w:spacing w:after="0" w:line="240" w:lineRule="auto"/>
        <w:ind w:firstLine="284"/>
        <w:jc w:val="right"/>
        <w:rPr>
          <w:rFonts w:ascii="Garamond" w:hAnsi="Garamond"/>
          <w:sz w:val="24"/>
        </w:rPr>
      </w:pPr>
      <w:r w:rsidRPr="00B6793F">
        <w:rPr>
          <w:rFonts w:ascii="Garamond" w:hAnsi="Garamond"/>
          <w:sz w:val="24"/>
        </w:rPr>
        <w:t xml:space="preserve">KRYEMINISTËR </w:t>
      </w:r>
    </w:p>
    <w:p w14:paraId="0209982D" w14:textId="6FEF2A1B" w:rsidR="00A12A77" w:rsidRPr="00B6793F" w:rsidRDefault="00805898" w:rsidP="00805898">
      <w:pPr>
        <w:spacing w:after="0" w:line="240" w:lineRule="auto"/>
        <w:ind w:firstLine="284"/>
        <w:jc w:val="right"/>
        <w:rPr>
          <w:rFonts w:ascii="Garamond" w:hAnsi="Garamond"/>
          <w:b/>
          <w:sz w:val="24"/>
        </w:rPr>
      </w:pPr>
      <w:r w:rsidRPr="00B6793F">
        <w:rPr>
          <w:rFonts w:ascii="Garamond" w:hAnsi="Garamond"/>
          <w:b/>
          <w:sz w:val="24"/>
        </w:rPr>
        <w:t>Edi Rama</w:t>
      </w:r>
    </w:p>
    <w:p w14:paraId="452F4A1D" w14:textId="423B2190" w:rsidR="00AC5BDD" w:rsidRPr="00B6793F" w:rsidRDefault="00AC5BDD" w:rsidP="00805898">
      <w:pPr>
        <w:spacing w:after="0" w:line="240" w:lineRule="auto"/>
        <w:ind w:firstLine="284"/>
        <w:jc w:val="right"/>
        <w:rPr>
          <w:rFonts w:ascii="Garamond" w:hAnsi="Garamond"/>
          <w:b/>
          <w:sz w:val="24"/>
        </w:rPr>
      </w:pPr>
    </w:p>
    <w:p w14:paraId="718361C8" w14:textId="584B3901" w:rsidR="00AC5BDD" w:rsidRPr="00B6793F" w:rsidRDefault="00AC5BDD" w:rsidP="00AC5BDD">
      <w:pPr>
        <w:spacing w:after="0" w:line="240" w:lineRule="auto"/>
        <w:ind w:firstLine="284"/>
        <w:jc w:val="both"/>
        <w:rPr>
          <w:rFonts w:ascii="Garamond" w:hAnsi="Garamond"/>
          <w:b/>
          <w:sz w:val="24"/>
        </w:rPr>
      </w:pPr>
    </w:p>
    <w:p w14:paraId="58D6C53C" w14:textId="425981E3" w:rsidR="00AC5BDD" w:rsidRPr="00B6793F" w:rsidRDefault="00AC5BDD" w:rsidP="00AC5BDD">
      <w:pPr>
        <w:spacing w:after="0" w:line="240" w:lineRule="auto"/>
        <w:ind w:firstLine="284"/>
        <w:jc w:val="both"/>
        <w:rPr>
          <w:rFonts w:ascii="Garamond" w:hAnsi="Garamond"/>
          <w:b/>
          <w:sz w:val="24"/>
        </w:rPr>
      </w:pPr>
    </w:p>
    <w:p w14:paraId="7ED8BB4D" w14:textId="5B967102" w:rsidR="00AC5BDD" w:rsidRPr="00B6793F" w:rsidRDefault="00AC5BDD" w:rsidP="00AC5BDD">
      <w:pPr>
        <w:spacing w:after="0" w:line="240" w:lineRule="auto"/>
        <w:ind w:firstLine="284"/>
        <w:jc w:val="both"/>
        <w:rPr>
          <w:rFonts w:ascii="Garamond" w:hAnsi="Garamond"/>
          <w:b/>
          <w:sz w:val="24"/>
        </w:rPr>
      </w:pPr>
    </w:p>
    <w:p w14:paraId="357A3344" w14:textId="2C0D93DE" w:rsidR="00AC5BDD" w:rsidRPr="00B6793F" w:rsidRDefault="00AC5BDD" w:rsidP="00AC5BDD">
      <w:pPr>
        <w:spacing w:after="0" w:line="240" w:lineRule="auto"/>
        <w:ind w:firstLine="284"/>
        <w:jc w:val="both"/>
        <w:rPr>
          <w:rFonts w:ascii="Garamond" w:hAnsi="Garamond"/>
          <w:b/>
          <w:sz w:val="24"/>
        </w:rPr>
      </w:pPr>
    </w:p>
    <w:p w14:paraId="1FEE6F29" w14:textId="192B44A0" w:rsidR="00AC5BDD" w:rsidRPr="00B6793F" w:rsidRDefault="00AC5BDD" w:rsidP="00AC5BDD">
      <w:pPr>
        <w:spacing w:after="0" w:line="240" w:lineRule="auto"/>
        <w:ind w:firstLine="284"/>
        <w:jc w:val="both"/>
        <w:rPr>
          <w:rFonts w:ascii="Garamond" w:hAnsi="Garamond"/>
          <w:b/>
          <w:sz w:val="24"/>
        </w:rPr>
      </w:pPr>
    </w:p>
    <w:p w14:paraId="18A9E0CA" w14:textId="77777777" w:rsidR="00AC5BDD" w:rsidRPr="00B6793F" w:rsidRDefault="00AC5BDD" w:rsidP="00AC5BDD">
      <w:pPr>
        <w:spacing w:after="0" w:line="240" w:lineRule="auto"/>
        <w:ind w:firstLine="284"/>
        <w:jc w:val="both"/>
        <w:rPr>
          <w:rFonts w:ascii="Garamond" w:hAnsi="Garamond"/>
          <w:b/>
          <w:sz w:val="24"/>
        </w:rPr>
        <w:sectPr w:rsidR="00AC5BDD" w:rsidRPr="00B6793F">
          <w:pgSz w:w="11906" w:h="16838"/>
          <w:pgMar w:top="1440" w:right="1440" w:bottom="1440" w:left="1440" w:header="720" w:footer="720" w:gutter="0"/>
          <w:cols w:space="720"/>
          <w:docGrid w:linePitch="360"/>
        </w:sectPr>
      </w:pPr>
    </w:p>
    <w:p w14:paraId="2BF4619A" w14:textId="0E5FB367" w:rsidR="00AC5BDD" w:rsidRPr="00B6793F" w:rsidRDefault="00AC5BDD" w:rsidP="00AC5BDD">
      <w:pPr>
        <w:spacing w:after="0" w:line="240" w:lineRule="auto"/>
        <w:ind w:firstLine="284"/>
        <w:jc w:val="center"/>
        <w:rPr>
          <w:rFonts w:ascii="Garamond" w:hAnsi="Garamond"/>
          <w:b/>
          <w:sz w:val="16"/>
        </w:rPr>
      </w:pPr>
      <w:r w:rsidRPr="00B6793F">
        <w:rPr>
          <w:rFonts w:ascii="Garamond" w:hAnsi="Garamond"/>
          <w:b/>
          <w:sz w:val="16"/>
        </w:rPr>
        <w:lastRenderedPageBreak/>
        <w:t>PROGRAMI I PËRGJITHSHËM ANALITIK I PROJEKTAKTEVE PËR VITIN 2026</w:t>
      </w:r>
    </w:p>
    <w:tbl>
      <w:tblPr>
        <w:tblW w:w="5000" w:type="pct"/>
        <w:jc w:val="center"/>
        <w:tblLook w:val="04A0" w:firstRow="1" w:lastRow="0" w:firstColumn="1" w:lastColumn="0" w:noHBand="0" w:noVBand="1"/>
      </w:tblPr>
      <w:tblGrid>
        <w:gridCol w:w="328"/>
        <w:gridCol w:w="1180"/>
        <w:gridCol w:w="728"/>
        <w:gridCol w:w="1043"/>
        <w:gridCol w:w="692"/>
        <w:gridCol w:w="1572"/>
        <w:gridCol w:w="1678"/>
        <w:gridCol w:w="1678"/>
        <w:gridCol w:w="1583"/>
        <w:gridCol w:w="1184"/>
        <w:gridCol w:w="1206"/>
        <w:gridCol w:w="1086"/>
      </w:tblGrid>
      <w:tr w:rsidR="00F930D8" w:rsidRPr="00B6793F" w14:paraId="659E8CF1" w14:textId="77777777" w:rsidTr="00F930D8">
        <w:trPr>
          <w:trHeight w:val="180"/>
          <w:jc w:val="center"/>
        </w:trPr>
        <w:tc>
          <w:tcPr>
            <w:tcW w:w="5000" w:type="pct"/>
            <w:gridSpan w:val="12"/>
            <w:tcBorders>
              <w:top w:val="nil"/>
              <w:left w:val="nil"/>
              <w:bottom w:val="nil"/>
            </w:tcBorders>
            <w:shd w:val="clear" w:color="auto" w:fill="auto"/>
            <w:vAlign w:val="center"/>
            <w:hideMark/>
          </w:tcPr>
          <w:p w14:paraId="07EE8CDC" w14:textId="7547DC88" w:rsidR="00F930D8" w:rsidRPr="00B6793F" w:rsidRDefault="00F930D8" w:rsidP="00F930D8">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12"/>
                <w:szCs w:val="8"/>
                <w:lang w:eastAsia="sq-AL"/>
              </w:rPr>
              <w:t>KRYEMINISTRI/ZV.KRYEMINISTRI</w:t>
            </w:r>
          </w:p>
        </w:tc>
      </w:tr>
      <w:tr w:rsidR="00973AA3" w:rsidRPr="00B6793F" w14:paraId="4A22B296" w14:textId="77777777" w:rsidTr="00DC3C27">
        <w:trPr>
          <w:trHeight w:val="180"/>
          <w:jc w:val="center"/>
        </w:trPr>
        <w:tc>
          <w:tcPr>
            <w:tcW w:w="117"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0E91DC29"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423" w:type="pct"/>
            <w:tcBorders>
              <w:top w:val="single" w:sz="4" w:space="0" w:color="auto"/>
              <w:left w:val="nil"/>
              <w:bottom w:val="single" w:sz="4" w:space="0" w:color="auto"/>
              <w:right w:val="single" w:sz="4" w:space="0" w:color="auto"/>
            </w:tcBorders>
            <w:shd w:val="clear" w:color="000000" w:fill="C00000"/>
            <w:vAlign w:val="center"/>
            <w:hideMark/>
          </w:tcPr>
          <w:p w14:paraId="0CB7C5DF"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261" w:type="pct"/>
            <w:tcBorders>
              <w:top w:val="single" w:sz="4" w:space="0" w:color="auto"/>
              <w:left w:val="nil"/>
              <w:bottom w:val="single" w:sz="4" w:space="0" w:color="auto"/>
              <w:right w:val="single" w:sz="4" w:space="0" w:color="auto"/>
            </w:tcBorders>
            <w:shd w:val="clear" w:color="000000" w:fill="C00000"/>
            <w:vAlign w:val="center"/>
            <w:hideMark/>
          </w:tcPr>
          <w:p w14:paraId="012EBF9A"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74" w:type="pct"/>
            <w:tcBorders>
              <w:top w:val="single" w:sz="4" w:space="0" w:color="auto"/>
              <w:left w:val="nil"/>
              <w:bottom w:val="single" w:sz="4" w:space="0" w:color="auto"/>
              <w:right w:val="single" w:sz="4" w:space="0" w:color="auto"/>
            </w:tcBorders>
            <w:shd w:val="clear" w:color="000000" w:fill="C00000"/>
            <w:vAlign w:val="center"/>
            <w:hideMark/>
          </w:tcPr>
          <w:p w14:paraId="79792446"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248" w:type="pct"/>
            <w:tcBorders>
              <w:top w:val="single" w:sz="4" w:space="0" w:color="auto"/>
              <w:left w:val="nil"/>
              <w:bottom w:val="single" w:sz="4" w:space="0" w:color="auto"/>
              <w:right w:val="single" w:sz="4" w:space="0" w:color="auto"/>
            </w:tcBorders>
            <w:shd w:val="clear" w:color="000000" w:fill="C00000"/>
            <w:vAlign w:val="center"/>
            <w:hideMark/>
          </w:tcPr>
          <w:p w14:paraId="37718D83"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563" w:type="pct"/>
            <w:tcBorders>
              <w:top w:val="single" w:sz="4" w:space="0" w:color="auto"/>
              <w:left w:val="nil"/>
              <w:bottom w:val="single" w:sz="4" w:space="0" w:color="auto"/>
              <w:right w:val="single" w:sz="4" w:space="0" w:color="auto"/>
            </w:tcBorders>
            <w:shd w:val="clear" w:color="000000" w:fill="C00000"/>
            <w:vAlign w:val="center"/>
            <w:hideMark/>
          </w:tcPr>
          <w:p w14:paraId="1A4EB82E"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601" w:type="pct"/>
            <w:tcBorders>
              <w:top w:val="single" w:sz="4" w:space="0" w:color="auto"/>
              <w:left w:val="nil"/>
              <w:bottom w:val="single" w:sz="4" w:space="0" w:color="auto"/>
              <w:right w:val="single" w:sz="4" w:space="0" w:color="auto"/>
            </w:tcBorders>
            <w:shd w:val="clear" w:color="000000" w:fill="C00000"/>
            <w:vAlign w:val="center"/>
            <w:hideMark/>
          </w:tcPr>
          <w:p w14:paraId="58FC6B2A"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601" w:type="pct"/>
            <w:tcBorders>
              <w:top w:val="single" w:sz="4" w:space="0" w:color="auto"/>
              <w:left w:val="nil"/>
              <w:bottom w:val="single" w:sz="4" w:space="0" w:color="auto"/>
              <w:right w:val="single" w:sz="4" w:space="0" w:color="auto"/>
            </w:tcBorders>
            <w:shd w:val="clear" w:color="000000" w:fill="C00000"/>
            <w:vAlign w:val="center"/>
            <w:hideMark/>
          </w:tcPr>
          <w:p w14:paraId="66A81BC6"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567" w:type="pct"/>
            <w:tcBorders>
              <w:top w:val="single" w:sz="4" w:space="0" w:color="auto"/>
              <w:left w:val="nil"/>
              <w:bottom w:val="single" w:sz="4" w:space="0" w:color="auto"/>
              <w:right w:val="single" w:sz="4" w:space="0" w:color="auto"/>
            </w:tcBorders>
            <w:shd w:val="clear" w:color="000000" w:fill="C00000"/>
            <w:vAlign w:val="center"/>
            <w:hideMark/>
          </w:tcPr>
          <w:p w14:paraId="5A3E5BE3"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424" w:type="pct"/>
            <w:tcBorders>
              <w:top w:val="single" w:sz="4" w:space="0" w:color="auto"/>
              <w:left w:val="nil"/>
              <w:bottom w:val="single" w:sz="4" w:space="0" w:color="auto"/>
              <w:right w:val="single" w:sz="4" w:space="0" w:color="auto"/>
            </w:tcBorders>
            <w:shd w:val="clear" w:color="000000" w:fill="C00000"/>
            <w:vAlign w:val="center"/>
            <w:hideMark/>
          </w:tcPr>
          <w:p w14:paraId="2557EEF4"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432" w:type="pct"/>
            <w:tcBorders>
              <w:top w:val="single" w:sz="4" w:space="0" w:color="auto"/>
              <w:left w:val="nil"/>
              <w:bottom w:val="single" w:sz="4" w:space="0" w:color="auto"/>
              <w:right w:val="single" w:sz="4" w:space="0" w:color="auto"/>
            </w:tcBorders>
            <w:shd w:val="clear" w:color="000000" w:fill="C00000"/>
            <w:vAlign w:val="center"/>
            <w:hideMark/>
          </w:tcPr>
          <w:p w14:paraId="3976D82A"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389" w:type="pct"/>
            <w:tcBorders>
              <w:top w:val="single" w:sz="4" w:space="0" w:color="auto"/>
              <w:left w:val="nil"/>
              <w:bottom w:val="single" w:sz="4" w:space="0" w:color="auto"/>
              <w:right w:val="single" w:sz="4" w:space="0" w:color="auto"/>
            </w:tcBorders>
            <w:shd w:val="clear" w:color="000000" w:fill="C00000"/>
            <w:vAlign w:val="center"/>
            <w:hideMark/>
          </w:tcPr>
          <w:p w14:paraId="1F4F8EB7" w14:textId="77777777" w:rsidR="00AC5BDD" w:rsidRPr="00B6793F" w:rsidRDefault="00AC5BDD" w:rsidP="00AC5BD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973AA3" w:rsidRPr="00B6793F" w14:paraId="10DA9F88"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029EF7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23" w:type="pct"/>
            <w:tcBorders>
              <w:top w:val="nil"/>
              <w:left w:val="nil"/>
              <w:bottom w:val="single" w:sz="4" w:space="0" w:color="auto"/>
              <w:right w:val="single" w:sz="4" w:space="0" w:color="auto"/>
            </w:tcBorders>
            <w:shd w:val="clear" w:color="auto" w:fill="auto"/>
            <w:vAlign w:val="center"/>
            <w:hideMark/>
          </w:tcPr>
          <w:p w14:paraId="53D5AE2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 10/2023 "Për informacionin e klasifikuar"</w:t>
            </w:r>
          </w:p>
        </w:tc>
        <w:tc>
          <w:tcPr>
            <w:tcW w:w="261" w:type="pct"/>
            <w:tcBorders>
              <w:top w:val="nil"/>
              <w:left w:val="nil"/>
              <w:bottom w:val="single" w:sz="4" w:space="0" w:color="auto"/>
              <w:right w:val="single" w:sz="4" w:space="0" w:color="auto"/>
            </w:tcBorders>
            <w:shd w:val="clear" w:color="auto" w:fill="auto"/>
            <w:vAlign w:val="center"/>
            <w:hideMark/>
          </w:tcPr>
          <w:p w14:paraId="4787184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74" w:type="pct"/>
            <w:tcBorders>
              <w:top w:val="nil"/>
              <w:left w:val="nil"/>
              <w:bottom w:val="single" w:sz="4" w:space="0" w:color="auto"/>
              <w:right w:val="single" w:sz="4" w:space="0" w:color="auto"/>
            </w:tcBorders>
            <w:shd w:val="clear" w:color="auto" w:fill="auto"/>
            <w:vAlign w:val="center"/>
            <w:hideMark/>
          </w:tcPr>
          <w:p w14:paraId="24BA931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(AKSIK)</w:t>
            </w:r>
          </w:p>
        </w:tc>
        <w:tc>
          <w:tcPr>
            <w:tcW w:w="248" w:type="pct"/>
            <w:tcBorders>
              <w:top w:val="nil"/>
              <w:left w:val="nil"/>
              <w:bottom w:val="single" w:sz="4" w:space="0" w:color="auto"/>
              <w:right w:val="single" w:sz="4" w:space="0" w:color="auto"/>
            </w:tcBorders>
            <w:shd w:val="clear" w:color="auto" w:fill="auto"/>
            <w:vAlign w:val="center"/>
            <w:hideMark/>
          </w:tcPr>
          <w:p w14:paraId="24AA920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63" w:type="pct"/>
            <w:tcBorders>
              <w:top w:val="nil"/>
              <w:left w:val="nil"/>
              <w:bottom w:val="single" w:sz="4" w:space="0" w:color="auto"/>
              <w:right w:val="single" w:sz="4" w:space="0" w:color="auto"/>
            </w:tcBorders>
            <w:shd w:val="clear" w:color="auto" w:fill="auto"/>
            <w:vAlign w:val="center"/>
            <w:hideMark/>
          </w:tcPr>
          <w:p w14:paraId="3EB1163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1.Në funksion të sigurisë dhe të punës me informacionin e klasifikuar.                                                                                                                                                                                                                                                                                                                                                                                                                                                                                              2. Si rezultat i problematikave të hasura gjatë punës me informacionin e klasifikuar, të evidentuara nga institucionet të cilat prodhojnë, ruajnë apo përpunojnë informacion të kalsifikuar.</w:t>
            </w:r>
          </w:p>
        </w:tc>
        <w:tc>
          <w:tcPr>
            <w:tcW w:w="601" w:type="pct"/>
            <w:tcBorders>
              <w:top w:val="nil"/>
              <w:left w:val="nil"/>
              <w:bottom w:val="single" w:sz="4" w:space="0" w:color="auto"/>
              <w:right w:val="single" w:sz="4" w:space="0" w:color="auto"/>
            </w:tcBorders>
            <w:shd w:val="clear" w:color="auto" w:fill="auto"/>
            <w:vAlign w:val="center"/>
            <w:hideMark/>
          </w:tcPr>
          <w:p w14:paraId="7E86B17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1.Rritje e standardeve që garantojnë sigurinë e informacionit të klasifikuar, gjatë procesit  të administrimit dhe mbikëqyrjes së tij.     </w:t>
            </w:r>
          </w:p>
          <w:p w14:paraId="003D7EFE" w14:textId="266EC3D0"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2. Përmirësim i punës me informacionin e klasifikuar.     </w:t>
            </w:r>
          </w:p>
          <w:p w14:paraId="4468D0CA" w14:textId="041EA363"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3.Përcaktim i aktit nënligjor që rregullon  kryerjen e trajnimeve, për personelin që punon me informacionin e klasifikuar.</w:t>
            </w:r>
          </w:p>
          <w:p w14:paraId="2AAE4FF7" w14:textId="6F950EE1"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sz w:val="8"/>
                <w:szCs w:val="8"/>
                <w:lang w:eastAsia="sq-AL"/>
              </w:rPr>
              <w:t>4.Mbikëqyrja e masave të sigurisë. Rregullim i kuadrit ligjor për</w:t>
            </w:r>
            <w:r w:rsidRPr="00B6793F">
              <w:rPr>
                <w:rFonts w:ascii="Arial" w:eastAsia="Times New Roman" w:hAnsi="Arial" w:cs="Arial"/>
                <w:color w:val="000000"/>
                <w:sz w:val="8"/>
                <w:szCs w:val="8"/>
                <w:lang w:eastAsia="sq-AL"/>
              </w:rPr>
              <w:t xml:space="preserve"> kryerjen e procedurave të inspektimeve. Parashikim i aktit nënligjor që përcakton rregullat e detajuara të kryerjes së procedurave të inspektimeve. </w:t>
            </w:r>
          </w:p>
        </w:tc>
        <w:tc>
          <w:tcPr>
            <w:tcW w:w="601" w:type="pct"/>
            <w:tcBorders>
              <w:top w:val="nil"/>
              <w:left w:val="nil"/>
              <w:bottom w:val="single" w:sz="4" w:space="0" w:color="auto"/>
              <w:right w:val="single" w:sz="4" w:space="0" w:color="auto"/>
            </w:tcBorders>
            <w:shd w:val="clear" w:color="auto" w:fill="auto"/>
            <w:vAlign w:val="center"/>
            <w:hideMark/>
          </w:tcPr>
          <w:p w14:paraId="7C3E869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05BEB3EA"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4" w:type="pct"/>
            <w:tcBorders>
              <w:top w:val="nil"/>
              <w:left w:val="nil"/>
              <w:bottom w:val="single" w:sz="4" w:space="0" w:color="auto"/>
              <w:right w:val="single" w:sz="4" w:space="0" w:color="auto"/>
            </w:tcBorders>
            <w:shd w:val="clear" w:color="auto" w:fill="auto"/>
            <w:vAlign w:val="center"/>
            <w:hideMark/>
          </w:tcPr>
          <w:p w14:paraId="0008D621"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single" w:sz="4" w:space="0" w:color="auto"/>
              <w:right w:val="nil"/>
            </w:tcBorders>
            <w:shd w:val="clear" w:color="auto" w:fill="auto"/>
            <w:vAlign w:val="center"/>
            <w:hideMark/>
          </w:tcPr>
          <w:p w14:paraId="6E0B535A"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438999B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12572783"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E26D1A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23" w:type="pct"/>
            <w:tcBorders>
              <w:top w:val="nil"/>
              <w:left w:val="nil"/>
              <w:bottom w:val="single" w:sz="4" w:space="0" w:color="auto"/>
              <w:right w:val="single" w:sz="4" w:space="0" w:color="auto"/>
            </w:tcBorders>
            <w:shd w:val="clear" w:color="auto" w:fill="auto"/>
            <w:vAlign w:val="center"/>
            <w:hideMark/>
          </w:tcPr>
          <w:p w14:paraId="2246358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metodologjisë për llogaritjen së çmimeve të tokës në RSH</w:t>
            </w:r>
          </w:p>
        </w:tc>
        <w:tc>
          <w:tcPr>
            <w:tcW w:w="261" w:type="pct"/>
            <w:tcBorders>
              <w:top w:val="nil"/>
              <w:left w:val="nil"/>
              <w:bottom w:val="single" w:sz="4" w:space="0" w:color="auto"/>
              <w:right w:val="single" w:sz="4" w:space="0" w:color="auto"/>
            </w:tcBorders>
            <w:shd w:val="clear" w:color="auto" w:fill="auto"/>
            <w:vAlign w:val="center"/>
            <w:hideMark/>
          </w:tcPr>
          <w:p w14:paraId="7A7F926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0B20023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(ASHK)</w:t>
            </w:r>
          </w:p>
        </w:tc>
        <w:tc>
          <w:tcPr>
            <w:tcW w:w="248" w:type="pct"/>
            <w:tcBorders>
              <w:top w:val="nil"/>
              <w:left w:val="nil"/>
              <w:bottom w:val="single" w:sz="4" w:space="0" w:color="auto"/>
              <w:right w:val="single" w:sz="4" w:space="0" w:color="auto"/>
            </w:tcBorders>
            <w:shd w:val="clear" w:color="auto" w:fill="auto"/>
            <w:vAlign w:val="center"/>
            <w:hideMark/>
          </w:tcPr>
          <w:p w14:paraId="6600A8A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63" w:type="pct"/>
            <w:tcBorders>
              <w:top w:val="nil"/>
              <w:left w:val="nil"/>
              <w:bottom w:val="single" w:sz="4" w:space="0" w:color="auto"/>
              <w:right w:val="single" w:sz="4" w:space="0" w:color="auto"/>
            </w:tcBorders>
            <w:shd w:val="clear" w:color="auto" w:fill="auto"/>
            <w:vAlign w:val="center"/>
            <w:hideMark/>
          </w:tcPr>
          <w:p w14:paraId="4252F7D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funksion të përmirësimit të punës dhe ecurisë së  veprimtarisë së ASHK dhe detyrimeve që burojnë nga ligji  nr.111/2018 " Për Kadastrën", neni 9, pika 2, germa k.</w:t>
            </w:r>
          </w:p>
        </w:tc>
        <w:tc>
          <w:tcPr>
            <w:tcW w:w="601" w:type="pct"/>
            <w:tcBorders>
              <w:top w:val="nil"/>
              <w:left w:val="nil"/>
              <w:bottom w:val="single" w:sz="4" w:space="0" w:color="auto"/>
              <w:right w:val="single" w:sz="4" w:space="0" w:color="auto"/>
            </w:tcBorders>
            <w:shd w:val="clear" w:color="auto" w:fill="auto"/>
            <w:vAlign w:val="center"/>
            <w:hideMark/>
          </w:tcPr>
          <w:p w14:paraId="03FBDA6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Përcakton metodologjinë e vlerësimit të pronave të paluajtshme(tokës) në RSH, në zbatim të nenit 9/2/k  të ligjit nr.111/2018 " Për Kadastrën" </w:t>
            </w:r>
          </w:p>
        </w:tc>
        <w:tc>
          <w:tcPr>
            <w:tcW w:w="601" w:type="pct"/>
            <w:tcBorders>
              <w:top w:val="nil"/>
              <w:left w:val="nil"/>
              <w:bottom w:val="single" w:sz="4" w:space="0" w:color="auto"/>
              <w:right w:val="single" w:sz="4" w:space="0" w:color="auto"/>
            </w:tcBorders>
            <w:shd w:val="clear" w:color="auto" w:fill="auto"/>
            <w:vAlign w:val="center"/>
            <w:hideMark/>
          </w:tcPr>
          <w:p w14:paraId="6FF5E087"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46B38FB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Përputhet  me programin politik të qeverisë dhe konkretisht me  Kreun  "Administratës Publike, Antikorrupsioni dhe Transparenca" (faqe 15)</w:t>
            </w:r>
          </w:p>
        </w:tc>
        <w:tc>
          <w:tcPr>
            <w:tcW w:w="424" w:type="pct"/>
            <w:tcBorders>
              <w:top w:val="nil"/>
              <w:left w:val="nil"/>
              <w:bottom w:val="single" w:sz="4" w:space="0" w:color="auto"/>
              <w:right w:val="single" w:sz="4" w:space="0" w:color="auto"/>
            </w:tcBorders>
            <w:shd w:val="clear" w:color="auto" w:fill="auto"/>
            <w:vAlign w:val="center"/>
            <w:hideMark/>
          </w:tcPr>
          <w:p w14:paraId="719CE58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nil"/>
            </w:tcBorders>
            <w:shd w:val="clear" w:color="auto" w:fill="auto"/>
            <w:vAlign w:val="center"/>
            <w:hideMark/>
          </w:tcPr>
          <w:p w14:paraId="2B1F210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këtij projektakti është në funksion të zbatimit të  Strategjise ndersektoriale " Reforma në fushën e të drejtave të pronësisë në vitin 2012-2020(kapitulli II)</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6443A67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ekonomik dhe social</w:t>
            </w:r>
          </w:p>
        </w:tc>
      </w:tr>
      <w:tr w:rsidR="00973AA3" w:rsidRPr="00B6793F" w14:paraId="607536E2"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4938A1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23" w:type="pct"/>
            <w:tcBorders>
              <w:top w:val="nil"/>
              <w:left w:val="nil"/>
              <w:bottom w:val="single" w:sz="4" w:space="0" w:color="000000"/>
              <w:right w:val="single" w:sz="4" w:space="0" w:color="000000"/>
            </w:tcBorders>
            <w:shd w:val="clear" w:color="auto" w:fill="auto"/>
            <w:vAlign w:val="center"/>
            <w:hideMark/>
          </w:tcPr>
          <w:p w14:paraId="1B260C8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711, datë 20.11.2024 të Këshillit të Ministrave "Për miratimin e rregullores “Për marrëdhëniet e Avokaturës së Shtetit dhe personave juridikë, në kuadër të ofrimit të asistencës juridike, rolin e avokatëve të shtetit në gjykim, si dhe normat e posaçme procedurale"</w:t>
            </w:r>
          </w:p>
        </w:tc>
        <w:tc>
          <w:tcPr>
            <w:tcW w:w="261" w:type="pct"/>
            <w:tcBorders>
              <w:top w:val="nil"/>
              <w:left w:val="nil"/>
              <w:bottom w:val="single" w:sz="4" w:space="0" w:color="000000"/>
              <w:right w:val="single" w:sz="4" w:space="0" w:color="000000"/>
            </w:tcBorders>
            <w:shd w:val="clear" w:color="auto" w:fill="auto"/>
            <w:vAlign w:val="center"/>
            <w:hideMark/>
          </w:tcPr>
          <w:p w14:paraId="1DBB149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000000"/>
              <w:right w:val="single" w:sz="4" w:space="0" w:color="000000"/>
            </w:tcBorders>
            <w:shd w:val="clear" w:color="auto" w:fill="auto"/>
            <w:vAlign w:val="center"/>
            <w:hideMark/>
          </w:tcPr>
          <w:p w14:paraId="2D10FF1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 Zv./Kryeministri (Avokatura e Shtetit)</w:t>
            </w:r>
          </w:p>
        </w:tc>
        <w:tc>
          <w:tcPr>
            <w:tcW w:w="248" w:type="pct"/>
            <w:tcBorders>
              <w:top w:val="nil"/>
              <w:left w:val="nil"/>
              <w:bottom w:val="single" w:sz="4" w:space="0" w:color="000000"/>
              <w:right w:val="single" w:sz="4" w:space="0" w:color="000000"/>
            </w:tcBorders>
            <w:shd w:val="clear" w:color="auto" w:fill="auto"/>
            <w:vAlign w:val="center"/>
            <w:hideMark/>
          </w:tcPr>
          <w:p w14:paraId="00176F0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 </w:t>
            </w:r>
          </w:p>
        </w:tc>
        <w:tc>
          <w:tcPr>
            <w:tcW w:w="563" w:type="pct"/>
            <w:tcBorders>
              <w:top w:val="nil"/>
              <w:left w:val="nil"/>
              <w:bottom w:val="single" w:sz="4" w:space="0" w:color="000000"/>
              <w:right w:val="single" w:sz="4" w:space="0" w:color="000000"/>
            </w:tcBorders>
            <w:shd w:val="clear" w:color="auto" w:fill="auto"/>
            <w:vAlign w:val="center"/>
            <w:hideMark/>
          </w:tcPr>
          <w:p w14:paraId="1E0B063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propozohet me qëllim mbledhjen e informacionit për të gjitha çështjet gjyqësore në të cilat institucionet shtetërore janë palë, dhe që Avokatura e Shtetit ofron asistencë juridike. Në Avokaturën e Shtetit do të krijohet një Regjistër për Çështjet Gjyqësore, në format elektronik, ku do të grumbullohen të gjitha çështjet gjyqësore që raportohen nga institucionet shtetërore, si dhe do të verifikohet nëse janë njoftuar nga gjykatat personat juridikë dhe Avokatura e Shtetit. </w:t>
            </w:r>
          </w:p>
        </w:tc>
        <w:tc>
          <w:tcPr>
            <w:tcW w:w="601" w:type="pct"/>
            <w:tcBorders>
              <w:top w:val="nil"/>
              <w:left w:val="nil"/>
              <w:bottom w:val="single" w:sz="4" w:space="0" w:color="000000"/>
              <w:right w:val="single" w:sz="4" w:space="0" w:color="000000"/>
            </w:tcBorders>
            <w:shd w:val="clear" w:color="auto" w:fill="auto"/>
            <w:vAlign w:val="center"/>
            <w:hideMark/>
          </w:tcPr>
          <w:p w14:paraId="27F9EE9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Krijimin e një regjistri për çështjet gjyqësore në të cilat Avokatura e Shtetit ofron asistencë juridike. Dërgimin në mënyrë periodike të informacionit për çështjet gjyqësore, Avokaturës së Shtetit, nga të gjithë personat juridik të cilëve ju ofrohet asistenca ligjore. </w:t>
            </w:r>
            <w:r w:rsidRPr="00B6793F">
              <w:rPr>
                <w:rFonts w:ascii="Arial" w:eastAsia="Times New Roman" w:hAnsi="Arial" w:cs="Arial"/>
                <w:color w:val="000000"/>
                <w:sz w:val="8"/>
                <w:szCs w:val="8"/>
                <w:lang w:eastAsia="sq-AL"/>
              </w:rPr>
              <w:br/>
              <w:t xml:space="preserve">Ky projektvendim vjen në përputhje me përcaktimet e ligjit nr. 10018, datë 13.11.2008, të ndryshuar, duke parashikuar mekanizma që synojnë pasjen e një bashkëpunimi të koordinuar në kohë dhe fleksibël, e njëkohësisht krijimin e një sistemi data bazë të qendërzuar dhe permanent, për të gjitha proceset gjyqësore me palë ndërgjyqëse personat juridik të parashikuar në pikën 1/1, të nenit 5, të ligjit nr. 10018, datë 13.11.2008.  </w:t>
            </w:r>
          </w:p>
        </w:tc>
        <w:tc>
          <w:tcPr>
            <w:tcW w:w="601" w:type="pct"/>
            <w:tcBorders>
              <w:top w:val="nil"/>
              <w:left w:val="nil"/>
              <w:bottom w:val="single" w:sz="4" w:space="0" w:color="auto"/>
              <w:right w:val="single" w:sz="4" w:space="0" w:color="auto"/>
            </w:tcBorders>
            <w:shd w:val="clear" w:color="auto" w:fill="auto"/>
            <w:vAlign w:val="center"/>
            <w:hideMark/>
          </w:tcPr>
          <w:p w14:paraId="3A437F22"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4A71187D"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4" w:type="pct"/>
            <w:tcBorders>
              <w:top w:val="nil"/>
              <w:left w:val="nil"/>
              <w:bottom w:val="single" w:sz="4" w:space="0" w:color="auto"/>
              <w:right w:val="single" w:sz="4" w:space="0" w:color="auto"/>
            </w:tcBorders>
            <w:shd w:val="clear" w:color="auto" w:fill="auto"/>
            <w:vAlign w:val="center"/>
            <w:hideMark/>
          </w:tcPr>
          <w:p w14:paraId="6FC544C8"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single" w:sz="4" w:space="0" w:color="000000"/>
              <w:right w:val="nil"/>
            </w:tcBorders>
            <w:shd w:val="clear" w:color="auto" w:fill="auto"/>
            <w:vAlign w:val="center"/>
            <w:hideMark/>
          </w:tcPr>
          <w:p w14:paraId="7DEC908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771B68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6F013908"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BC7591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23" w:type="pct"/>
            <w:tcBorders>
              <w:top w:val="nil"/>
              <w:left w:val="nil"/>
              <w:bottom w:val="single" w:sz="4" w:space="0" w:color="auto"/>
              <w:right w:val="single" w:sz="4" w:space="0" w:color="auto"/>
            </w:tcBorders>
            <w:shd w:val="clear" w:color="auto" w:fill="auto"/>
            <w:vAlign w:val="center"/>
            <w:hideMark/>
          </w:tcPr>
          <w:p w14:paraId="79B18AC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ratifikimin e marrëveshjes ndryshuese nr.2 me shkëmbim letrash të marrëveshjes së financimit ndërmjet Republikës së Shqipërisë, përfaqësuar nga Këshilli i Ministrave të Republikës së Shqipërisë, Republikës së Malit të Zi dhe Komisionit Evropian Për Programin IPA BNK Mali i Zi-Shqipëri 2021-2027".</w:t>
            </w:r>
          </w:p>
        </w:tc>
        <w:tc>
          <w:tcPr>
            <w:tcW w:w="261" w:type="pct"/>
            <w:tcBorders>
              <w:top w:val="nil"/>
              <w:left w:val="nil"/>
              <w:bottom w:val="single" w:sz="4" w:space="0" w:color="auto"/>
              <w:right w:val="single" w:sz="4" w:space="0" w:color="auto"/>
            </w:tcBorders>
            <w:shd w:val="clear" w:color="auto" w:fill="auto"/>
            <w:vAlign w:val="center"/>
            <w:hideMark/>
          </w:tcPr>
          <w:p w14:paraId="2B26538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Projekligj</w:t>
            </w:r>
          </w:p>
        </w:tc>
        <w:tc>
          <w:tcPr>
            <w:tcW w:w="374" w:type="pct"/>
            <w:tcBorders>
              <w:top w:val="nil"/>
              <w:left w:val="nil"/>
              <w:bottom w:val="single" w:sz="4" w:space="0" w:color="auto"/>
              <w:right w:val="single" w:sz="4" w:space="0" w:color="auto"/>
            </w:tcBorders>
            <w:shd w:val="clear" w:color="auto" w:fill="auto"/>
            <w:vAlign w:val="center"/>
            <w:hideMark/>
          </w:tcPr>
          <w:p w14:paraId="785E59E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56ABA4D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63" w:type="pct"/>
            <w:tcBorders>
              <w:top w:val="nil"/>
              <w:left w:val="nil"/>
              <w:bottom w:val="single" w:sz="4" w:space="0" w:color="auto"/>
              <w:right w:val="single" w:sz="4" w:space="0" w:color="auto"/>
            </w:tcBorders>
            <w:shd w:val="clear" w:color="auto" w:fill="auto"/>
            <w:vAlign w:val="center"/>
            <w:hideMark/>
          </w:tcPr>
          <w:p w14:paraId="11DEE53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601" w:type="pct"/>
            <w:tcBorders>
              <w:top w:val="nil"/>
              <w:left w:val="nil"/>
              <w:bottom w:val="single" w:sz="4" w:space="0" w:color="auto"/>
              <w:right w:val="single" w:sz="4" w:space="0" w:color="auto"/>
            </w:tcBorders>
            <w:shd w:val="clear" w:color="auto" w:fill="auto"/>
            <w:vAlign w:val="center"/>
            <w:hideMark/>
          </w:tcPr>
          <w:p w14:paraId="2F0CD33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ndryshimiet për aprovimin e angazhimeve financiare të Bashkimit Evropian,për të cilat vendet pjesëmarrëse në program mund të përfitojnë fonde, strukturat përgjegjëse për menaxhimin, koordinimin, monitorimin, audimin dhe kontrollimin fondeve të disponueshme të programit, mënyrën e shpërndarjes së fondeve në dispozicion dhe periudhën kohore, etj.</w:t>
            </w:r>
          </w:p>
        </w:tc>
        <w:tc>
          <w:tcPr>
            <w:tcW w:w="601" w:type="pct"/>
            <w:tcBorders>
              <w:top w:val="nil"/>
              <w:left w:val="nil"/>
              <w:bottom w:val="single" w:sz="4" w:space="0" w:color="auto"/>
              <w:right w:val="single" w:sz="4" w:space="0" w:color="auto"/>
            </w:tcBorders>
            <w:shd w:val="clear" w:color="auto" w:fill="auto"/>
            <w:vAlign w:val="center"/>
            <w:hideMark/>
          </w:tcPr>
          <w:p w14:paraId="1A0FA31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64F0BFC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Anëtarësimi në Bashkimin Europian </w:t>
            </w:r>
            <w:r w:rsidRPr="00B6793F">
              <w:rPr>
                <w:rFonts w:ascii="Arial" w:eastAsia="Times New Roman" w:hAnsi="Arial" w:cs="Arial"/>
                <w:color w:val="000000"/>
                <w:sz w:val="8"/>
                <w:szCs w:val="8"/>
                <w:lang w:eastAsia="sq-AL"/>
              </w:rPr>
              <w:br/>
              <w:t>Inovacioni dhe Teknologjia</w:t>
            </w:r>
            <w:r w:rsidRPr="00B6793F">
              <w:rPr>
                <w:rFonts w:ascii="Arial" w:eastAsia="Times New Roman" w:hAnsi="Arial" w:cs="Arial"/>
                <w:color w:val="000000"/>
                <w:sz w:val="8"/>
                <w:szCs w:val="8"/>
                <w:lang w:eastAsia="sq-AL"/>
              </w:rPr>
              <w:br/>
              <w:t>Infrastruktura Moderne</w:t>
            </w:r>
            <w:r w:rsidRPr="00B6793F">
              <w:rPr>
                <w:rFonts w:ascii="Arial" w:eastAsia="Times New Roman" w:hAnsi="Arial" w:cs="Arial"/>
                <w:color w:val="000000"/>
                <w:sz w:val="8"/>
                <w:szCs w:val="8"/>
                <w:lang w:eastAsia="sq-AL"/>
              </w:rPr>
              <w:br/>
              <w:t>Turizmi</w:t>
            </w:r>
            <w:r w:rsidRPr="00B6793F">
              <w:rPr>
                <w:rFonts w:ascii="Arial" w:eastAsia="Times New Roman" w:hAnsi="Arial" w:cs="Arial"/>
                <w:color w:val="000000"/>
                <w:sz w:val="8"/>
                <w:szCs w:val="8"/>
                <w:lang w:eastAsia="sq-AL"/>
              </w:rPr>
              <w:br/>
              <w:t>Energjia</w:t>
            </w:r>
            <w:r w:rsidRPr="00B6793F">
              <w:rPr>
                <w:rFonts w:ascii="Arial" w:eastAsia="Times New Roman" w:hAnsi="Arial" w:cs="Arial"/>
                <w:color w:val="000000"/>
                <w:sz w:val="8"/>
                <w:szCs w:val="8"/>
                <w:lang w:eastAsia="sq-AL"/>
              </w:rPr>
              <w:br/>
              <w:t>Politikat Sociale</w:t>
            </w:r>
            <w:r w:rsidRPr="00B6793F">
              <w:rPr>
                <w:rFonts w:ascii="Arial" w:eastAsia="Times New Roman" w:hAnsi="Arial" w:cs="Arial"/>
                <w:color w:val="000000"/>
                <w:sz w:val="8"/>
                <w:szCs w:val="8"/>
                <w:lang w:eastAsia="sq-AL"/>
              </w:rPr>
              <w:br/>
              <w:t>Rinia dhe Barazia Gjinore</w:t>
            </w:r>
            <w:r w:rsidRPr="00B6793F">
              <w:rPr>
                <w:rFonts w:ascii="Arial" w:eastAsia="Times New Roman" w:hAnsi="Arial" w:cs="Arial"/>
                <w:color w:val="000000"/>
                <w:sz w:val="8"/>
                <w:szCs w:val="8"/>
                <w:lang w:eastAsia="sq-AL"/>
              </w:rPr>
              <w:br/>
              <w:t xml:space="preserve">Mbrojtja e Mjedisit dhe Ndryshimet Klimatike </w:t>
            </w:r>
            <w:r w:rsidRPr="00B6793F">
              <w:rPr>
                <w:rFonts w:ascii="Arial" w:eastAsia="Times New Roman" w:hAnsi="Arial" w:cs="Arial"/>
                <w:color w:val="000000"/>
                <w:sz w:val="8"/>
                <w:szCs w:val="8"/>
                <w:lang w:eastAsia="sq-AL"/>
              </w:rPr>
              <w:br/>
              <w:t>Pushteti Vendor dhe Zhvillimi Rajonal</w:t>
            </w:r>
            <w:r w:rsidRPr="00B6793F">
              <w:rPr>
                <w:rFonts w:ascii="Arial" w:eastAsia="Times New Roman" w:hAnsi="Arial" w:cs="Arial"/>
                <w:color w:val="000000"/>
                <w:sz w:val="8"/>
                <w:szCs w:val="8"/>
                <w:lang w:eastAsia="sq-AL"/>
              </w:rPr>
              <w:br/>
              <w:t>Kultura</w:t>
            </w:r>
          </w:p>
        </w:tc>
        <w:tc>
          <w:tcPr>
            <w:tcW w:w="424" w:type="pct"/>
            <w:tcBorders>
              <w:top w:val="nil"/>
              <w:left w:val="nil"/>
              <w:bottom w:val="single" w:sz="4" w:space="0" w:color="auto"/>
              <w:right w:val="single" w:sz="4" w:space="0" w:color="auto"/>
            </w:tcBorders>
            <w:shd w:val="clear" w:color="auto" w:fill="auto"/>
            <w:vAlign w:val="center"/>
            <w:hideMark/>
          </w:tcPr>
          <w:p w14:paraId="02FB5E3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single" w:sz="4" w:space="0" w:color="auto"/>
            </w:tcBorders>
            <w:shd w:val="clear" w:color="auto" w:fill="auto"/>
            <w:vAlign w:val="center"/>
            <w:hideMark/>
          </w:tcPr>
          <w:p w14:paraId="005A1AA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 dhe Integrim Evropian 2030</w:t>
            </w:r>
          </w:p>
        </w:tc>
        <w:tc>
          <w:tcPr>
            <w:tcW w:w="389" w:type="pct"/>
            <w:tcBorders>
              <w:top w:val="nil"/>
              <w:left w:val="nil"/>
              <w:bottom w:val="single" w:sz="4" w:space="0" w:color="auto"/>
              <w:right w:val="nil"/>
            </w:tcBorders>
            <w:shd w:val="clear" w:color="auto" w:fill="auto"/>
            <w:vAlign w:val="center"/>
            <w:hideMark/>
          </w:tcPr>
          <w:p w14:paraId="1BBE4F9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74F78433"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CF5D34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23" w:type="pct"/>
            <w:tcBorders>
              <w:top w:val="nil"/>
              <w:left w:val="nil"/>
              <w:bottom w:val="single" w:sz="4" w:space="0" w:color="auto"/>
              <w:right w:val="single" w:sz="4" w:space="0" w:color="auto"/>
            </w:tcBorders>
            <w:shd w:val="clear" w:color="auto" w:fill="auto"/>
            <w:vAlign w:val="center"/>
            <w:hideMark/>
          </w:tcPr>
          <w:p w14:paraId="1DB72FE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Dokumentit të Politikave Prioritare 2027-2029</w:t>
            </w:r>
          </w:p>
        </w:tc>
        <w:tc>
          <w:tcPr>
            <w:tcW w:w="261" w:type="pct"/>
            <w:tcBorders>
              <w:top w:val="nil"/>
              <w:left w:val="nil"/>
              <w:bottom w:val="single" w:sz="4" w:space="0" w:color="auto"/>
              <w:right w:val="single" w:sz="4" w:space="0" w:color="auto"/>
            </w:tcBorders>
            <w:shd w:val="clear" w:color="auto" w:fill="auto"/>
            <w:vAlign w:val="center"/>
            <w:hideMark/>
          </w:tcPr>
          <w:p w14:paraId="17B4592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7CCBF5A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379C812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 Lista Unike e Projekteve Strategjike mund te rishikohet sipas vleresimit cdo tre muaj: Prill - Korrik - Tetor</w:t>
            </w:r>
          </w:p>
        </w:tc>
        <w:tc>
          <w:tcPr>
            <w:tcW w:w="563" w:type="pct"/>
            <w:tcBorders>
              <w:top w:val="nil"/>
              <w:left w:val="nil"/>
              <w:bottom w:val="single" w:sz="4" w:space="0" w:color="auto"/>
              <w:right w:val="single" w:sz="4" w:space="0" w:color="auto"/>
            </w:tcBorders>
            <w:shd w:val="clear" w:color="auto" w:fill="auto"/>
            <w:vAlign w:val="center"/>
            <w:hideMark/>
          </w:tcPr>
          <w:p w14:paraId="0A14967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Ngritja e ketij dokumenti qendror, planifikues  dhe strategjik afat-mesem ne nivelin e duhur te hierarkise ligjore per te inicuar rritjen e performances se zbatimit si edhe ne funksion te paraprirjes me te mire te drejtimit te politikes se pergjithshme ndaj funksionit te planifikimit financiar te shtetit.                                                                                                                   NSPP eshte parashikuar në VKM "Për Procedurat e Menaxhimit </w:t>
            </w:r>
            <w:r w:rsidRPr="00B6793F">
              <w:rPr>
                <w:rFonts w:ascii="Arial" w:eastAsia="Times New Roman" w:hAnsi="Arial" w:cs="Arial"/>
                <w:color w:val="000000"/>
                <w:sz w:val="8"/>
                <w:szCs w:val="8"/>
                <w:lang w:eastAsia="sq-AL"/>
              </w:rPr>
              <w:br/>
              <w:t xml:space="preserve">të Investimeve Publike"                                                        </w:t>
            </w:r>
          </w:p>
        </w:tc>
        <w:tc>
          <w:tcPr>
            <w:tcW w:w="601" w:type="pct"/>
            <w:tcBorders>
              <w:top w:val="nil"/>
              <w:left w:val="nil"/>
              <w:bottom w:val="single" w:sz="4" w:space="0" w:color="auto"/>
              <w:right w:val="single" w:sz="4" w:space="0" w:color="auto"/>
            </w:tcBorders>
            <w:shd w:val="clear" w:color="auto" w:fill="auto"/>
            <w:vAlign w:val="center"/>
            <w:hideMark/>
          </w:tcPr>
          <w:p w14:paraId="52DCCAB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 teresi rrit harmonizimin e perparesive dhe politikave te qeverise me kapacitetin financues te saj  ne afatin e mesem, ose orienton racionalisht procesin e shperndarjes se burimeve midis sektoreve. Ndihmon ne percaktimin e tavaneve buxhetore afat-mesme per PBA si dhe rregullon procesin e konsiderimit te projekteve te reja ( politika te reja) duke siguruar vazhdimesine e projekteve ekzistuese dhe ruajtur ekuilibrin e bilancit te shtetit.                                                                           Lista Unike e Projekteve me Rëndësi Kombëtare përmban projektet e investimeve publike që kanë rëndësi strategjike përsa i përket zhvillimit ekonomik dhe social të vendit, pavarësisht nga burimi i tyre i financimit. Kjo listë shërben si instrument për mbeshtetjen e politikave dhe prioriteteve të Qeverisë Shqiptare, në linjë me Strategjinë Kombëtare për Zhvillim dhe Integrim Evropian 2030 (SKZHIE), si edhe strategjitë sektoriale e ndërsektoriale. Lista Unike e Projekteve me Rëndësi Kombëtare shërben si referencë për ministrinë përgjegjëse për financat dhe njësitë e qeverisjes qëndrore, në kuadër të përfshirjes së projekteve të investimeve publike në Programin Buxhetor Afatmesëm (PBA) apo Buxhetin Vjetor.</w:t>
            </w:r>
          </w:p>
        </w:tc>
        <w:tc>
          <w:tcPr>
            <w:tcW w:w="601" w:type="pct"/>
            <w:tcBorders>
              <w:top w:val="nil"/>
              <w:left w:val="nil"/>
              <w:bottom w:val="single" w:sz="4" w:space="0" w:color="auto"/>
              <w:right w:val="single" w:sz="4" w:space="0" w:color="auto"/>
            </w:tcBorders>
            <w:shd w:val="clear" w:color="auto" w:fill="auto"/>
            <w:vAlign w:val="center"/>
            <w:hideMark/>
          </w:tcPr>
          <w:p w14:paraId="7B58A70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Tematika e SKZHIE III dhe lidhjes se saj me PBA. Ky projekt akt harmonizon pikerisht politikat dhe reformat afatmesme te qeverise me PBA duke perfshire projektet kombetare NSPP nga buxheti i shtetit, fondet IPA dhe financimin tjeter te huaj. DPP lidhet me te gjithe kapitujt e integrimit ne teresi pavaresisht se raportohet tek kap. 22 , pasi perfshin reformat afatmesme dhe afatgjata te qeverise si dhe sektoret prioritare, NSPP prek shume sektore te zhvillimit te vendit si vertikale ashtu edhe sektore horizontale.  DPP lidhet konkretisht me clusters te integrimit: Themeloret, Konkurueshmeria, Agjenda e gjelber dhe nderlidhjet e qendrueshme, burimet bujqesia dhe marredheniet e jashtme.                                                                Raportohet formalisht ne kuader te Kapitullit 22. Politikat Rajonale (Kohezioni) dhe Kordinimi I Instrumentave Strukturore. </w:t>
            </w:r>
          </w:p>
        </w:tc>
        <w:tc>
          <w:tcPr>
            <w:tcW w:w="567" w:type="pct"/>
            <w:tcBorders>
              <w:top w:val="nil"/>
              <w:left w:val="nil"/>
              <w:bottom w:val="single" w:sz="4" w:space="0" w:color="auto"/>
              <w:right w:val="single" w:sz="4" w:space="0" w:color="auto"/>
            </w:tcBorders>
            <w:shd w:val="clear" w:color="auto" w:fill="auto"/>
            <w:vAlign w:val="center"/>
            <w:hideMark/>
          </w:tcPr>
          <w:p w14:paraId="130C1F9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Integrimi Evropian, te drejtat e njeriut, PAR reforma, Zhvillimi i bujqësisë dhe i fshatit, Infrastruktura, Turizmi dhe Mjedisi, Energjia, Digjitalizimi , Shoqëria dixhitale etj</w:t>
            </w:r>
          </w:p>
        </w:tc>
        <w:tc>
          <w:tcPr>
            <w:tcW w:w="424" w:type="pct"/>
            <w:tcBorders>
              <w:top w:val="nil"/>
              <w:left w:val="nil"/>
              <w:bottom w:val="single" w:sz="4" w:space="0" w:color="auto"/>
              <w:right w:val="single" w:sz="4" w:space="0" w:color="auto"/>
            </w:tcBorders>
            <w:shd w:val="clear" w:color="auto" w:fill="auto"/>
            <w:vAlign w:val="center"/>
            <w:hideMark/>
          </w:tcPr>
          <w:p w14:paraId="5323D2B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single" w:sz="4" w:space="0" w:color="auto"/>
            </w:tcBorders>
            <w:shd w:val="clear" w:color="auto" w:fill="auto"/>
            <w:vAlign w:val="center"/>
            <w:hideMark/>
          </w:tcPr>
          <w:p w14:paraId="2057BCE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Arsimit 2021-2026 , Strategjia Kombetare e Shendetesise 2021-2030</w:t>
            </w:r>
            <w:r w:rsidRPr="00B6793F">
              <w:rPr>
                <w:rFonts w:ascii="Arial" w:eastAsia="Times New Roman" w:hAnsi="Arial" w:cs="Arial"/>
                <w:color w:val="000000"/>
                <w:sz w:val="8"/>
                <w:szCs w:val="8"/>
                <w:lang w:eastAsia="sq-AL"/>
              </w:rPr>
              <w:br/>
              <w:t>, Strategjia Kombëtare e Pronësisë Intelektuale 2022 -2025</w:t>
            </w:r>
            <w:r w:rsidRPr="00B6793F">
              <w:rPr>
                <w:rFonts w:ascii="Arial" w:eastAsia="Times New Roman" w:hAnsi="Arial" w:cs="Arial"/>
                <w:color w:val="000000"/>
                <w:sz w:val="8"/>
                <w:szCs w:val="8"/>
                <w:lang w:eastAsia="sq-AL"/>
              </w:rPr>
              <w:br/>
              <w:t>- Strategjia e Bujqesise , Zhvillimit Rural dhe Peshkimit 2021-2027</w:t>
            </w:r>
            <w:r w:rsidRPr="00B6793F">
              <w:rPr>
                <w:rFonts w:ascii="Arial" w:eastAsia="Times New Roman" w:hAnsi="Arial" w:cs="Arial"/>
                <w:color w:val="000000"/>
                <w:sz w:val="8"/>
                <w:szCs w:val="8"/>
                <w:lang w:eastAsia="sq-AL"/>
              </w:rPr>
              <w:br/>
              <w:t>- Agjenda Digjitale e Shqipërisë 2026</w:t>
            </w:r>
            <w:r w:rsidRPr="00B6793F">
              <w:rPr>
                <w:rFonts w:ascii="Arial" w:eastAsia="Times New Roman" w:hAnsi="Arial" w:cs="Arial"/>
                <w:color w:val="000000"/>
                <w:sz w:val="8"/>
                <w:szCs w:val="8"/>
                <w:lang w:eastAsia="sq-AL"/>
              </w:rPr>
              <w:br/>
              <w:t xml:space="preserve">- Dokumenti i Përgjigjes Strategjike IPA III </w:t>
            </w:r>
            <w:r w:rsidRPr="00B6793F">
              <w:rPr>
                <w:rFonts w:ascii="Arial" w:eastAsia="Times New Roman" w:hAnsi="Arial" w:cs="Arial"/>
                <w:color w:val="000000"/>
                <w:sz w:val="8"/>
                <w:szCs w:val="8"/>
                <w:lang w:eastAsia="sq-AL"/>
              </w:rPr>
              <w:br/>
              <w:t>- Prioritetet e Programit IPA III , - Prioritetet e Programit IPARD III (Instrumenti per Asistencen e Para-Anetaresimit per Zhvillimin Rural) 2021 – 2027, - Procesi i Hartimit te draftit te Strategjise Kombetare per Zhvillim dhe Integrim 2021-2030</w:t>
            </w:r>
          </w:p>
        </w:tc>
        <w:tc>
          <w:tcPr>
            <w:tcW w:w="389" w:type="pct"/>
            <w:tcBorders>
              <w:top w:val="nil"/>
              <w:left w:val="nil"/>
              <w:bottom w:val="single" w:sz="4" w:space="0" w:color="auto"/>
              <w:right w:val="nil"/>
            </w:tcBorders>
            <w:shd w:val="clear" w:color="auto" w:fill="auto"/>
            <w:vAlign w:val="center"/>
            <w:hideMark/>
          </w:tcPr>
          <w:p w14:paraId="60F6BE8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Impakton ecurine ekzistuese dhe ndryshimin ne investimet e pergjithshme kapitale (publike) afat mesme, financimin e huaj (IPA dhe financime te tjera) dhe permireson vleresimin  e politikave mbi bazen e evidencave (fakteve) duke prezantuar vazhdimisht nevojen per buxhetim te pergjithshem te pergjegjshem e te bazuar ne performance ( performance based budgeting) duke kontribuar ne shperndarjen e burimeve aty ku ka me shume nevoje dhe ku jemi me efektive dhe eficente. Impakton ne konvergimin e vazhdueshem me pragmatik te politikes qeveritare afatmesme me objektivat e integrimit dhe ato te </w:t>
            </w:r>
            <w:r w:rsidRPr="00B6793F">
              <w:rPr>
                <w:rFonts w:ascii="Arial" w:eastAsia="Times New Roman" w:hAnsi="Arial" w:cs="Arial"/>
                <w:color w:val="000000"/>
                <w:sz w:val="8"/>
                <w:szCs w:val="8"/>
                <w:lang w:eastAsia="sq-AL"/>
              </w:rPr>
              <w:lastRenderedPageBreak/>
              <w:t xml:space="preserve">zhvillimi te qendrueshem.   </w:t>
            </w:r>
          </w:p>
        </w:tc>
      </w:tr>
      <w:tr w:rsidR="00973AA3" w:rsidRPr="00B6793F" w14:paraId="7CB5C5BF"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69785D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6</w:t>
            </w:r>
          </w:p>
        </w:tc>
        <w:tc>
          <w:tcPr>
            <w:tcW w:w="423" w:type="pct"/>
            <w:tcBorders>
              <w:top w:val="nil"/>
              <w:left w:val="nil"/>
              <w:bottom w:val="single" w:sz="4" w:space="0" w:color="auto"/>
              <w:right w:val="single" w:sz="4" w:space="0" w:color="auto"/>
            </w:tcBorders>
            <w:shd w:val="clear" w:color="auto" w:fill="auto"/>
            <w:vAlign w:val="center"/>
            <w:hideMark/>
          </w:tcPr>
          <w:p w14:paraId="0DF6B04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 miratimin e Udhërrëfyesit për OZHQ 2025-2030 </w:t>
            </w:r>
          </w:p>
        </w:tc>
        <w:tc>
          <w:tcPr>
            <w:tcW w:w="261" w:type="pct"/>
            <w:tcBorders>
              <w:top w:val="nil"/>
              <w:left w:val="nil"/>
              <w:bottom w:val="single" w:sz="4" w:space="0" w:color="auto"/>
              <w:right w:val="single" w:sz="4" w:space="0" w:color="auto"/>
            </w:tcBorders>
            <w:shd w:val="clear" w:color="auto" w:fill="auto"/>
            <w:vAlign w:val="center"/>
            <w:hideMark/>
          </w:tcPr>
          <w:p w14:paraId="4BD52A1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4BBDC60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4A638B9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63" w:type="pct"/>
            <w:tcBorders>
              <w:top w:val="nil"/>
              <w:left w:val="nil"/>
              <w:bottom w:val="single" w:sz="4" w:space="0" w:color="auto"/>
              <w:right w:val="single" w:sz="4" w:space="0" w:color="auto"/>
            </w:tcBorders>
            <w:shd w:val="clear" w:color="auto" w:fill="auto"/>
            <w:vAlign w:val="center"/>
            <w:hideMark/>
          </w:tcPr>
          <w:p w14:paraId="67EEA91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Përmbushja e detyrimeve që ka Shqipëria për angazhimin e marrë në kuadër të Agjendës së OKB-së 2030, për zhvillim të qëndrueshëm</w:t>
            </w:r>
          </w:p>
        </w:tc>
        <w:tc>
          <w:tcPr>
            <w:tcW w:w="601" w:type="pct"/>
            <w:tcBorders>
              <w:top w:val="nil"/>
              <w:left w:val="nil"/>
              <w:bottom w:val="single" w:sz="4" w:space="0" w:color="auto"/>
              <w:right w:val="single" w:sz="4" w:space="0" w:color="auto"/>
            </w:tcBorders>
            <w:shd w:val="clear" w:color="auto" w:fill="auto"/>
            <w:vAlign w:val="center"/>
            <w:hideMark/>
          </w:tcPr>
          <w:p w14:paraId="49D8FE7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Vendosjen e një kuadri për matjen e treguesve pë zhvillim të qëndrueshëm</w:t>
            </w:r>
          </w:p>
        </w:tc>
        <w:tc>
          <w:tcPr>
            <w:tcW w:w="601" w:type="pct"/>
            <w:tcBorders>
              <w:top w:val="nil"/>
              <w:left w:val="nil"/>
              <w:bottom w:val="single" w:sz="4" w:space="0" w:color="auto"/>
              <w:right w:val="single" w:sz="4" w:space="0" w:color="auto"/>
            </w:tcBorders>
            <w:shd w:val="clear" w:color="auto" w:fill="auto"/>
            <w:vAlign w:val="center"/>
            <w:hideMark/>
          </w:tcPr>
          <w:p w14:paraId="24A7F14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te gjithe kapitujt e Integrimit ne teresi. Udherrefyesi perfshin 17 objektivat e zhvillimit te qendrueshem sipas Agjendes 2030. Ai lidhet me te 5 clusters te integrimit : Themeloret, Tregu I brendshem, Kokurueshmeria dhe rritja gjitheperfshirese, agjenda e gjelber dhe nderlidhjet e qendrueshme dhe marredheniet e jashtme</w:t>
            </w:r>
          </w:p>
        </w:tc>
        <w:tc>
          <w:tcPr>
            <w:tcW w:w="567" w:type="pct"/>
            <w:tcBorders>
              <w:top w:val="nil"/>
              <w:left w:val="nil"/>
              <w:bottom w:val="single" w:sz="4" w:space="0" w:color="auto"/>
              <w:right w:val="single" w:sz="4" w:space="0" w:color="auto"/>
            </w:tcBorders>
            <w:shd w:val="clear" w:color="auto" w:fill="auto"/>
            <w:vAlign w:val="center"/>
            <w:hideMark/>
          </w:tcPr>
          <w:p w14:paraId="59E011E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Demokracia, te drejtat e njeriut, sundimi i ligjit, shëndeti dhe zhvillimi i qëndrueshëm, Mirëqënie për të gjithë, Infrastruktura, Energjia, Turizmi dhe Mjedisi,  Arsimi, perputhshmeria shtrihet ne pothuajse te gjithe fushat e rendesishme te zhvillimit te vendit etj</w:t>
            </w:r>
          </w:p>
        </w:tc>
        <w:tc>
          <w:tcPr>
            <w:tcW w:w="424" w:type="pct"/>
            <w:tcBorders>
              <w:top w:val="nil"/>
              <w:left w:val="nil"/>
              <w:bottom w:val="single" w:sz="4" w:space="0" w:color="auto"/>
              <w:right w:val="single" w:sz="4" w:space="0" w:color="auto"/>
            </w:tcBorders>
            <w:shd w:val="clear" w:color="auto" w:fill="auto"/>
            <w:vAlign w:val="center"/>
            <w:hideMark/>
          </w:tcPr>
          <w:p w14:paraId="041B8DF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single" w:sz="4" w:space="0" w:color="auto"/>
            </w:tcBorders>
            <w:shd w:val="clear" w:color="auto" w:fill="auto"/>
            <w:vAlign w:val="center"/>
            <w:hideMark/>
          </w:tcPr>
          <w:p w14:paraId="30229F7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SKZHIE 2022-2030, S3 Specializimi Inteligjent,  reformat, politika e jashtme, sektoret prioritare te zhvillimit te vendit, bujqesia, turizmi, digjitalizimi, antikorrupsioni, integrimi evropian, energjia etj.</w:t>
            </w:r>
          </w:p>
        </w:tc>
        <w:tc>
          <w:tcPr>
            <w:tcW w:w="389" w:type="pct"/>
            <w:tcBorders>
              <w:top w:val="nil"/>
              <w:left w:val="nil"/>
              <w:bottom w:val="single" w:sz="4" w:space="0" w:color="auto"/>
              <w:right w:val="nil"/>
            </w:tcBorders>
            <w:shd w:val="clear" w:color="auto" w:fill="auto"/>
            <w:vAlign w:val="center"/>
            <w:hideMark/>
          </w:tcPr>
          <w:p w14:paraId="3B4C646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Axhenda 2030 për Zhvillim të Qëndrueshëm, e miratuar nga të gjitha Shtetet Anëtare të Kombeve të Bashkuara në 2015, ofron një plan të përbashkët për paqen dhe prosperitetin për njerëzit dhe planetin, tani dhe në të ardhmen. Në qendër të tij janë 17 Objektivat e Zhvillimit të Qëndrueshëm (SDG), të cilat janë një thirrje urgjente për veprim nga të gjitha vendet - të zhvilluara dhe në zhvillim - në një partneritet global. Ato pranojnë se dhënia fund e varfërisë dhe privimeve të tjera duhet të shkojë krah për krah me strategjitë që përmirësojnë shëndetin dhe arsimin, zvogëlojnë pabarazinë dhe nxisin rritjen ekonomike – të gjitha duke trajtuar ndryshimet klimatike dhe duke punuar për të ruajtur oqeanet dhe pyjet tona.</w:t>
            </w:r>
          </w:p>
        </w:tc>
      </w:tr>
      <w:tr w:rsidR="00973AA3" w:rsidRPr="00B6793F" w14:paraId="099F9425"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4701EE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23" w:type="pct"/>
            <w:tcBorders>
              <w:top w:val="nil"/>
              <w:left w:val="nil"/>
              <w:bottom w:val="single" w:sz="4" w:space="0" w:color="000000"/>
              <w:right w:val="single" w:sz="4" w:space="0" w:color="000000"/>
            </w:tcBorders>
            <w:shd w:val="clear" w:color="auto" w:fill="auto"/>
            <w:vAlign w:val="center"/>
            <w:hideMark/>
          </w:tcPr>
          <w:p w14:paraId="3C5E812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identifikimin elektronik dhe sherbimet e besuara dhe Portofolin e Identitetit Digjital"</w:t>
            </w:r>
          </w:p>
        </w:tc>
        <w:tc>
          <w:tcPr>
            <w:tcW w:w="261" w:type="pct"/>
            <w:tcBorders>
              <w:top w:val="nil"/>
              <w:left w:val="nil"/>
              <w:bottom w:val="single" w:sz="4" w:space="0" w:color="000000"/>
              <w:right w:val="nil"/>
            </w:tcBorders>
            <w:shd w:val="clear" w:color="auto" w:fill="auto"/>
            <w:vAlign w:val="center"/>
            <w:hideMark/>
          </w:tcPr>
          <w:p w14:paraId="108C701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74" w:type="pct"/>
            <w:tcBorders>
              <w:top w:val="nil"/>
              <w:left w:val="single" w:sz="4" w:space="0" w:color="000000"/>
              <w:bottom w:val="single" w:sz="4" w:space="0" w:color="000000"/>
              <w:right w:val="single" w:sz="4" w:space="0" w:color="000000"/>
            </w:tcBorders>
            <w:shd w:val="clear" w:color="auto" w:fill="auto"/>
            <w:vAlign w:val="center"/>
            <w:hideMark/>
          </w:tcPr>
          <w:p w14:paraId="76B5A09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(AKSK)</w:t>
            </w:r>
          </w:p>
        </w:tc>
        <w:tc>
          <w:tcPr>
            <w:tcW w:w="248" w:type="pct"/>
            <w:tcBorders>
              <w:top w:val="nil"/>
              <w:left w:val="nil"/>
              <w:bottom w:val="single" w:sz="4" w:space="0" w:color="000000"/>
              <w:right w:val="single" w:sz="4" w:space="0" w:color="000000"/>
            </w:tcBorders>
            <w:shd w:val="clear" w:color="auto" w:fill="auto"/>
            <w:vAlign w:val="center"/>
            <w:hideMark/>
          </w:tcPr>
          <w:p w14:paraId="30DE801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563" w:type="pct"/>
            <w:tcBorders>
              <w:top w:val="nil"/>
              <w:left w:val="nil"/>
              <w:bottom w:val="single" w:sz="4" w:space="0" w:color="000000"/>
              <w:right w:val="single" w:sz="4" w:space="0" w:color="000000"/>
            </w:tcBorders>
            <w:shd w:val="clear" w:color="auto" w:fill="auto"/>
            <w:vAlign w:val="center"/>
            <w:hideMark/>
          </w:tcPr>
          <w:p w14:paraId="62E4FE3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Mbartur nga PPAP 2025</w:t>
            </w:r>
          </w:p>
        </w:tc>
        <w:tc>
          <w:tcPr>
            <w:tcW w:w="601" w:type="pct"/>
            <w:tcBorders>
              <w:top w:val="nil"/>
              <w:left w:val="nil"/>
              <w:bottom w:val="single" w:sz="4" w:space="0" w:color="000000"/>
              <w:right w:val="nil"/>
            </w:tcBorders>
            <w:shd w:val="clear" w:color="auto" w:fill="auto"/>
            <w:vAlign w:val="center"/>
            <w:hideMark/>
          </w:tcPr>
          <w:p w14:paraId="05FA957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Projektligji transpozon rregulloret e BE nr. 910/2014 (eIDAS1) dhe rregulloren 1183/2024 (eIDAS2).</w:t>
            </w:r>
          </w:p>
        </w:tc>
        <w:tc>
          <w:tcPr>
            <w:tcW w:w="601" w:type="pct"/>
            <w:tcBorders>
              <w:top w:val="nil"/>
              <w:left w:val="single" w:sz="4" w:space="0" w:color="auto"/>
              <w:bottom w:val="single" w:sz="4" w:space="0" w:color="auto"/>
              <w:right w:val="single" w:sz="4" w:space="0" w:color="auto"/>
            </w:tcBorders>
            <w:shd w:val="clear" w:color="auto" w:fill="auto"/>
            <w:vAlign w:val="center"/>
            <w:hideMark/>
          </w:tcPr>
          <w:p w14:paraId="7944191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567" w:type="pct"/>
            <w:tcBorders>
              <w:top w:val="nil"/>
              <w:left w:val="nil"/>
              <w:bottom w:val="single" w:sz="4" w:space="0" w:color="auto"/>
              <w:right w:val="single" w:sz="4" w:space="0" w:color="auto"/>
            </w:tcBorders>
            <w:shd w:val="clear" w:color="auto" w:fill="auto"/>
            <w:vAlign w:val="center"/>
            <w:hideMark/>
          </w:tcPr>
          <w:p w14:paraId="4483900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24" w:type="pct"/>
            <w:tcBorders>
              <w:top w:val="nil"/>
              <w:left w:val="nil"/>
              <w:bottom w:val="single" w:sz="4" w:space="0" w:color="auto"/>
              <w:right w:val="single" w:sz="4" w:space="0" w:color="auto"/>
            </w:tcBorders>
            <w:shd w:val="clear" w:color="auto" w:fill="auto"/>
            <w:vAlign w:val="center"/>
            <w:hideMark/>
          </w:tcPr>
          <w:p w14:paraId="06391C0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2" w:type="pct"/>
            <w:tcBorders>
              <w:top w:val="nil"/>
              <w:left w:val="nil"/>
              <w:bottom w:val="single" w:sz="4" w:space="0" w:color="auto"/>
              <w:right w:val="nil"/>
            </w:tcBorders>
            <w:shd w:val="clear" w:color="auto" w:fill="auto"/>
            <w:vAlign w:val="center"/>
            <w:hideMark/>
          </w:tcPr>
          <w:p w14:paraId="57F44CC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5233004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678E080D"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A0300D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23" w:type="pct"/>
            <w:tcBorders>
              <w:top w:val="nil"/>
              <w:left w:val="nil"/>
              <w:bottom w:val="single" w:sz="4" w:space="0" w:color="auto"/>
              <w:right w:val="single" w:sz="4" w:space="0" w:color="auto"/>
            </w:tcBorders>
            <w:shd w:val="clear" w:color="auto" w:fill="auto"/>
            <w:vAlign w:val="center"/>
            <w:hideMark/>
          </w:tcPr>
          <w:p w14:paraId="704346A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listës së substancave prioritare, substancave të rrezikshme prioritare dhe disa ndotësve në ujërat sipërfaqësore, standardeve të tyre të cilësisë mjedisore, si dhe listës kombëtare të mbikëqyrjes</w:t>
            </w:r>
          </w:p>
        </w:tc>
        <w:tc>
          <w:tcPr>
            <w:tcW w:w="261" w:type="pct"/>
            <w:tcBorders>
              <w:top w:val="nil"/>
              <w:left w:val="nil"/>
              <w:bottom w:val="single" w:sz="4" w:space="0" w:color="auto"/>
              <w:right w:val="single" w:sz="4" w:space="0" w:color="auto"/>
            </w:tcBorders>
            <w:shd w:val="clear" w:color="auto" w:fill="auto"/>
            <w:vAlign w:val="center"/>
            <w:hideMark/>
          </w:tcPr>
          <w:p w14:paraId="5FFAC17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31DC1C9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Kryeministri/Zv. Kryeministri (AMBU)</w:t>
            </w:r>
          </w:p>
        </w:tc>
        <w:tc>
          <w:tcPr>
            <w:tcW w:w="248" w:type="pct"/>
            <w:tcBorders>
              <w:top w:val="nil"/>
              <w:left w:val="nil"/>
              <w:bottom w:val="single" w:sz="4" w:space="0" w:color="000000"/>
              <w:right w:val="single" w:sz="4" w:space="0" w:color="000000"/>
            </w:tcBorders>
            <w:shd w:val="clear" w:color="auto" w:fill="auto"/>
            <w:vAlign w:val="center"/>
            <w:hideMark/>
          </w:tcPr>
          <w:p w14:paraId="64418F1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563" w:type="pct"/>
            <w:tcBorders>
              <w:top w:val="nil"/>
              <w:left w:val="nil"/>
              <w:bottom w:val="single" w:sz="4" w:space="0" w:color="auto"/>
              <w:right w:val="single" w:sz="4" w:space="0" w:color="auto"/>
            </w:tcBorders>
            <w:shd w:val="clear" w:color="000000" w:fill="FFFFFF"/>
            <w:vAlign w:val="center"/>
            <w:hideMark/>
          </w:tcPr>
          <w:p w14:paraId="421B551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Arsyet kryesore të propozimit të projektaktit lidhen me plotësimin dhe përmirësimin e  kuadrit ligjor për menaxhimin e integruar të burimeve ujore në përgjithësi  dhe përcaktimin e standardeve të cilësisë mjedisore në fushën e politikave për burimet ujore në veçanti, në Republikën e Shqipërisë, në përputhje me legjislacionin Evropian</w:t>
            </w:r>
          </w:p>
        </w:tc>
        <w:tc>
          <w:tcPr>
            <w:tcW w:w="601" w:type="pct"/>
            <w:tcBorders>
              <w:top w:val="nil"/>
              <w:left w:val="nil"/>
              <w:bottom w:val="single" w:sz="4" w:space="0" w:color="auto"/>
              <w:right w:val="single" w:sz="4" w:space="0" w:color="auto"/>
            </w:tcBorders>
            <w:shd w:val="clear" w:color="auto" w:fill="auto"/>
            <w:vAlign w:val="center"/>
            <w:hideMark/>
          </w:tcPr>
          <w:p w14:paraId="2D9B8D1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përcaktimin e listës së substancave prioriteteve dhe substancave të rrezikshme prioritare, përcaktimin e listës së standardeve të cilësisë mjedisore për substancat prioritare dhe substancat e rrezikshme prioritare, përcaktimin e kërkesave për zbatimin e standardeve të cilësisë mjedisore; përcaktimi i standardeve të cilësisë mjedisore për dioksinat, PTB-të dhe substancat e ngjashme me dioksinat në artikujt ushqimorë; e listës së substancave prioritare për të cilat duhet të arrihet standardi i cilësisë mjedisore, si një element i statusit të mirë kimik të ujërave sipërfaqësore; e listës së substancave prioritare që priren të akumulohen në sediment dhe në biotë, si dhe përckatimin e listës komëtare të vëzhgimit.</w:t>
            </w:r>
          </w:p>
        </w:tc>
        <w:tc>
          <w:tcPr>
            <w:tcW w:w="601" w:type="pct"/>
            <w:tcBorders>
              <w:top w:val="nil"/>
              <w:left w:val="nil"/>
              <w:bottom w:val="single" w:sz="4" w:space="0" w:color="auto"/>
              <w:right w:val="single" w:sz="4" w:space="0" w:color="auto"/>
            </w:tcBorders>
            <w:shd w:val="clear" w:color="000000" w:fill="FFFFFF"/>
            <w:vAlign w:val="center"/>
            <w:hideMark/>
          </w:tcPr>
          <w:p w14:paraId="437FDD3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27)</w:t>
            </w:r>
          </w:p>
        </w:tc>
        <w:tc>
          <w:tcPr>
            <w:tcW w:w="567" w:type="pct"/>
            <w:tcBorders>
              <w:top w:val="nil"/>
              <w:left w:val="nil"/>
              <w:bottom w:val="single" w:sz="4" w:space="0" w:color="000000"/>
              <w:right w:val="single" w:sz="4" w:space="0" w:color="000000"/>
            </w:tcBorders>
            <w:shd w:val="clear" w:color="auto" w:fill="auto"/>
            <w:vAlign w:val="center"/>
            <w:hideMark/>
          </w:tcPr>
          <w:p w14:paraId="1B5602C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Paragrafi 5, gërma c, pika 3.6 Mbrojtja e Mjedisit dhe Ndryshimet Klimatike, Shtylla III Mirëqenie për të gjithë</w:t>
            </w:r>
          </w:p>
        </w:tc>
        <w:tc>
          <w:tcPr>
            <w:tcW w:w="424" w:type="pct"/>
            <w:tcBorders>
              <w:top w:val="nil"/>
              <w:left w:val="nil"/>
              <w:bottom w:val="single" w:sz="4" w:space="0" w:color="000000"/>
              <w:right w:val="nil"/>
            </w:tcBorders>
            <w:shd w:val="clear" w:color="auto" w:fill="auto"/>
            <w:vAlign w:val="center"/>
            <w:hideMark/>
          </w:tcPr>
          <w:p w14:paraId="4DB5AC4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 2022-2030,                          Strategjia Kombëtare e Menaxhimit të Integruar të Burimeve Ujore 2018-2034</w:t>
            </w:r>
          </w:p>
        </w:tc>
        <w:tc>
          <w:tcPr>
            <w:tcW w:w="432" w:type="pct"/>
            <w:tcBorders>
              <w:top w:val="nil"/>
              <w:left w:val="single" w:sz="4" w:space="0" w:color="auto"/>
              <w:bottom w:val="single" w:sz="4" w:space="0" w:color="auto"/>
              <w:right w:val="nil"/>
            </w:tcBorders>
            <w:shd w:val="clear" w:color="auto" w:fill="auto"/>
            <w:vAlign w:val="center"/>
            <w:hideMark/>
          </w:tcPr>
          <w:p w14:paraId="4D9E7EF9"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547A013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7D93703E"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ED7CFD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423" w:type="pct"/>
            <w:tcBorders>
              <w:top w:val="nil"/>
              <w:left w:val="nil"/>
              <w:bottom w:val="nil"/>
              <w:right w:val="single" w:sz="4" w:space="0" w:color="auto"/>
            </w:tcBorders>
            <w:shd w:val="clear" w:color="auto" w:fill="auto"/>
            <w:vAlign w:val="center"/>
            <w:hideMark/>
          </w:tcPr>
          <w:p w14:paraId="484D1AE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planit të ndryshuar  të masave të dokumentit të politikave “Për qeverisjen e sektorit të gjeoinformacionit në Shqipëri, 2020-2030”</w:t>
            </w:r>
          </w:p>
        </w:tc>
        <w:tc>
          <w:tcPr>
            <w:tcW w:w="261" w:type="pct"/>
            <w:tcBorders>
              <w:top w:val="nil"/>
              <w:left w:val="nil"/>
              <w:bottom w:val="nil"/>
              <w:right w:val="single" w:sz="4" w:space="0" w:color="auto"/>
            </w:tcBorders>
            <w:shd w:val="clear" w:color="auto" w:fill="auto"/>
            <w:vAlign w:val="center"/>
            <w:hideMark/>
          </w:tcPr>
          <w:p w14:paraId="510E322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nil"/>
              <w:right w:val="single" w:sz="4" w:space="0" w:color="auto"/>
            </w:tcBorders>
            <w:shd w:val="clear" w:color="auto" w:fill="auto"/>
            <w:vAlign w:val="center"/>
            <w:hideMark/>
          </w:tcPr>
          <w:p w14:paraId="28A64C3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Zëvendëskryeministri (ASIG)</w:t>
            </w:r>
          </w:p>
        </w:tc>
        <w:tc>
          <w:tcPr>
            <w:tcW w:w="248" w:type="pct"/>
            <w:tcBorders>
              <w:top w:val="nil"/>
              <w:left w:val="nil"/>
              <w:bottom w:val="nil"/>
              <w:right w:val="single" w:sz="4" w:space="0" w:color="auto"/>
            </w:tcBorders>
            <w:shd w:val="clear" w:color="auto" w:fill="auto"/>
            <w:vAlign w:val="center"/>
            <w:hideMark/>
          </w:tcPr>
          <w:p w14:paraId="0EC6E29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63" w:type="pct"/>
            <w:tcBorders>
              <w:top w:val="nil"/>
              <w:left w:val="nil"/>
              <w:bottom w:val="nil"/>
              <w:right w:val="single" w:sz="4" w:space="0" w:color="auto"/>
            </w:tcBorders>
            <w:shd w:val="clear" w:color="auto" w:fill="auto"/>
            <w:vAlign w:val="center"/>
            <w:hideMark/>
          </w:tcPr>
          <w:p w14:paraId="7EEF004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planit të masave pas vitit të pestë të zbatimit është parashikuar në dokumentin e politikave “Për Qeverisjen e Sektorit të Informacionit Gjeohapësinor në Shqipëri, 2020-2030” të miratuar me VKM-në Nr. 402, datë 20.05.2020.</w:t>
            </w:r>
          </w:p>
        </w:tc>
        <w:tc>
          <w:tcPr>
            <w:tcW w:w="601" w:type="pct"/>
            <w:tcBorders>
              <w:top w:val="nil"/>
              <w:left w:val="nil"/>
              <w:bottom w:val="nil"/>
              <w:right w:val="single" w:sz="4" w:space="0" w:color="auto"/>
            </w:tcBorders>
            <w:shd w:val="clear" w:color="auto" w:fill="auto"/>
            <w:vAlign w:val="center"/>
            <w:hideMark/>
          </w:tcPr>
          <w:p w14:paraId="31E9E28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1-Plani  parashikon zbatimin e një serie masash për realizimin  ne perudhen 2026-2030 të 12 politikave të parashikuara ne dokumentin e politikave .                                                                                                                            2-Plani parashikon rolin dhe pergjegjësitë e institucioneve respektive përgjegjëse për zbatimin e dokumentit të politikave.</w:t>
            </w:r>
          </w:p>
        </w:tc>
        <w:tc>
          <w:tcPr>
            <w:tcW w:w="601" w:type="pct"/>
            <w:tcBorders>
              <w:top w:val="nil"/>
              <w:left w:val="nil"/>
              <w:bottom w:val="nil"/>
              <w:right w:val="single" w:sz="4" w:space="0" w:color="auto"/>
            </w:tcBorders>
            <w:shd w:val="clear" w:color="auto" w:fill="auto"/>
            <w:vAlign w:val="center"/>
            <w:hideMark/>
          </w:tcPr>
          <w:p w14:paraId="74A44D4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nil"/>
              <w:bottom w:val="nil"/>
              <w:right w:val="single" w:sz="4" w:space="0" w:color="auto"/>
            </w:tcBorders>
            <w:shd w:val="clear" w:color="000000" w:fill="FFFFFF"/>
            <w:vAlign w:val="center"/>
            <w:hideMark/>
          </w:tcPr>
          <w:p w14:paraId="5E367144"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1, Pika 1.2    Shteti Digjital dhe Siguria Kibernetike</w:t>
            </w:r>
          </w:p>
        </w:tc>
        <w:tc>
          <w:tcPr>
            <w:tcW w:w="424" w:type="pct"/>
            <w:tcBorders>
              <w:top w:val="nil"/>
              <w:left w:val="nil"/>
              <w:bottom w:val="nil"/>
              <w:right w:val="single" w:sz="4" w:space="0" w:color="auto"/>
            </w:tcBorders>
            <w:shd w:val="clear" w:color="000000" w:fill="FFFFFF"/>
            <w:vAlign w:val="center"/>
            <w:hideMark/>
          </w:tcPr>
          <w:p w14:paraId="69A425ED"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nil"/>
              <w:right w:val="nil"/>
            </w:tcBorders>
            <w:shd w:val="clear" w:color="auto" w:fill="auto"/>
            <w:vAlign w:val="center"/>
            <w:hideMark/>
          </w:tcPr>
          <w:p w14:paraId="594FE85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I  politikave “Për Qeverisjen e Sektorit të Informacionit Gjeohapësinor në Shqipëri, 2020-2030”, miratuar me VKM Nr. 402, datë 20.05.2020.</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6991130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780D0112"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C45FB0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43BC02C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291, datë 15.05.2024, të Këshillit të Ministrave, "Për përcaktimin e kufijve  monetarë në procedurat e prokurimit publik"</w:t>
            </w:r>
          </w:p>
        </w:tc>
        <w:tc>
          <w:tcPr>
            <w:tcW w:w="261" w:type="pct"/>
            <w:tcBorders>
              <w:top w:val="single" w:sz="4" w:space="0" w:color="auto"/>
              <w:left w:val="nil"/>
              <w:bottom w:val="single" w:sz="4" w:space="0" w:color="auto"/>
              <w:right w:val="single" w:sz="4" w:space="0" w:color="auto"/>
            </w:tcBorders>
            <w:shd w:val="clear" w:color="auto" w:fill="auto"/>
            <w:vAlign w:val="center"/>
            <w:hideMark/>
          </w:tcPr>
          <w:p w14:paraId="1EC4425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single" w:sz="4" w:space="0" w:color="auto"/>
              <w:left w:val="nil"/>
              <w:bottom w:val="single" w:sz="4" w:space="0" w:color="auto"/>
              <w:right w:val="single" w:sz="4" w:space="0" w:color="auto"/>
            </w:tcBorders>
            <w:shd w:val="clear" w:color="auto" w:fill="auto"/>
            <w:vAlign w:val="center"/>
            <w:hideMark/>
          </w:tcPr>
          <w:p w14:paraId="6A321BE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(APP)</w:t>
            </w:r>
          </w:p>
        </w:tc>
        <w:tc>
          <w:tcPr>
            <w:tcW w:w="248" w:type="pct"/>
            <w:tcBorders>
              <w:top w:val="single" w:sz="4" w:space="0" w:color="auto"/>
              <w:left w:val="nil"/>
              <w:bottom w:val="single" w:sz="4" w:space="0" w:color="auto"/>
              <w:right w:val="nil"/>
            </w:tcBorders>
            <w:shd w:val="clear" w:color="auto" w:fill="auto"/>
            <w:vAlign w:val="center"/>
            <w:hideMark/>
          </w:tcPr>
          <w:p w14:paraId="1F66843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EB8E3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Përafrimi i kufijve monetarë për prokurimet në sektorin klasik dhe utilitar, me kufijtë e rinj monetarë në Direktivën 2014/24/BE dhe Direktivën 2014/25/BE të cilët hyjnë në fuqi më 1 Janar 2026. </w:t>
            </w:r>
          </w:p>
        </w:tc>
        <w:tc>
          <w:tcPr>
            <w:tcW w:w="601" w:type="pct"/>
            <w:tcBorders>
              <w:top w:val="single" w:sz="4" w:space="0" w:color="auto"/>
              <w:left w:val="nil"/>
              <w:bottom w:val="single" w:sz="4" w:space="0" w:color="auto"/>
              <w:right w:val="single" w:sz="4" w:space="0" w:color="auto"/>
            </w:tcBorders>
            <w:shd w:val="clear" w:color="auto" w:fill="auto"/>
            <w:vAlign w:val="center"/>
            <w:hideMark/>
          </w:tcPr>
          <w:p w14:paraId="79BAE7E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Përafrimi i kufijve monetarë për prokurimet në sektorin klasik dhe utilitar, me kufijtë e rinj monetarë në Direktivën 2014/24/BE dhe Direktivën 2014/25/BE të cilët hyjnë në fuqi më 1 Janar 2026. </w:t>
            </w:r>
            <w:r w:rsidRPr="00B6793F">
              <w:rPr>
                <w:rFonts w:ascii="Arial" w:eastAsia="Times New Roman" w:hAnsi="Arial" w:cs="Arial"/>
                <w:color w:val="000000"/>
                <w:sz w:val="8"/>
                <w:szCs w:val="8"/>
                <w:lang w:eastAsia="sq-AL"/>
              </w:rPr>
              <w:br/>
              <w:t xml:space="preserve">Gjithashtu, parashikimi n këtë VKM edhe të kufijve monetarë për prokurimet në fushën e mbrojtjes dhe sigurisë dhe kufiri monetar për koncesionet, vlera e të cilave duhet të jetë në përputhje me vlerat e parashikuara në Direktivën 2009/81/KE dhe Direktivën 2014/23/BE, duke pasur në konsideratë që çdo dy vjet Bashkimi Evropian ndryshon kufijtë monetarë për prokurimet në sektorin klasik, utilitar, koncesionet dhe prokurimet në fushën e mbrojtjes dhe sigurisë. </w:t>
            </w:r>
          </w:p>
        </w:tc>
        <w:tc>
          <w:tcPr>
            <w:tcW w:w="601" w:type="pct"/>
            <w:tcBorders>
              <w:top w:val="single" w:sz="4" w:space="0" w:color="auto"/>
              <w:left w:val="nil"/>
              <w:bottom w:val="single" w:sz="4" w:space="0" w:color="auto"/>
              <w:right w:val="single" w:sz="4" w:space="0" w:color="auto"/>
            </w:tcBorders>
            <w:shd w:val="clear" w:color="auto" w:fill="auto"/>
            <w:vAlign w:val="center"/>
            <w:hideMark/>
          </w:tcPr>
          <w:p w14:paraId="12609883"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1EC7A79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6C752910"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single" w:sz="4" w:space="0" w:color="auto"/>
              <w:left w:val="nil"/>
              <w:bottom w:val="single" w:sz="4" w:space="0" w:color="auto"/>
              <w:right w:val="nil"/>
            </w:tcBorders>
            <w:shd w:val="clear" w:color="auto" w:fill="auto"/>
            <w:vAlign w:val="center"/>
            <w:hideMark/>
          </w:tcPr>
          <w:p w14:paraId="65B5498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6D22CC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52A4823D"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5EEF8A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423" w:type="pct"/>
            <w:tcBorders>
              <w:top w:val="nil"/>
              <w:left w:val="nil"/>
              <w:bottom w:val="single" w:sz="4" w:space="0" w:color="000000"/>
              <w:right w:val="single" w:sz="4" w:space="0" w:color="000000"/>
            </w:tcBorders>
            <w:shd w:val="clear" w:color="auto" w:fill="auto"/>
            <w:vAlign w:val="center"/>
            <w:hideMark/>
          </w:tcPr>
          <w:p w14:paraId="5BC6659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 10 018, datë 13.11.2008 “Për Avokaturën e Shtetit” të ndryshuar</w:t>
            </w:r>
          </w:p>
        </w:tc>
        <w:tc>
          <w:tcPr>
            <w:tcW w:w="261" w:type="pct"/>
            <w:tcBorders>
              <w:top w:val="nil"/>
              <w:left w:val="nil"/>
              <w:bottom w:val="single" w:sz="4" w:space="0" w:color="000000"/>
              <w:right w:val="single" w:sz="4" w:space="0" w:color="000000"/>
            </w:tcBorders>
            <w:shd w:val="clear" w:color="auto" w:fill="auto"/>
            <w:vAlign w:val="center"/>
            <w:hideMark/>
          </w:tcPr>
          <w:p w14:paraId="6534A89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74" w:type="pct"/>
            <w:tcBorders>
              <w:top w:val="nil"/>
              <w:left w:val="nil"/>
              <w:bottom w:val="single" w:sz="4" w:space="0" w:color="000000"/>
              <w:right w:val="single" w:sz="4" w:space="0" w:color="000000"/>
            </w:tcBorders>
            <w:shd w:val="clear" w:color="auto" w:fill="auto"/>
            <w:vAlign w:val="center"/>
            <w:hideMark/>
          </w:tcPr>
          <w:p w14:paraId="3034E5C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 Zv./Kryeministri (Avokatura e Shtetit)</w:t>
            </w:r>
          </w:p>
        </w:tc>
        <w:tc>
          <w:tcPr>
            <w:tcW w:w="248" w:type="pct"/>
            <w:tcBorders>
              <w:top w:val="nil"/>
              <w:left w:val="nil"/>
              <w:bottom w:val="single" w:sz="4" w:space="0" w:color="000000"/>
              <w:right w:val="single" w:sz="4" w:space="0" w:color="000000"/>
            </w:tcBorders>
            <w:shd w:val="clear" w:color="auto" w:fill="auto"/>
            <w:vAlign w:val="center"/>
            <w:hideMark/>
          </w:tcPr>
          <w:p w14:paraId="785ECD5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563" w:type="pct"/>
            <w:tcBorders>
              <w:top w:val="nil"/>
              <w:left w:val="nil"/>
              <w:bottom w:val="single" w:sz="4" w:space="0" w:color="000000"/>
              <w:right w:val="single" w:sz="4" w:space="0" w:color="000000"/>
            </w:tcBorders>
            <w:shd w:val="clear" w:color="auto" w:fill="auto"/>
            <w:vAlign w:val="center"/>
            <w:hideMark/>
          </w:tcPr>
          <w:p w14:paraId="67F9681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Nëpërmjet këtij projektligji synohet të shpejtohet procesi i rekrutimit të avokatëve të shtetit, nëpërmjet parashikimit të një dispozite kalimtare. Arsyet që çojnë në këtë projektligj lidhen me vakancat e shumta të krijuara në Avokaturën e Shtetit, mosplotësimit të tyre nëpërmjet Programit Fillestar të Shkollës së Magjistraturës, dhe kohës së gjatë të </w:t>
            </w:r>
            <w:r w:rsidRPr="00B6793F">
              <w:rPr>
                <w:rFonts w:ascii="Arial" w:eastAsia="Times New Roman" w:hAnsi="Arial" w:cs="Arial"/>
                <w:color w:val="000000"/>
                <w:sz w:val="8"/>
                <w:szCs w:val="8"/>
                <w:lang w:eastAsia="sq-AL"/>
              </w:rPr>
              <w:lastRenderedPageBreak/>
              <w:t xml:space="preserve">nevojshme për të filluar emërimet e para. Aktualisht nëpërmjet Shkollës së Magjistraturës pritet të përfundojnë programin fillestar deri në vitin 2027 4 kandidatë nga 7 vende vakante të njoftuara nga Avokatura e Shtetit në muajin Janar 2025. Ndërsa, aktualisht janë 8 vende vakante për avokatë shteti në nivel vendor, të cilët do të mbesin vakant të paktën deri në Tetor 2027. Për këtë, dhe referuar ngarkesës së konsiderueshme të avokatëve të shtetit, ka lindur domosdoshmëria e përshpejtimit të procesit të rekrutimit, duke e zhvilluar atë në të njëjtën mënyrë të kryer më parë, sipas dispozitave kalimtare të ligjit nr. 86/2018 "Për disa shtesa dhe ndryshime në ligjin nr. 10 018, datë 13.11.2008 "Për Avokaturën e Shtetit". </w:t>
            </w:r>
          </w:p>
        </w:tc>
        <w:tc>
          <w:tcPr>
            <w:tcW w:w="601" w:type="pct"/>
            <w:tcBorders>
              <w:top w:val="nil"/>
              <w:left w:val="nil"/>
              <w:bottom w:val="single" w:sz="4" w:space="0" w:color="000000"/>
              <w:right w:val="single" w:sz="4" w:space="0" w:color="000000"/>
            </w:tcBorders>
            <w:shd w:val="clear" w:color="auto" w:fill="auto"/>
            <w:vAlign w:val="center"/>
            <w:hideMark/>
          </w:tcPr>
          <w:p w14:paraId="661B053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Çështjet kryesore që parashikohet të trajtohen janë dispozita kalimtare për emërimin e avokatëve të shtetit si dhe parashikimi i funksionit të ndihmës avokatit të shtetit.</w:t>
            </w:r>
          </w:p>
        </w:tc>
        <w:tc>
          <w:tcPr>
            <w:tcW w:w="601" w:type="pct"/>
            <w:tcBorders>
              <w:top w:val="nil"/>
              <w:left w:val="nil"/>
              <w:bottom w:val="single" w:sz="4" w:space="0" w:color="auto"/>
              <w:right w:val="single" w:sz="4" w:space="0" w:color="auto"/>
            </w:tcBorders>
            <w:shd w:val="clear" w:color="auto" w:fill="auto"/>
            <w:vAlign w:val="center"/>
            <w:hideMark/>
          </w:tcPr>
          <w:p w14:paraId="35A3ADB4"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634B97FF"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4" w:type="pct"/>
            <w:tcBorders>
              <w:top w:val="nil"/>
              <w:left w:val="nil"/>
              <w:bottom w:val="single" w:sz="4" w:space="0" w:color="auto"/>
              <w:right w:val="single" w:sz="4" w:space="0" w:color="auto"/>
            </w:tcBorders>
            <w:shd w:val="clear" w:color="auto" w:fill="auto"/>
            <w:vAlign w:val="center"/>
            <w:hideMark/>
          </w:tcPr>
          <w:p w14:paraId="66130805"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single" w:sz="4" w:space="0" w:color="000000"/>
              <w:right w:val="nil"/>
            </w:tcBorders>
            <w:shd w:val="clear" w:color="auto" w:fill="auto"/>
            <w:vAlign w:val="center"/>
            <w:hideMark/>
          </w:tcPr>
          <w:p w14:paraId="0327A7B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235A1A0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1D0BB240"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C2541E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23" w:type="pct"/>
            <w:tcBorders>
              <w:top w:val="nil"/>
              <w:left w:val="nil"/>
              <w:bottom w:val="single" w:sz="4" w:space="0" w:color="auto"/>
              <w:right w:val="single" w:sz="4" w:space="0" w:color="auto"/>
            </w:tcBorders>
            <w:shd w:val="clear" w:color="auto" w:fill="auto"/>
            <w:vAlign w:val="center"/>
            <w:hideMark/>
          </w:tcPr>
          <w:p w14:paraId="0C5D989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kuadrit të bashkëpunimit midis Republikës së Shqipërisë dhe Kombeve të Bashkuara 2027 - 2031</w:t>
            </w:r>
          </w:p>
        </w:tc>
        <w:tc>
          <w:tcPr>
            <w:tcW w:w="261" w:type="pct"/>
            <w:tcBorders>
              <w:top w:val="nil"/>
              <w:left w:val="nil"/>
              <w:bottom w:val="single" w:sz="4" w:space="0" w:color="auto"/>
              <w:right w:val="single" w:sz="4" w:space="0" w:color="auto"/>
            </w:tcBorders>
            <w:shd w:val="clear" w:color="auto" w:fill="auto"/>
            <w:vAlign w:val="center"/>
            <w:hideMark/>
          </w:tcPr>
          <w:p w14:paraId="7DB41E7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0200AE5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6F2E136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63" w:type="pct"/>
            <w:tcBorders>
              <w:top w:val="nil"/>
              <w:left w:val="nil"/>
              <w:bottom w:val="single" w:sz="4" w:space="0" w:color="auto"/>
              <w:right w:val="single" w:sz="4" w:space="0" w:color="auto"/>
            </w:tcBorders>
            <w:shd w:val="clear" w:color="auto" w:fill="auto"/>
            <w:vAlign w:val="center"/>
            <w:hideMark/>
          </w:tcPr>
          <w:p w14:paraId="55AB4CA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propozohet për të adresuar aspekte ekonomike, mjedisore dhe sociale të identifikuara në kuadër të zbatimit të Kuadrit të Bashkëpunimit, si rritja e aftësive të përshtatshme për tregun e punës, lufta ndaj informalitetit, politikat e biznesit dhe të mbrojtjes sociale. Ai synon të forcojë qeverisjen, transparencën dhe zbatimin e të drejtave të njeriut, duke mbështetur progresin e Shqipërisë në procesin e integrimit në BE, veçanërisht në kapitujt 23 dhe 24 të acquis. Një arsye tjetër themelore është përputhja me Marrëveshjen e Gjelbër Evropiane dhe tranzicioni drejt një ekonomie të gjelbër e gjithëpërfshirëse</w:t>
            </w:r>
          </w:p>
        </w:tc>
        <w:tc>
          <w:tcPr>
            <w:tcW w:w="601" w:type="pct"/>
            <w:tcBorders>
              <w:top w:val="nil"/>
              <w:left w:val="nil"/>
              <w:bottom w:val="single" w:sz="4" w:space="0" w:color="auto"/>
              <w:right w:val="single" w:sz="4" w:space="0" w:color="auto"/>
            </w:tcBorders>
            <w:shd w:val="clear" w:color="auto" w:fill="auto"/>
            <w:vAlign w:val="center"/>
            <w:hideMark/>
          </w:tcPr>
          <w:p w14:paraId="27A8ABB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Forcimin e politikave për zhvillim ekonomik të qëndrueshëm dhe punësim gjithëpërfshirës;</w:t>
            </w:r>
            <w:r w:rsidRPr="00B6793F">
              <w:rPr>
                <w:rFonts w:ascii="Arial" w:eastAsia="Times New Roman" w:hAnsi="Arial" w:cs="Arial"/>
                <w:color w:val="000000"/>
                <w:sz w:val="8"/>
                <w:szCs w:val="8"/>
                <w:lang w:eastAsia="sq-AL"/>
              </w:rPr>
              <w:br/>
              <w:t>Investimet në kapitalin shoqëror dhe njerëzor;</w:t>
            </w:r>
            <w:r w:rsidRPr="00B6793F">
              <w:rPr>
                <w:rFonts w:ascii="Arial" w:eastAsia="Times New Roman" w:hAnsi="Arial" w:cs="Arial"/>
                <w:color w:val="000000"/>
                <w:sz w:val="8"/>
                <w:szCs w:val="8"/>
                <w:lang w:eastAsia="sq-AL"/>
              </w:rPr>
              <w:br/>
              <w:t>Rritjen e efikasitetit të shërbimeve publike dhe sociale dhe uljen e pabarazive;</w:t>
            </w:r>
            <w:r w:rsidRPr="00B6793F">
              <w:rPr>
                <w:rFonts w:ascii="Arial" w:eastAsia="Times New Roman" w:hAnsi="Arial" w:cs="Arial"/>
                <w:color w:val="000000"/>
                <w:sz w:val="8"/>
                <w:szCs w:val="8"/>
                <w:lang w:eastAsia="sq-AL"/>
              </w:rPr>
              <w:br/>
              <w:t>Formalizimin e tregut të punës, mbrojtjen sociale dhe rritjen e pjesëmarrjes së grave, të rinjve dhe PAK;</w:t>
            </w:r>
            <w:r w:rsidRPr="00B6793F">
              <w:rPr>
                <w:rFonts w:ascii="Arial" w:eastAsia="Times New Roman" w:hAnsi="Arial" w:cs="Arial"/>
                <w:color w:val="000000"/>
                <w:sz w:val="8"/>
                <w:szCs w:val="8"/>
                <w:lang w:eastAsia="sq-AL"/>
              </w:rPr>
              <w:br/>
              <w:t>Zbatimin e standardëve të BE-së në fushat e sundimit të ligjit, të drejtave të njeriut dhe qeverisjes;</w:t>
            </w:r>
            <w:r w:rsidRPr="00B6793F">
              <w:rPr>
                <w:rFonts w:ascii="Arial" w:eastAsia="Times New Roman" w:hAnsi="Arial" w:cs="Arial"/>
                <w:color w:val="000000"/>
                <w:sz w:val="8"/>
                <w:szCs w:val="8"/>
                <w:lang w:eastAsia="sq-AL"/>
              </w:rPr>
              <w:br/>
              <w:t>Tranzicionin e gjelbër dhe përdorimin e qëndrueshëm të burimeve natyrore.</w:t>
            </w:r>
          </w:p>
        </w:tc>
        <w:tc>
          <w:tcPr>
            <w:tcW w:w="601" w:type="pct"/>
            <w:tcBorders>
              <w:top w:val="nil"/>
              <w:left w:val="nil"/>
              <w:bottom w:val="single" w:sz="4" w:space="0" w:color="auto"/>
              <w:right w:val="single" w:sz="4" w:space="0" w:color="auto"/>
            </w:tcBorders>
            <w:shd w:val="clear" w:color="auto" w:fill="auto"/>
            <w:vAlign w:val="center"/>
            <w:hideMark/>
          </w:tcPr>
          <w:p w14:paraId="0CD0476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Jo specifikisht por lidhet ngushtesisht me kapitujt 2 Lëvizja e Lirë e Punëtorëve, 11 Bujqësia dhe Zhvillimi Rural, 12 Politikat e Sigurisë Ushqimore, 19 Politika Sociale dhe punësimi, 20 Ndërmarrjet dhe Politikat Industriale, 23 (“Drejtësia dhe të drejtat themelore”) dhe 24 (“Drejtësia, liria dhe siguria”), 25 Shkenca dhe Kërkimi Shkencor, 26 Arsimi dhe Kultura, Mbrojtja e Konsumatorit dhe Shëndeti Publik, si dhe në kapitujt 15 dhe 27 që lidhen me energjinë dhe mjedisin. Këto fusha janë thelbësore për procesin e anëtarësimit dhe për përputhjen me acquis të BE-së. </w:t>
            </w:r>
          </w:p>
        </w:tc>
        <w:tc>
          <w:tcPr>
            <w:tcW w:w="567" w:type="pct"/>
            <w:tcBorders>
              <w:top w:val="nil"/>
              <w:left w:val="nil"/>
              <w:bottom w:val="single" w:sz="4" w:space="0" w:color="auto"/>
              <w:right w:val="single" w:sz="4" w:space="0" w:color="auto"/>
            </w:tcBorders>
            <w:shd w:val="clear" w:color="auto" w:fill="auto"/>
            <w:vAlign w:val="center"/>
            <w:hideMark/>
          </w:tcPr>
          <w:p w14:paraId="2D50E01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përputhet me objektivat e programit qeverisës që parashikon zhvillim ekonomik të qëndrueshëm, forcim të shtetit të së drejtës, luftë kundër informalitetit, Investimet në kapitalin shoqëror dhe njerëzor rritje të punësimit dhe barazi gjinore, si dhe tranzicion drejt ekonomisë së gjelbër dhe dixhitale. </w:t>
            </w:r>
          </w:p>
        </w:tc>
        <w:tc>
          <w:tcPr>
            <w:tcW w:w="424" w:type="pct"/>
            <w:tcBorders>
              <w:top w:val="nil"/>
              <w:left w:val="nil"/>
              <w:bottom w:val="single" w:sz="4" w:space="0" w:color="auto"/>
              <w:right w:val="single" w:sz="4" w:space="0" w:color="auto"/>
            </w:tcBorders>
            <w:shd w:val="clear" w:color="auto" w:fill="auto"/>
            <w:vAlign w:val="center"/>
            <w:hideMark/>
          </w:tcPr>
          <w:p w14:paraId="12B099E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Ky është një akt prioritar, pasi lidhetme procesin e integrimit në BE, zbatimin e OZHQ-ve dhe përmbushjen e angazhimeve ndërkombëtare në fushat e të drejtave të njeriut, sundimit të ligjit, mjedisit dhe qeverisjes demokratike</w:t>
            </w:r>
          </w:p>
        </w:tc>
        <w:tc>
          <w:tcPr>
            <w:tcW w:w="432" w:type="pct"/>
            <w:tcBorders>
              <w:top w:val="nil"/>
              <w:left w:val="nil"/>
              <w:bottom w:val="single" w:sz="4" w:space="0" w:color="auto"/>
              <w:right w:val="single" w:sz="4" w:space="0" w:color="auto"/>
            </w:tcBorders>
            <w:shd w:val="clear" w:color="auto" w:fill="auto"/>
            <w:vAlign w:val="center"/>
            <w:hideMark/>
          </w:tcPr>
          <w:p w14:paraId="1C0C454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Projektakti lidhet me një sërë strategjish kombëtare dhe sektoriale, përfshirë:</w:t>
            </w:r>
            <w:r w:rsidRPr="00B6793F">
              <w:rPr>
                <w:rFonts w:ascii="Arial" w:eastAsia="Times New Roman" w:hAnsi="Arial" w:cs="Arial"/>
                <w:color w:val="000000"/>
                <w:sz w:val="8"/>
                <w:szCs w:val="8"/>
                <w:lang w:eastAsia="sq-AL"/>
              </w:rPr>
              <w:br/>
              <w:t>• Strategjinë Kombëtare për Zhvillim dhe Integrim 2021–2030;</w:t>
            </w:r>
            <w:r w:rsidRPr="00B6793F">
              <w:rPr>
                <w:rFonts w:ascii="Arial" w:eastAsia="Times New Roman" w:hAnsi="Arial" w:cs="Arial"/>
                <w:color w:val="000000"/>
                <w:sz w:val="8"/>
                <w:szCs w:val="8"/>
                <w:lang w:eastAsia="sq-AL"/>
              </w:rPr>
              <w:br/>
              <w:t>• Strategjinë Kombëtare për Punësim dhe Aftësi 2023–2030;</w:t>
            </w:r>
            <w:r w:rsidRPr="00B6793F">
              <w:rPr>
                <w:rFonts w:ascii="Arial" w:eastAsia="Times New Roman" w:hAnsi="Arial" w:cs="Arial"/>
                <w:color w:val="000000"/>
                <w:sz w:val="8"/>
                <w:szCs w:val="8"/>
                <w:lang w:eastAsia="sq-AL"/>
              </w:rPr>
              <w:br/>
              <w:t>• Strategjinë Kombëtare të Mbrojtjes Sociale 2024–2030;</w:t>
            </w:r>
            <w:r w:rsidRPr="00B6793F">
              <w:rPr>
                <w:rFonts w:ascii="Arial" w:eastAsia="Times New Roman" w:hAnsi="Arial" w:cs="Arial"/>
                <w:color w:val="000000"/>
                <w:sz w:val="8"/>
                <w:szCs w:val="8"/>
                <w:lang w:eastAsia="sq-AL"/>
              </w:rPr>
              <w:br/>
              <w:t>• Planin e Integruar Kombëtar të Energjisë dhe Klimës;</w:t>
            </w:r>
            <w:r w:rsidRPr="00B6793F">
              <w:rPr>
                <w:rFonts w:ascii="Arial" w:eastAsia="Times New Roman" w:hAnsi="Arial" w:cs="Arial"/>
                <w:color w:val="000000"/>
                <w:sz w:val="8"/>
                <w:szCs w:val="8"/>
                <w:lang w:eastAsia="sq-AL"/>
              </w:rPr>
              <w:br/>
              <w:t>• Planin Kombëtar për Barazi Gjinore dhe Fuqizimin e Grave;</w:t>
            </w:r>
            <w:r w:rsidRPr="00B6793F">
              <w:rPr>
                <w:rFonts w:ascii="Arial" w:eastAsia="Times New Roman" w:hAnsi="Arial" w:cs="Arial"/>
                <w:color w:val="000000"/>
                <w:sz w:val="8"/>
                <w:szCs w:val="8"/>
                <w:lang w:eastAsia="sq-AL"/>
              </w:rPr>
              <w:br/>
              <w:t>• Strategjinë për Sundimin e Ligjit dhe Drejtësinë.</w:t>
            </w:r>
            <w:r w:rsidRPr="00B6793F">
              <w:rPr>
                <w:rFonts w:ascii="Arial" w:eastAsia="Times New Roman" w:hAnsi="Arial" w:cs="Arial"/>
                <w:color w:val="000000"/>
                <w:sz w:val="8"/>
                <w:szCs w:val="8"/>
                <w:lang w:eastAsia="sq-AL"/>
              </w:rPr>
              <w:br/>
              <w:t>• Plani Kombëtar për Tranzicionin e Gjelbër dhe Mjedisin</w:t>
            </w:r>
            <w:r w:rsidRPr="00B6793F">
              <w:rPr>
                <w:rFonts w:ascii="Arial" w:eastAsia="Times New Roman" w:hAnsi="Arial" w:cs="Arial"/>
                <w:color w:val="000000"/>
                <w:sz w:val="8"/>
                <w:szCs w:val="8"/>
                <w:lang w:eastAsia="sq-AL"/>
              </w:rPr>
              <w:br/>
              <w:t>• Strategjia Kombëtare për Zhvillim Rural dhe Bujqësi</w:t>
            </w:r>
            <w:r w:rsidRPr="00B6793F">
              <w:rPr>
                <w:rFonts w:ascii="Arial" w:eastAsia="Times New Roman" w:hAnsi="Arial" w:cs="Arial"/>
                <w:color w:val="000000"/>
                <w:sz w:val="8"/>
                <w:szCs w:val="8"/>
                <w:lang w:eastAsia="sq-AL"/>
              </w:rPr>
              <w:br/>
              <w:t>• Plani Kombëtar për Cilësinë e Arsimit dhe Aftësitë Digjitale</w:t>
            </w:r>
            <w:r w:rsidRPr="00B6793F">
              <w:rPr>
                <w:rFonts w:ascii="Arial" w:eastAsia="Times New Roman" w:hAnsi="Arial" w:cs="Arial"/>
                <w:color w:val="000000"/>
                <w:sz w:val="8"/>
                <w:szCs w:val="8"/>
                <w:lang w:eastAsia="sq-AL"/>
              </w:rPr>
              <w:br/>
              <w:t xml:space="preserve">• Etj </w:t>
            </w:r>
          </w:p>
        </w:tc>
        <w:tc>
          <w:tcPr>
            <w:tcW w:w="389" w:type="pct"/>
            <w:tcBorders>
              <w:top w:val="nil"/>
              <w:left w:val="nil"/>
              <w:bottom w:val="single" w:sz="4" w:space="0" w:color="auto"/>
              <w:right w:val="single" w:sz="4" w:space="0" w:color="auto"/>
            </w:tcBorders>
            <w:shd w:val="clear" w:color="auto" w:fill="auto"/>
            <w:vAlign w:val="center"/>
            <w:hideMark/>
          </w:tcPr>
          <w:p w14:paraId="1DCB586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Ekonomik: Parashikohet ndikim pozitiv përmes rritjes së punësimit formal, produktivitetit dhe zhvillimit të qëndrueshëm.  </w:t>
            </w:r>
            <w:r w:rsidRPr="00B6793F">
              <w:rPr>
                <w:rFonts w:ascii="Arial" w:eastAsia="Times New Roman" w:hAnsi="Arial" w:cs="Arial"/>
                <w:color w:val="000000"/>
                <w:sz w:val="8"/>
                <w:szCs w:val="8"/>
                <w:lang w:eastAsia="sq-AL"/>
              </w:rPr>
              <w:br/>
              <w:t xml:space="preserve">Financial: Kërkon koordinim buxhetor dhe investime publike e partnere për mbështetje të reformave.               </w:t>
            </w:r>
            <w:r w:rsidRPr="00B6793F">
              <w:rPr>
                <w:rFonts w:ascii="Arial" w:eastAsia="Times New Roman" w:hAnsi="Arial" w:cs="Arial"/>
                <w:color w:val="000000"/>
                <w:sz w:val="8"/>
                <w:szCs w:val="8"/>
                <w:lang w:eastAsia="sq-AL"/>
              </w:rPr>
              <w:br/>
              <w:t>Social: Ndikon drejtpërdrejt në investimet në kapitalin shoqëror dhe</w:t>
            </w:r>
            <w:r w:rsidRPr="00B6793F">
              <w:rPr>
                <w:rFonts w:ascii="Arial" w:eastAsia="Times New Roman" w:hAnsi="Arial" w:cs="Arial"/>
                <w:color w:val="000000"/>
                <w:sz w:val="8"/>
                <w:szCs w:val="8"/>
                <w:lang w:eastAsia="sq-AL"/>
              </w:rPr>
              <w:br/>
              <w:t>Njerëzor, përmirësimin e barazisë, përfshirjes sociale dhe mbrojtjes së grupeve vulnerabël.</w:t>
            </w:r>
            <w:r w:rsidRPr="00B6793F">
              <w:rPr>
                <w:rFonts w:ascii="Arial" w:eastAsia="Times New Roman" w:hAnsi="Arial" w:cs="Arial"/>
                <w:color w:val="000000"/>
                <w:sz w:val="8"/>
                <w:szCs w:val="8"/>
                <w:lang w:eastAsia="sq-AL"/>
              </w:rPr>
              <w:br/>
              <w:t>Mjedisor: Promovon tranzicionin e gjelbër dhe përdorimin e qëndrueshëm të burimeve natyrore</w:t>
            </w:r>
          </w:p>
        </w:tc>
      </w:tr>
      <w:tr w:rsidR="00973AA3" w:rsidRPr="00B6793F" w14:paraId="0DD130A7"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4C20FA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423" w:type="pct"/>
            <w:tcBorders>
              <w:top w:val="nil"/>
              <w:left w:val="nil"/>
              <w:bottom w:val="single" w:sz="4" w:space="0" w:color="auto"/>
              <w:right w:val="single" w:sz="4" w:space="0" w:color="auto"/>
            </w:tcBorders>
            <w:shd w:val="clear" w:color="auto" w:fill="auto"/>
            <w:vAlign w:val="center"/>
            <w:hideMark/>
          </w:tcPr>
          <w:p w14:paraId="03DE46D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ndryshime në vendimin nr.642, datë 29.10.2021, të Këshillit të Ministrave, "Për krijimin, organizimin dhe funksionimin e Agjencisë Shtetërore të Programimit Strategjik dhe Koordinimit të Ndihmës”, të ndryshuar </w:t>
            </w:r>
          </w:p>
        </w:tc>
        <w:tc>
          <w:tcPr>
            <w:tcW w:w="261" w:type="pct"/>
            <w:tcBorders>
              <w:top w:val="nil"/>
              <w:left w:val="nil"/>
              <w:bottom w:val="single" w:sz="4" w:space="0" w:color="auto"/>
              <w:right w:val="single" w:sz="4" w:space="0" w:color="auto"/>
            </w:tcBorders>
            <w:shd w:val="clear" w:color="auto" w:fill="auto"/>
            <w:vAlign w:val="center"/>
            <w:hideMark/>
          </w:tcPr>
          <w:p w14:paraId="014F83A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627ACC0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1BF1F60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63" w:type="pct"/>
            <w:tcBorders>
              <w:top w:val="nil"/>
              <w:left w:val="nil"/>
              <w:bottom w:val="single" w:sz="4" w:space="0" w:color="auto"/>
              <w:right w:val="single" w:sz="4" w:space="0" w:color="auto"/>
            </w:tcBorders>
            <w:shd w:val="clear" w:color="auto" w:fill="auto"/>
            <w:vAlign w:val="center"/>
            <w:hideMark/>
          </w:tcPr>
          <w:p w14:paraId="2C77FC1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parashikohet të propozohet me qëllim riorganizimin e agjencisë</w:t>
            </w:r>
          </w:p>
        </w:tc>
        <w:tc>
          <w:tcPr>
            <w:tcW w:w="601" w:type="pct"/>
            <w:tcBorders>
              <w:top w:val="nil"/>
              <w:left w:val="nil"/>
              <w:bottom w:val="single" w:sz="4" w:space="0" w:color="auto"/>
              <w:right w:val="single" w:sz="4" w:space="0" w:color="auto"/>
            </w:tcBorders>
            <w:shd w:val="clear" w:color="auto" w:fill="auto"/>
            <w:vAlign w:val="center"/>
            <w:hideMark/>
          </w:tcPr>
          <w:p w14:paraId="120E521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601" w:type="pct"/>
            <w:tcBorders>
              <w:top w:val="nil"/>
              <w:left w:val="nil"/>
              <w:bottom w:val="single" w:sz="4" w:space="0" w:color="auto"/>
              <w:right w:val="single" w:sz="4" w:space="0" w:color="auto"/>
            </w:tcBorders>
            <w:shd w:val="clear" w:color="auto" w:fill="auto"/>
            <w:vAlign w:val="center"/>
            <w:hideMark/>
          </w:tcPr>
          <w:p w14:paraId="4A6F6F5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567" w:type="pct"/>
            <w:tcBorders>
              <w:top w:val="nil"/>
              <w:left w:val="nil"/>
              <w:bottom w:val="single" w:sz="4" w:space="0" w:color="auto"/>
              <w:right w:val="single" w:sz="4" w:space="0" w:color="auto"/>
            </w:tcBorders>
            <w:shd w:val="clear" w:color="auto" w:fill="auto"/>
            <w:vAlign w:val="center"/>
            <w:hideMark/>
          </w:tcPr>
          <w:p w14:paraId="300ECDD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424" w:type="pct"/>
            <w:tcBorders>
              <w:top w:val="nil"/>
              <w:left w:val="nil"/>
              <w:bottom w:val="single" w:sz="4" w:space="0" w:color="auto"/>
              <w:right w:val="single" w:sz="4" w:space="0" w:color="auto"/>
            </w:tcBorders>
            <w:shd w:val="clear" w:color="auto" w:fill="auto"/>
            <w:vAlign w:val="center"/>
            <w:hideMark/>
          </w:tcPr>
          <w:p w14:paraId="42FBB9A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432" w:type="pct"/>
            <w:tcBorders>
              <w:top w:val="nil"/>
              <w:left w:val="nil"/>
              <w:bottom w:val="single" w:sz="4" w:space="0" w:color="auto"/>
              <w:right w:val="single" w:sz="4" w:space="0" w:color="auto"/>
            </w:tcBorders>
            <w:shd w:val="clear" w:color="auto" w:fill="auto"/>
            <w:vAlign w:val="center"/>
            <w:hideMark/>
          </w:tcPr>
          <w:p w14:paraId="4E0D070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389" w:type="pct"/>
            <w:tcBorders>
              <w:top w:val="nil"/>
              <w:left w:val="nil"/>
              <w:bottom w:val="single" w:sz="4" w:space="0" w:color="auto"/>
              <w:right w:val="single" w:sz="4" w:space="0" w:color="auto"/>
            </w:tcBorders>
            <w:shd w:val="clear" w:color="auto" w:fill="auto"/>
            <w:vAlign w:val="center"/>
            <w:hideMark/>
          </w:tcPr>
          <w:p w14:paraId="64D300C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të mundshme për shkak të riorganizimit</w:t>
            </w:r>
          </w:p>
        </w:tc>
      </w:tr>
      <w:tr w:rsidR="00973AA3" w:rsidRPr="00B6793F" w14:paraId="5865232E"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D443B2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23" w:type="pct"/>
            <w:tcBorders>
              <w:top w:val="nil"/>
              <w:left w:val="nil"/>
              <w:bottom w:val="single" w:sz="4" w:space="0" w:color="auto"/>
              <w:right w:val="single" w:sz="4" w:space="0" w:color="auto"/>
            </w:tcBorders>
            <w:shd w:val="clear" w:color="auto" w:fill="auto"/>
            <w:vAlign w:val="center"/>
            <w:hideMark/>
          </w:tcPr>
          <w:p w14:paraId="2D9E21C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listës së substancave ndotëse dhe vlerat kufi të emetimeve të ujërave të ndotura nga burimet industriale, si dhe listën e industrive që gjenerojnë ujëra të ndotura me ngarkesë organike</w:t>
            </w:r>
          </w:p>
        </w:tc>
        <w:tc>
          <w:tcPr>
            <w:tcW w:w="261" w:type="pct"/>
            <w:tcBorders>
              <w:top w:val="nil"/>
              <w:left w:val="nil"/>
              <w:bottom w:val="single" w:sz="4" w:space="0" w:color="auto"/>
              <w:right w:val="single" w:sz="4" w:space="0" w:color="auto"/>
            </w:tcBorders>
            <w:shd w:val="clear" w:color="auto" w:fill="auto"/>
            <w:vAlign w:val="center"/>
            <w:hideMark/>
          </w:tcPr>
          <w:p w14:paraId="2681DA1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5E99145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Kryeministri/Zv. Kryeministri (AMBU)</w:t>
            </w:r>
          </w:p>
        </w:tc>
        <w:tc>
          <w:tcPr>
            <w:tcW w:w="248" w:type="pct"/>
            <w:tcBorders>
              <w:top w:val="nil"/>
              <w:left w:val="nil"/>
              <w:bottom w:val="single" w:sz="4" w:space="0" w:color="auto"/>
              <w:right w:val="single" w:sz="4" w:space="0" w:color="auto"/>
            </w:tcBorders>
            <w:shd w:val="clear" w:color="000000" w:fill="FFFFFF"/>
            <w:vAlign w:val="center"/>
            <w:hideMark/>
          </w:tcPr>
          <w:p w14:paraId="31AE92A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000000" w:fill="FFFFFF"/>
            <w:vAlign w:val="center"/>
            <w:hideMark/>
          </w:tcPr>
          <w:p w14:paraId="113D790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Arsyet kryesore të propozimit të projektaktit lidhen me plotësimin dhe përmirësimin e  kuadrit ligjor për menaxhimin e integruar të burimeve ujore në përgjithësi  dhe përcaktimin e vlerave kufi  të emetimeve për ujërat e ndotura nga burimet industriale, në veçanti, në Republikën e Shqipërisë, në përputhje me legjislacionin Evropian.</w:t>
            </w:r>
          </w:p>
        </w:tc>
        <w:tc>
          <w:tcPr>
            <w:tcW w:w="601" w:type="pct"/>
            <w:tcBorders>
              <w:top w:val="nil"/>
              <w:left w:val="nil"/>
              <w:bottom w:val="single" w:sz="4" w:space="0" w:color="auto"/>
              <w:right w:val="single" w:sz="4" w:space="0" w:color="auto"/>
            </w:tcBorders>
            <w:shd w:val="clear" w:color="auto" w:fill="auto"/>
            <w:vAlign w:val="center"/>
            <w:hideMark/>
          </w:tcPr>
          <w:p w14:paraId="7E5898EB"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synon përcaktimin e listës së substancave ndotëse, të kushteve dhe kërkesave të veçanta për impiantet e incenerimit dhe bashkincenerimit të mbetjeve; përcaktimin e kushteve dhe kërkesave të veçanta për instalimet dhe veprimtaritë që përdorin tretës organikë, të cilat synojnë mbajtjen nën kontroll të emetimeve aksidentale, përcaktimi i kushteve dhe kërkesave të veçanta lidhur me instalimet që prodhojnë dioksid titani, përcaktimin e kritereve për identifikimin e teknikave më të mira të disponueshme lidhur me burimet ujore.</w:t>
            </w:r>
          </w:p>
        </w:tc>
        <w:tc>
          <w:tcPr>
            <w:tcW w:w="601" w:type="pct"/>
            <w:tcBorders>
              <w:top w:val="nil"/>
              <w:left w:val="nil"/>
              <w:bottom w:val="single" w:sz="4" w:space="0" w:color="auto"/>
              <w:right w:val="single" w:sz="4" w:space="0" w:color="auto"/>
            </w:tcBorders>
            <w:shd w:val="clear" w:color="000000" w:fill="FFFFFF"/>
            <w:vAlign w:val="center"/>
            <w:hideMark/>
          </w:tcPr>
          <w:p w14:paraId="27EF62F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27)</w:t>
            </w:r>
          </w:p>
        </w:tc>
        <w:tc>
          <w:tcPr>
            <w:tcW w:w="567" w:type="pct"/>
            <w:tcBorders>
              <w:top w:val="nil"/>
              <w:left w:val="nil"/>
              <w:bottom w:val="single" w:sz="4" w:space="0" w:color="000000"/>
              <w:right w:val="single" w:sz="4" w:space="0" w:color="000000"/>
            </w:tcBorders>
            <w:shd w:val="clear" w:color="auto" w:fill="auto"/>
            <w:vAlign w:val="center"/>
            <w:hideMark/>
          </w:tcPr>
          <w:p w14:paraId="25B541E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Paragrafi 5, gërma c, pika 3.6 Mbrojtja e Mjedisit dhe Ndryshimet Klimatike, Shtylla III Mirëqenie për të gjithë</w:t>
            </w:r>
          </w:p>
        </w:tc>
        <w:tc>
          <w:tcPr>
            <w:tcW w:w="424" w:type="pct"/>
            <w:tcBorders>
              <w:top w:val="nil"/>
              <w:left w:val="nil"/>
              <w:bottom w:val="single" w:sz="4" w:space="0" w:color="000000"/>
              <w:right w:val="nil"/>
            </w:tcBorders>
            <w:shd w:val="clear" w:color="auto" w:fill="auto"/>
            <w:vAlign w:val="center"/>
            <w:hideMark/>
          </w:tcPr>
          <w:p w14:paraId="35AD108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 2022-2030,                          Strategjia Kombëtare e Menaxhimit të Integruar të Burimeve Ujore 2018-2035</w:t>
            </w:r>
          </w:p>
        </w:tc>
        <w:tc>
          <w:tcPr>
            <w:tcW w:w="432" w:type="pct"/>
            <w:tcBorders>
              <w:top w:val="nil"/>
              <w:left w:val="single" w:sz="4" w:space="0" w:color="auto"/>
              <w:bottom w:val="single" w:sz="4" w:space="0" w:color="auto"/>
              <w:right w:val="nil"/>
            </w:tcBorders>
            <w:shd w:val="clear" w:color="auto" w:fill="auto"/>
            <w:vAlign w:val="center"/>
            <w:hideMark/>
          </w:tcPr>
          <w:p w14:paraId="4B60094C"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3E5184E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4D7F8D6C"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B03868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423" w:type="pct"/>
            <w:tcBorders>
              <w:top w:val="nil"/>
              <w:left w:val="nil"/>
              <w:bottom w:val="single" w:sz="4" w:space="0" w:color="auto"/>
              <w:right w:val="single" w:sz="4" w:space="0" w:color="auto"/>
            </w:tcBorders>
            <w:shd w:val="clear" w:color="auto" w:fill="auto"/>
            <w:vAlign w:val="center"/>
            <w:hideMark/>
          </w:tcPr>
          <w:p w14:paraId="114DF68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kërkesave për përmbajtjen, hartimin dhe zbatimin e Strategjisë Kombëtare për Menaxhimin e Integruar të Burimeve Ujore, elementëve të Planeve të Menaxhimit të Baseneve Lumore, elementëve të metodologjisë për kryerjen e e vlerësimit paraprak të riskut nga përmbytjet, si dhe të elemetëve të metodologjisë për hartimin e Planeve të Menaxhimit të riskut nga përmbytjet</w:t>
            </w:r>
          </w:p>
        </w:tc>
        <w:tc>
          <w:tcPr>
            <w:tcW w:w="261" w:type="pct"/>
            <w:tcBorders>
              <w:top w:val="nil"/>
              <w:left w:val="nil"/>
              <w:bottom w:val="single" w:sz="4" w:space="0" w:color="auto"/>
              <w:right w:val="single" w:sz="4" w:space="0" w:color="auto"/>
            </w:tcBorders>
            <w:shd w:val="clear" w:color="auto" w:fill="auto"/>
            <w:vAlign w:val="center"/>
            <w:hideMark/>
          </w:tcPr>
          <w:p w14:paraId="76F7D6C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1CF6CD6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Kryeministri/Zv. Kryeministri (AMBU)</w:t>
            </w:r>
          </w:p>
        </w:tc>
        <w:tc>
          <w:tcPr>
            <w:tcW w:w="248" w:type="pct"/>
            <w:tcBorders>
              <w:top w:val="nil"/>
              <w:left w:val="nil"/>
              <w:bottom w:val="single" w:sz="4" w:space="0" w:color="auto"/>
              <w:right w:val="single" w:sz="4" w:space="0" w:color="auto"/>
            </w:tcBorders>
            <w:shd w:val="clear" w:color="000000" w:fill="FFFFFF"/>
            <w:vAlign w:val="center"/>
            <w:hideMark/>
          </w:tcPr>
          <w:p w14:paraId="4331FAA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auto" w:fill="auto"/>
            <w:vAlign w:val="center"/>
            <w:hideMark/>
          </w:tcPr>
          <w:p w14:paraId="6F69882C"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Arsyet kryesore të propozimit të projektaktit lidhen me plotësimin dhe përmirësimin e  kuadrit ligjor për menaxhimin e integruar të burimeve ujore në përgjithësi dhe me përcaktimin e  metodologjisë së hartimit të Strategjisë Kombëtare për Menaxhimin e Integruar të Burimeve Ujore,  Planeve të Menaxhimit të Baseneve Lumore, si dhe Planeve të Menaxhimit të riskut nga përmbytje,  në përputhje me legjislacionin Evropian</w:t>
            </w:r>
          </w:p>
        </w:tc>
        <w:tc>
          <w:tcPr>
            <w:tcW w:w="601" w:type="pct"/>
            <w:tcBorders>
              <w:top w:val="nil"/>
              <w:left w:val="nil"/>
              <w:bottom w:val="single" w:sz="4" w:space="0" w:color="auto"/>
              <w:right w:val="single" w:sz="4" w:space="0" w:color="auto"/>
            </w:tcBorders>
            <w:shd w:val="clear" w:color="auto" w:fill="auto"/>
            <w:vAlign w:val="center"/>
            <w:hideMark/>
          </w:tcPr>
          <w:p w14:paraId="3E99DFF8"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synon  përcaktimin kërkesave për përmbajtjen, hartimin dhe zbatimin e Strategjisë Kombëtare për Menaxhimin e Integruar të Burimeve Ujore, elementëve të Planeve të Menaxhimit të Baseneve Lumore, elementëve të metodologjisë për kryerjen e e vlerësimit paraprak të riskut nga përmbytjet, si dhe të elemetëve të metodologjisë për hartimin e Planeve të Menaxhimit të riskut nga përmbytje.</w:t>
            </w:r>
          </w:p>
        </w:tc>
        <w:tc>
          <w:tcPr>
            <w:tcW w:w="601" w:type="pct"/>
            <w:tcBorders>
              <w:top w:val="nil"/>
              <w:left w:val="nil"/>
              <w:bottom w:val="single" w:sz="4" w:space="0" w:color="auto"/>
              <w:right w:val="single" w:sz="4" w:space="0" w:color="auto"/>
            </w:tcBorders>
            <w:shd w:val="clear" w:color="000000" w:fill="FFFFFF"/>
            <w:vAlign w:val="center"/>
            <w:hideMark/>
          </w:tcPr>
          <w:p w14:paraId="3031FAC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27)</w:t>
            </w:r>
          </w:p>
        </w:tc>
        <w:tc>
          <w:tcPr>
            <w:tcW w:w="567" w:type="pct"/>
            <w:tcBorders>
              <w:top w:val="nil"/>
              <w:left w:val="nil"/>
              <w:bottom w:val="single" w:sz="4" w:space="0" w:color="000000"/>
              <w:right w:val="single" w:sz="4" w:space="0" w:color="000000"/>
            </w:tcBorders>
            <w:shd w:val="clear" w:color="auto" w:fill="auto"/>
            <w:vAlign w:val="center"/>
            <w:hideMark/>
          </w:tcPr>
          <w:p w14:paraId="086F257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Paragrafi 5, gërma c, pika 3.6 Mbrojtja e Mjedisit dhe Ndryshimet Klimatike, Shtylla III Mirëqenie për të gjithë</w:t>
            </w:r>
          </w:p>
        </w:tc>
        <w:tc>
          <w:tcPr>
            <w:tcW w:w="424" w:type="pct"/>
            <w:tcBorders>
              <w:top w:val="nil"/>
              <w:left w:val="nil"/>
              <w:bottom w:val="single" w:sz="4" w:space="0" w:color="000000"/>
              <w:right w:val="nil"/>
            </w:tcBorders>
            <w:shd w:val="clear" w:color="auto" w:fill="auto"/>
            <w:vAlign w:val="center"/>
            <w:hideMark/>
          </w:tcPr>
          <w:p w14:paraId="2AFC6F3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 2022-2030,                          Strategjia Kombëtare e Menaxhimit të Integruar të Burimeve Ujore 2018-2036</w:t>
            </w:r>
          </w:p>
        </w:tc>
        <w:tc>
          <w:tcPr>
            <w:tcW w:w="432" w:type="pct"/>
            <w:tcBorders>
              <w:top w:val="nil"/>
              <w:left w:val="single" w:sz="4" w:space="0" w:color="auto"/>
              <w:bottom w:val="single" w:sz="4" w:space="0" w:color="auto"/>
              <w:right w:val="nil"/>
            </w:tcBorders>
            <w:shd w:val="clear" w:color="auto" w:fill="auto"/>
            <w:vAlign w:val="center"/>
            <w:hideMark/>
          </w:tcPr>
          <w:p w14:paraId="3144556C"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258DD70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401BF8B8"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1614C9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423" w:type="pct"/>
            <w:tcBorders>
              <w:top w:val="nil"/>
              <w:left w:val="nil"/>
              <w:bottom w:val="single" w:sz="4" w:space="0" w:color="auto"/>
              <w:right w:val="single" w:sz="4" w:space="0" w:color="auto"/>
            </w:tcBorders>
            <w:shd w:val="clear" w:color="auto" w:fill="auto"/>
            <w:vAlign w:val="center"/>
            <w:hideMark/>
          </w:tcPr>
          <w:p w14:paraId="7CC3127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kërkesave dhe standardeve të projektimit, ndërtimit dhe mirëmbajtjes së sistemeve të kanalizimeve,kriteret e shkarkimeve nga impiantet e trajtimit të ujërave të </w:t>
            </w:r>
            <w:r w:rsidRPr="00B6793F">
              <w:rPr>
                <w:rFonts w:ascii="Arial" w:eastAsia="Times New Roman" w:hAnsi="Arial" w:cs="Arial"/>
                <w:color w:val="000000"/>
                <w:sz w:val="8"/>
                <w:szCs w:val="8"/>
                <w:lang w:eastAsia="sq-AL"/>
              </w:rPr>
              <w:lastRenderedPageBreak/>
              <w:t>ndotura urbane, si dhe kriteret e identifikimit të zonave të ndjeshme dhe më pak të ndjeshme</w:t>
            </w:r>
          </w:p>
        </w:tc>
        <w:tc>
          <w:tcPr>
            <w:tcW w:w="261" w:type="pct"/>
            <w:tcBorders>
              <w:top w:val="nil"/>
              <w:left w:val="nil"/>
              <w:bottom w:val="single" w:sz="4" w:space="0" w:color="auto"/>
              <w:right w:val="single" w:sz="4" w:space="0" w:color="auto"/>
            </w:tcBorders>
            <w:shd w:val="clear" w:color="auto" w:fill="auto"/>
            <w:vAlign w:val="center"/>
            <w:hideMark/>
          </w:tcPr>
          <w:p w14:paraId="62A85D7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Projektvendim</w:t>
            </w:r>
          </w:p>
        </w:tc>
        <w:tc>
          <w:tcPr>
            <w:tcW w:w="374" w:type="pct"/>
            <w:tcBorders>
              <w:top w:val="nil"/>
              <w:left w:val="nil"/>
              <w:bottom w:val="single" w:sz="4" w:space="0" w:color="auto"/>
              <w:right w:val="single" w:sz="4" w:space="0" w:color="auto"/>
            </w:tcBorders>
            <w:shd w:val="clear" w:color="auto" w:fill="auto"/>
            <w:vAlign w:val="center"/>
            <w:hideMark/>
          </w:tcPr>
          <w:p w14:paraId="70173A6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Kryeministri/Zv. Kryeministri (AMBU)</w:t>
            </w:r>
          </w:p>
        </w:tc>
        <w:tc>
          <w:tcPr>
            <w:tcW w:w="248" w:type="pct"/>
            <w:tcBorders>
              <w:top w:val="nil"/>
              <w:left w:val="nil"/>
              <w:bottom w:val="single" w:sz="4" w:space="0" w:color="auto"/>
              <w:right w:val="single" w:sz="4" w:space="0" w:color="auto"/>
            </w:tcBorders>
            <w:shd w:val="clear" w:color="000000" w:fill="FFFFFF"/>
            <w:vAlign w:val="center"/>
            <w:hideMark/>
          </w:tcPr>
          <w:p w14:paraId="46298CB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000000" w:fill="FFFFFF"/>
            <w:vAlign w:val="center"/>
            <w:hideMark/>
          </w:tcPr>
          <w:p w14:paraId="4309156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Arsyet kryesore të propozimit të projektaktit lidhen me plotësimin dhe përmirësimin e  kuadrit ligjor për menaxhimin e integruar të burimeve ujore në përgjithësi  dhe të kërkesave dhe standardeve të projektimit, ndërtimit dhe mirëmbajtjes së </w:t>
            </w:r>
            <w:r w:rsidRPr="00B6793F">
              <w:rPr>
                <w:rFonts w:ascii="Arial" w:eastAsia="Times New Roman" w:hAnsi="Arial" w:cs="Arial"/>
                <w:color w:val="000000"/>
                <w:sz w:val="8"/>
                <w:szCs w:val="8"/>
                <w:lang w:eastAsia="sq-AL"/>
              </w:rPr>
              <w:lastRenderedPageBreak/>
              <w:t>sistemeve të kanalizimeve, kriteret e shkarkimeve nga impiantet e trajtimit të ujërave të ndotura urbane, si dhe kriteret e identifikimit të zonave të ndjeshme dhe më pak të ndjeshme, në veçanti në Republikën e Shqipërisë, në përputhje me legjislacionin Evropian.</w:t>
            </w:r>
          </w:p>
        </w:tc>
        <w:tc>
          <w:tcPr>
            <w:tcW w:w="601" w:type="pct"/>
            <w:tcBorders>
              <w:top w:val="nil"/>
              <w:left w:val="nil"/>
              <w:bottom w:val="single" w:sz="4" w:space="0" w:color="auto"/>
              <w:right w:val="single" w:sz="4" w:space="0" w:color="auto"/>
            </w:tcBorders>
            <w:shd w:val="clear" w:color="auto" w:fill="auto"/>
            <w:vAlign w:val="center"/>
            <w:hideMark/>
          </w:tcPr>
          <w:p w14:paraId="4E8651ED"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 xml:space="preserve">Projektvendimi synon përcaktimin e  kërkesave dhe standardeve të projektimit, ndërtimit dhe mirëmbajtjes së sistemeve të kanalizimeve,kriteret e shkarkimeve nga impiantet e trajtimit të ujërave të ndotura urbane, si dhe kriteret </w:t>
            </w:r>
            <w:r w:rsidRPr="00B6793F">
              <w:rPr>
                <w:rFonts w:ascii="Arial" w:eastAsia="Times New Roman" w:hAnsi="Arial" w:cs="Arial"/>
                <w:sz w:val="8"/>
                <w:szCs w:val="8"/>
                <w:lang w:eastAsia="sq-AL"/>
              </w:rPr>
              <w:lastRenderedPageBreak/>
              <w:t>e identifikimit të zonave të ndjeshme dhe më pak të ndjeshme</w:t>
            </w:r>
          </w:p>
        </w:tc>
        <w:tc>
          <w:tcPr>
            <w:tcW w:w="601" w:type="pct"/>
            <w:tcBorders>
              <w:top w:val="nil"/>
              <w:left w:val="nil"/>
              <w:bottom w:val="single" w:sz="4" w:space="0" w:color="auto"/>
              <w:right w:val="single" w:sz="4" w:space="0" w:color="auto"/>
            </w:tcBorders>
            <w:shd w:val="clear" w:color="000000" w:fill="FFFFFF"/>
            <w:vAlign w:val="center"/>
            <w:hideMark/>
          </w:tcPr>
          <w:p w14:paraId="1201DE9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po (Kapitulli 27)</w:t>
            </w:r>
          </w:p>
        </w:tc>
        <w:tc>
          <w:tcPr>
            <w:tcW w:w="567" w:type="pct"/>
            <w:tcBorders>
              <w:top w:val="nil"/>
              <w:left w:val="nil"/>
              <w:bottom w:val="single" w:sz="4" w:space="0" w:color="000000"/>
              <w:right w:val="single" w:sz="4" w:space="0" w:color="000000"/>
            </w:tcBorders>
            <w:shd w:val="clear" w:color="auto" w:fill="auto"/>
            <w:vAlign w:val="center"/>
            <w:hideMark/>
          </w:tcPr>
          <w:p w14:paraId="6CC448F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Paragrafi 5, gërma c, pika 3.6 Mbrojtja e Mjedisit dhe Ndryshimet Klimatike, Shtylla III Mirëqenie për të gjithë</w:t>
            </w:r>
          </w:p>
        </w:tc>
        <w:tc>
          <w:tcPr>
            <w:tcW w:w="424" w:type="pct"/>
            <w:tcBorders>
              <w:top w:val="nil"/>
              <w:left w:val="nil"/>
              <w:bottom w:val="single" w:sz="4" w:space="0" w:color="000000"/>
              <w:right w:val="nil"/>
            </w:tcBorders>
            <w:shd w:val="clear" w:color="auto" w:fill="auto"/>
            <w:vAlign w:val="center"/>
            <w:hideMark/>
          </w:tcPr>
          <w:p w14:paraId="413072A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 2022-2030,                          Strategjia Kombëtare e Menaxhimit të Integruar të Burimeve Ujore 2018-2037</w:t>
            </w:r>
          </w:p>
        </w:tc>
        <w:tc>
          <w:tcPr>
            <w:tcW w:w="432" w:type="pct"/>
            <w:tcBorders>
              <w:top w:val="nil"/>
              <w:left w:val="single" w:sz="4" w:space="0" w:color="auto"/>
              <w:bottom w:val="single" w:sz="4" w:space="0" w:color="auto"/>
              <w:right w:val="nil"/>
            </w:tcBorders>
            <w:shd w:val="clear" w:color="auto" w:fill="auto"/>
            <w:vAlign w:val="center"/>
            <w:hideMark/>
          </w:tcPr>
          <w:p w14:paraId="7AABC77C"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2B10D72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599AEF03"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C21921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423" w:type="pct"/>
            <w:tcBorders>
              <w:top w:val="nil"/>
              <w:left w:val="nil"/>
              <w:bottom w:val="single" w:sz="4" w:space="0" w:color="auto"/>
              <w:right w:val="single" w:sz="4" w:space="0" w:color="auto"/>
            </w:tcBorders>
            <w:shd w:val="clear" w:color="auto" w:fill="auto"/>
            <w:vAlign w:val="center"/>
            <w:hideMark/>
          </w:tcPr>
          <w:p w14:paraId="7EEE881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kitereve e kërkesave për mbrojtjen e ujërave nga nitratet me origjinë bujqësore, elementëve minimalë që duhet të përmbajë kodi I praktikave të mira bujqësore, elementet udhëzuese për identifikimin e masave, të cilat do të përfshihen në programet e veprimit lidhur me zonat e shpallura vulnerabël, si dhe të metodave referncë të matjeve</w:t>
            </w:r>
          </w:p>
        </w:tc>
        <w:tc>
          <w:tcPr>
            <w:tcW w:w="261" w:type="pct"/>
            <w:tcBorders>
              <w:top w:val="nil"/>
              <w:left w:val="nil"/>
              <w:bottom w:val="single" w:sz="4" w:space="0" w:color="auto"/>
              <w:right w:val="single" w:sz="4" w:space="0" w:color="auto"/>
            </w:tcBorders>
            <w:shd w:val="clear" w:color="auto" w:fill="auto"/>
            <w:vAlign w:val="center"/>
            <w:hideMark/>
          </w:tcPr>
          <w:p w14:paraId="1FE7F7B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21169F5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Kryeministri/Zv. Kryeministri (AMBU)</w:t>
            </w:r>
          </w:p>
        </w:tc>
        <w:tc>
          <w:tcPr>
            <w:tcW w:w="248" w:type="pct"/>
            <w:tcBorders>
              <w:top w:val="nil"/>
              <w:left w:val="nil"/>
              <w:bottom w:val="single" w:sz="4" w:space="0" w:color="auto"/>
              <w:right w:val="single" w:sz="4" w:space="0" w:color="auto"/>
            </w:tcBorders>
            <w:shd w:val="clear" w:color="000000" w:fill="FFFFFF"/>
            <w:vAlign w:val="center"/>
            <w:hideMark/>
          </w:tcPr>
          <w:p w14:paraId="7BEAA19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000000" w:fill="FFFFFF"/>
            <w:vAlign w:val="center"/>
            <w:hideMark/>
          </w:tcPr>
          <w:p w14:paraId="7347174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Arsyet kryesore të propozimit të projektaktit lidhen me plotësimin dhe përmirësimin e  kuadrit ligjor për menaxhimin e integruar të burimeve ujore në përgjithësi  dhe e kitereve e kërkesave për mbrojtjen e ujërave nga nitratet me origjinë bujqësore, elementëve minimalë që duhet të përmbajë kodi I praktikave të mira bujqësore, elementet udhëzuese për identifikimin e masave, të cilat do të përfshihen në programet e veprimit lidhur me zonat e shpallura vulnerabël, si dhe të metodave referncë të matjeve, në veçanti në Republikën e Shqipërisë, në përputhje me legjislacionin Evropian.</w:t>
            </w:r>
          </w:p>
        </w:tc>
        <w:tc>
          <w:tcPr>
            <w:tcW w:w="601" w:type="pct"/>
            <w:tcBorders>
              <w:top w:val="nil"/>
              <w:left w:val="nil"/>
              <w:bottom w:val="single" w:sz="4" w:space="0" w:color="auto"/>
              <w:right w:val="single" w:sz="4" w:space="0" w:color="auto"/>
            </w:tcBorders>
            <w:shd w:val="clear" w:color="auto" w:fill="auto"/>
            <w:vAlign w:val="center"/>
            <w:hideMark/>
          </w:tcPr>
          <w:p w14:paraId="0954891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të përcaktojë kiteret e kërkesat për mbrojtjen e ujërave nga nitratet me origjinë bujqësore, përcaktimin e elementëve minimalë që duhet të përmbajë kodi I praktikave të mira bujqësore, që synojnë zvogëlimin e ndotjes nga nitratet dhe marrjen parasysh të kushteve të rajoneve të ndryshme, përcaktimin e elementëve udhëzuese për identifikimin e masave, të cilat do të përfshihen në programet e veprimit lidhur me zonat e shpallura vulnerabël, si dhe të metodave referncë që aplikohen për të matjet.</w:t>
            </w:r>
          </w:p>
        </w:tc>
        <w:tc>
          <w:tcPr>
            <w:tcW w:w="601" w:type="pct"/>
            <w:tcBorders>
              <w:top w:val="nil"/>
              <w:left w:val="nil"/>
              <w:bottom w:val="single" w:sz="4" w:space="0" w:color="auto"/>
              <w:right w:val="single" w:sz="4" w:space="0" w:color="auto"/>
            </w:tcBorders>
            <w:shd w:val="clear" w:color="000000" w:fill="FFFFFF"/>
            <w:vAlign w:val="center"/>
            <w:hideMark/>
          </w:tcPr>
          <w:p w14:paraId="0B1AD9F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27)</w:t>
            </w:r>
          </w:p>
        </w:tc>
        <w:tc>
          <w:tcPr>
            <w:tcW w:w="567" w:type="pct"/>
            <w:tcBorders>
              <w:top w:val="nil"/>
              <w:left w:val="nil"/>
              <w:bottom w:val="single" w:sz="4" w:space="0" w:color="000000"/>
              <w:right w:val="single" w:sz="4" w:space="0" w:color="000000"/>
            </w:tcBorders>
            <w:shd w:val="clear" w:color="auto" w:fill="auto"/>
            <w:vAlign w:val="center"/>
            <w:hideMark/>
          </w:tcPr>
          <w:p w14:paraId="2027D60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Paragrafi 5, gërma c, pika 3.6 Mbrojtja e Mjedisit dhe Ndryshimet Klimatike, Shtylla III Mirëqenie për të gjithë</w:t>
            </w:r>
          </w:p>
        </w:tc>
        <w:tc>
          <w:tcPr>
            <w:tcW w:w="424" w:type="pct"/>
            <w:tcBorders>
              <w:top w:val="nil"/>
              <w:left w:val="nil"/>
              <w:bottom w:val="single" w:sz="4" w:space="0" w:color="000000"/>
              <w:right w:val="nil"/>
            </w:tcBorders>
            <w:shd w:val="clear" w:color="auto" w:fill="auto"/>
            <w:vAlign w:val="center"/>
            <w:hideMark/>
          </w:tcPr>
          <w:p w14:paraId="334BB95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 2022-2030,                          Strategjia Kombëtare e Menaxhimit të Integruar të Burimeve Ujore 2018-2038</w:t>
            </w:r>
          </w:p>
        </w:tc>
        <w:tc>
          <w:tcPr>
            <w:tcW w:w="432" w:type="pct"/>
            <w:tcBorders>
              <w:top w:val="nil"/>
              <w:left w:val="single" w:sz="4" w:space="0" w:color="auto"/>
              <w:bottom w:val="single" w:sz="4" w:space="0" w:color="auto"/>
              <w:right w:val="nil"/>
            </w:tcBorders>
            <w:shd w:val="clear" w:color="auto" w:fill="auto"/>
            <w:vAlign w:val="center"/>
            <w:hideMark/>
          </w:tcPr>
          <w:p w14:paraId="7B113748"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5E82C3B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7D578D8C"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7D0346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423" w:type="pct"/>
            <w:tcBorders>
              <w:top w:val="nil"/>
              <w:left w:val="nil"/>
              <w:bottom w:val="single" w:sz="4" w:space="0" w:color="000000"/>
              <w:right w:val="single" w:sz="4" w:space="0" w:color="000000"/>
            </w:tcBorders>
            <w:shd w:val="clear" w:color="auto" w:fill="auto"/>
            <w:vAlign w:val="center"/>
            <w:hideMark/>
          </w:tcPr>
          <w:p w14:paraId="79767BD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kerkesat e sigurise kibernetike per produktet me elemente digjitale dhe qendrueshmerine kibernetike</w:t>
            </w:r>
          </w:p>
        </w:tc>
        <w:tc>
          <w:tcPr>
            <w:tcW w:w="261" w:type="pct"/>
            <w:tcBorders>
              <w:top w:val="nil"/>
              <w:left w:val="nil"/>
              <w:bottom w:val="single" w:sz="4" w:space="0" w:color="000000"/>
              <w:right w:val="nil"/>
            </w:tcBorders>
            <w:shd w:val="clear" w:color="auto" w:fill="auto"/>
            <w:vAlign w:val="center"/>
            <w:hideMark/>
          </w:tcPr>
          <w:p w14:paraId="517940E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74" w:type="pct"/>
            <w:tcBorders>
              <w:top w:val="nil"/>
              <w:left w:val="single" w:sz="4" w:space="0" w:color="000000"/>
              <w:bottom w:val="single" w:sz="4" w:space="0" w:color="000000"/>
              <w:right w:val="single" w:sz="4" w:space="0" w:color="000000"/>
            </w:tcBorders>
            <w:shd w:val="clear" w:color="auto" w:fill="auto"/>
            <w:vAlign w:val="center"/>
            <w:hideMark/>
          </w:tcPr>
          <w:p w14:paraId="33BB52C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(AKSK)</w:t>
            </w:r>
          </w:p>
        </w:tc>
        <w:tc>
          <w:tcPr>
            <w:tcW w:w="248" w:type="pct"/>
            <w:tcBorders>
              <w:top w:val="nil"/>
              <w:left w:val="nil"/>
              <w:bottom w:val="single" w:sz="4" w:space="0" w:color="auto"/>
              <w:right w:val="single" w:sz="4" w:space="0" w:color="auto"/>
            </w:tcBorders>
            <w:shd w:val="clear" w:color="auto" w:fill="auto"/>
            <w:vAlign w:val="center"/>
            <w:hideMark/>
          </w:tcPr>
          <w:p w14:paraId="34628D7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000000"/>
              <w:right w:val="single" w:sz="4" w:space="0" w:color="000000"/>
            </w:tcBorders>
            <w:shd w:val="clear" w:color="auto" w:fill="auto"/>
            <w:vAlign w:val="center"/>
            <w:hideMark/>
          </w:tcPr>
          <w:p w14:paraId="43DA799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601" w:type="pct"/>
            <w:tcBorders>
              <w:top w:val="nil"/>
              <w:left w:val="nil"/>
              <w:bottom w:val="single" w:sz="4" w:space="0" w:color="000000"/>
              <w:right w:val="nil"/>
            </w:tcBorders>
            <w:shd w:val="clear" w:color="auto" w:fill="auto"/>
            <w:vAlign w:val="center"/>
            <w:hideMark/>
          </w:tcPr>
          <w:p w14:paraId="2F77111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Projektligji transpozon Rregulloren e BE nr.2024/2847 mbi kerkesat horizontale te sigurise kibernetike per produktet me elemente digjitale dhe ndryshimin e rregullores se BE nr.168/2013 dhe 2019/1020 dhe Direktives 2020/1828</w:t>
            </w:r>
          </w:p>
        </w:tc>
        <w:tc>
          <w:tcPr>
            <w:tcW w:w="601" w:type="pct"/>
            <w:tcBorders>
              <w:top w:val="nil"/>
              <w:left w:val="single" w:sz="4" w:space="0" w:color="auto"/>
              <w:bottom w:val="single" w:sz="4" w:space="0" w:color="auto"/>
              <w:right w:val="single" w:sz="4" w:space="0" w:color="auto"/>
            </w:tcBorders>
            <w:shd w:val="clear" w:color="auto" w:fill="auto"/>
            <w:vAlign w:val="center"/>
            <w:hideMark/>
          </w:tcPr>
          <w:p w14:paraId="05D654A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567" w:type="pct"/>
            <w:tcBorders>
              <w:top w:val="nil"/>
              <w:left w:val="nil"/>
              <w:bottom w:val="single" w:sz="4" w:space="0" w:color="auto"/>
              <w:right w:val="single" w:sz="4" w:space="0" w:color="auto"/>
            </w:tcBorders>
            <w:shd w:val="clear" w:color="auto" w:fill="auto"/>
            <w:vAlign w:val="center"/>
            <w:hideMark/>
          </w:tcPr>
          <w:p w14:paraId="0A7B3DB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24" w:type="pct"/>
            <w:tcBorders>
              <w:top w:val="nil"/>
              <w:left w:val="nil"/>
              <w:bottom w:val="single" w:sz="4" w:space="0" w:color="auto"/>
              <w:right w:val="single" w:sz="4" w:space="0" w:color="auto"/>
            </w:tcBorders>
            <w:shd w:val="clear" w:color="auto" w:fill="auto"/>
            <w:vAlign w:val="center"/>
            <w:hideMark/>
          </w:tcPr>
          <w:p w14:paraId="34FBC9F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2" w:type="pct"/>
            <w:tcBorders>
              <w:top w:val="nil"/>
              <w:left w:val="nil"/>
              <w:bottom w:val="single" w:sz="4" w:space="0" w:color="auto"/>
              <w:right w:val="nil"/>
            </w:tcBorders>
            <w:shd w:val="clear" w:color="auto" w:fill="auto"/>
            <w:vAlign w:val="center"/>
            <w:hideMark/>
          </w:tcPr>
          <w:p w14:paraId="3A8091F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16CFDF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7798B934"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2DE234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423" w:type="pct"/>
            <w:tcBorders>
              <w:top w:val="nil"/>
              <w:left w:val="nil"/>
              <w:bottom w:val="single" w:sz="4" w:space="0" w:color="auto"/>
              <w:right w:val="single" w:sz="4" w:space="0" w:color="auto"/>
            </w:tcBorders>
            <w:shd w:val="clear" w:color="auto" w:fill="auto"/>
            <w:vAlign w:val="center"/>
            <w:hideMark/>
          </w:tcPr>
          <w:p w14:paraId="3EFC388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hartës së vlerës së tokës në RSH</w:t>
            </w:r>
          </w:p>
        </w:tc>
        <w:tc>
          <w:tcPr>
            <w:tcW w:w="261" w:type="pct"/>
            <w:tcBorders>
              <w:top w:val="nil"/>
              <w:left w:val="nil"/>
              <w:bottom w:val="single" w:sz="4" w:space="0" w:color="auto"/>
              <w:right w:val="single" w:sz="4" w:space="0" w:color="auto"/>
            </w:tcBorders>
            <w:shd w:val="clear" w:color="auto" w:fill="auto"/>
            <w:vAlign w:val="center"/>
            <w:hideMark/>
          </w:tcPr>
          <w:p w14:paraId="6D1175C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51E0FC6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(ASHK)</w:t>
            </w:r>
          </w:p>
        </w:tc>
        <w:tc>
          <w:tcPr>
            <w:tcW w:w="248" w:type="pct"/>
            <w:tcBorders>
              <w:top w:val="nil"/>
              <w:left w:val="nil"/>
              <w:bottom w:val="single" w:sz="4" w:space="0" w:color="auto"/>
              <w:right w:val="single" w:sz="4" w:space="0" w:color="auto"/>
            </w:tcBorders>
            <w:shd w:val="clear" w:color="auto" w:fill="auto"/>
            <w:vAlign w:val="center"/>
            <w:hideMark/>
          </w:tcPr>
          <w:p w14:paraId="3F3F1D6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auto" w:fill="auto"/>
            <w:vAlign w:val="center"/>
            <w:hideMark/>
          </w:tcPr>
          <w:p w14:paraId="7357140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funksion të përmirësimit të punës dhe ecurisë së  veprimtarisë së ASHK dhe detyrimeve që burojnë nga ligji nr.111/2018 " Për Kadastrën", neni 9, pika 2, germa k.</w:t>
            </w:r>
          </w:p>
        </w:tc>
        <w:tc>
          <w:tcPr>
            <w:tcW w:w="601" w:type="pct"/>
            <w:tcBorders>
              <w:top w:val="nil"/>
              <w:left w:val="nil"/>
              <w:bottom w:val="single" w:sz="4" w:space="0" w:color="auto"/>
              <w:right w:val="single" w:sz="4" w:space="0" w:color="auto"/>
            </w:tcBorders>
            <w:shd w:val="clear" w:color="auto" w:fill="auto"/>
            <w:vAlign w:val="center"/>
            <w:hideMark/>
          </w:tcPr>
          <w:p w14:paraId="6EA7A80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Përcaktojë hartën e vlerës së tokës në RSH (pasurive të paluajtshme truall, tokë bujqësore, pyll, livadh, kullote), në zbatim të nenit 9/2/k të ligjit nr.111/2018 "Për Kadastrën"</w:t>
            </w:r>
          </w:p>
        </w:tc>
        <w:tc>
          <w:tcPr>
            <w:tcW w:w="601" w:type="pct"/>
            <w:tcBorders>
              <w:top w:val="nil"/>
              <w:left w:val="nil"/>
              <w:bottom w:val="single" w:sz="4" w:space="0" w:color="auto"/>
              <w:right w:val="single" w:sz="4" w:space="0" w:color="auto"/>
            </w:tcBorders>
            <w:shd w:val="clear" w:color="auto" w:fill="auto"/>
            <w:vAlign w:val="center"/>
            <w:hideMark/>
          </w:tcPr>
          <w:p w14:paraId="30E52460"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61B1540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Përputhet  me programin politik të qeverisë dhe konkretisht me kreun  "Kreun  "Administratës Publike, Antikorrupsioni dhe Transparenca" (faqe 15)</w:t>
            </w:r>
          </w:p>
        </w:tc>
        <w:tc>
          <w:tcPr>
            <w:tcW w:w="424" w:type="pct"/>
            <w:tcBorders>
              <w:top w:val="nil"/>
              <w:left w:val="nil"/>
              <w:bottom w:val="single" w:sz="4" w:space="0" w:color="auto"/>
              <w:right w:val="single" w:sz="4" w:space="0" w:color="auto"/>
            </w:tcBorders>
            <w:shd w:val="clear" w:color="auto" w:fill="auto"/>
            <w:vAlign w:val="center"/>
            <w:hideMark/>
          </w:tcPr>
          <w:p w14:paraId="6AF0C87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nil"/>
            </w:tcBorders>
            <w:shd w:val="clear" w:color="auto" w:fill="auto"/>
            <w:vAlign w:val="center"/>
            <w:hideMark/>
          </w:tcPr>
          <w:p w14:paraId="32473AB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këtij projektakti është në funksion të zbatimit të  Strategjise ndersektoriale " Reforma në fushën e të drejtave të pronësisë në vitin 2012-2020(kapitulli II)</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1A5902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financiar dhe social</w:t>
            </w:r>
          </w:p>
        </w:tc>
      </w:tr>
      <w:tr w:rsidR="00973AA3" w:rsidRPr="00B6793F" w14:paraId="21CCC09E"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905FC3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423" w:type="pct"/>
            <w:tcBorders>
              <w:top w:val="nil"/>
              <w:left w:val="nil"/>
              <w:bottom w:val="single" w:sz="4" w:space="0" w:color="auto"/>
              <w:right w:val="nil"/>
            </w:tcBorders>
            <w:shd w:val="clear" w:color="auto" w:fill="auto"/>
            <w:vAlign w:val="center"/>
            <w:hideMark/>
          </w:tcPr>
          <w:p w14:paraId="35A8F13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mënyrës së ofrimit të shërbimeve elektronike për subjektet private</w:t>
            </w:r>
          </w:p>
        </w:tc>
        <w:tc>
          <w:tcPr>
            <w:tcW w:w="261" w:type="pct"/>
            <w:tcBorders>
              <w:top w:val="nil"/>
              <w:left w:val="single" w:sz="4" w:space="0" w:color="auto"/>
              <w:bottom w:val="single" w:sz="4" w:space="0" w:color="auto"/>
              <w:right w:val="nil"/>
            </w:tcBorders>
            <w:shd w:val="clear" w:color="auto" w:fill="auto"/>
            <w:vAlign w:val="center"/>
            <w:hideMark/>
          </w:tcPr>
          <w:p w14:paraId="2D39B54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single" w:sz="4" w:space="0" w:color="auto"/>
              <w:bottom w:val="single" w:sz="4" w:space="0" w:color="auto"/>
              <w:right w:val="nil"/>
            </w:tcBorders>
            <w:shd w:val="clear" w:color="auto" w:fill="auto"/>
            <w:vAlign w:val="center"/>
            <w:hideMark/>
          </w:tcPr>
          <w:p w14:paraId="19EC1B6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(AKSHI)</w:t>
            </w:r>
          </w:p>
        </w:tc>
        <w:tc>
          <w:tcPr>
            <w:tcW w:w="248" w:type="pct"/>
            <w:tcBorders>
              <w:top w:val="nil"/>
              <w:left w:val="single" w:sz="4" w:space="0" w:color="auto"/>
              <w:bottom w:val="single" w:sz="4" w:space="0" w:color="auto"/>
              <w:right w:val="single" w:sz="4" w:space="0" w:color="auto"/>
            </w:tcBorders>
            <w:shd w:val="clear" w:color="auto" w:fill="auto"/>
            <w:vAlign w:val="center"/>
            <w:hideMark/>
          </w:tcPr>
          <w:p w14:paraId="11E49B4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auto" w:fill="auto"/>
            <w:vAlign w:val="center"/>
            <w:hideMark/>
          </w:tcPr>
          <w:p w14:paraId="0A26EB7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Harmonizimi me kuadrin ligjor mbi qeverisjen elektronike.Projektakti propozohet për të zbatuar dispozitat e Ligjit nr. 43/2023 “Për Qeverisjen Elektronike”.Unifikimi i proceseve dhe shmangia e praktikave të ndryshme.Nevoja për standarde të njëjta cilësie dhe sigurie</w:t>
            </w:r>
            <w:r w:rsidRPr="00B6793F">
              <w:rPr>
                <w:rFonts w:ascii="Arial" w:eastAsia="Times New Roman" w:hAnsi="Arial" w:cs="Arial"/>
                <w:color w:val="000000"/>
                <w:sz w:val="8"/>
                <w:szCs w:val="8"/>
                <w:lang w:eastAsia="sq-AL"/>
              </w:rPr>
              <w:br/>
              <w:t>Shërbimet elektronike që ofrohen nga subjektet private duhet të respektojnë standardet kombëtare dhe ndërkombëtare të sigurisë, aksesueshmërisë dhe cilësisë së shërbimit.</w:t>
            </w:r>
          </w:p>
        </w:tc>
        <w:tc>
          <w:tcPr>
            <w:tcW w:w="601" w:type="pct"/>
            <w:tcBorders>
              <w:top w:val="nil"/>
              <w:left w:val="nil"/>
              <w:bottom w:val="single" w:sz="4" w:space="0" w:color="auto"/>
              <w:right w:val="single" w:sz="4" w:space="0" w:color="auto"/>
            </w:tcBorders>
            <w:shd w:val="clear" w:color="auto" w:fill="auto"/>
            <w:vAlign w:val="center"/>
            <w:hideMark/>
          </w:tcPr>
          <w:p w14:paraId="1223C57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akt synon të:</w:t>
            </w:r>
            <w:r w:rsidRPr="00B6793F">
              <w:rPr>
                <w:rFonts w:ascii="Arial" w:eastAsia="Times New Roman" w:hAnsi="Arial" w:cs="Arial"/>
                <w:color w:val="000000"/>
                <w:sz w:val="8"/>
                <w:szCs w:val="8"/>
                <w:lang w:eastAsia="sq-AL"/>
              </w:rPr>
              <w:br/>
              <w:t>Lehtësojë aksesin e bizneseve dhe subjekteve private në shërbimet publike;</w:t>
            </w:r>
            <w:r w:rsidRPr="00B6793F">
              <w:rPr>
                <w:rFonts w:ascii="Arial" w:eastAsia="Times New Roman" w:hAnsi="Arial" w:cs="Arial"/>
                <w:color w:val="000000"/>
                <w:sz w:val="8"/>
                <w:szCs w:val="8"/>
                <w:lang w:eastAsia="sq-AL"/>
              </w:rPr>
              <w:br/>
              <w:t>Ulë burokracitë dhe kohën e shërbimit;</w:t>
            </w:r>
            <w:r w:rsidRPr="00B6793F">
              <w:rPr>
                <w:rFonts w:ascii="Arial" w:eastAsia="Times New Roman" w:hAnsi="Arial" w:cs="Arial"/>
                <w:color w:val="000000"/>
                <w:sz w:val="8"/>
                <w:szCs w:val="8"/>
                <w:lang w:eastAsia="sq-AL"/>
              </w:rPr>
              <w:br/>
              <w:t>Nxisë digjitalizimin e marrëdhënieve shtet-privat;</w:t>
            </w:r>
            <w:r w:rsidRPr="00B6793F">
              <w:rPr>
                <w:rFonts w:ascii="Arial" w:eastAsia="Times New Roman" w:hAnsi="Arial" w:cs="Arial"/>
                <w:color w:val="000000"/>
                <w:sz w:val="8"/>
                <w:szCs w:val="8"/>
                <w:lang w:eastAsia="sq-AL"/>
              </w:rPr>
              <w:br/>
              <w:t>Harmonizojë ofrimin e shërbimeve me standardet e BE-së për qeverisje elektronike dhe ekonomi digjitale</w:t>
            </w:r>
          </w:p>
        </w:tc>
        <w:tc>
          <w:tcPr>
            <w:tcW w:w="601" w:type="pct"/>
            <w:tcBorders>
              <w:top w:val="nil"/>
              <w:left w:val="nil"/>
              <w:bottom w:val="single" w:sz="4" w:space="0" w:color="auto"/>
              <w:right w:val="nil"/>
            </w:tcBorders>
            <w:shd w:val="clear" w:color="auto" w:fill="auto"/>
            <w:vAlign w:val="center"/>
            <w:hideMark/>
          </w:tcPr>
          <w:p w14:paraId="015B378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single" w:sz="4" w:space="0" w:color="auto"/>
              <w:bottom w:val="single" w:sz="4" w:space="0" w:color="auto"/>
              <w:right w:val="single" w:sz="4" w:space="0" w:color="auto"/>
            </w:tcBorders>
            <w:shd w:val="clear" w:color="auto" w:fill="auto"/>
            <w:vAlign w:val="center"/>
            <w:hideMark/>
          </w:tcPr>
          <w:p w14:paraId="236E12F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24" w:type="pct"/>
            <w:tcBorders>
              <w:top w:val="nil"/>
              <w:left w:val="nil"/>
              <w:bottom w:val="single" w:sz="4" w:space="0" w:color="auto"/>
              <w:right w:val="single" w:sz="4" w:space="0" w:color="auto"/>
            </w:tcBorders>
            <w:shd w:val="clear" w:color="auto" w:fill="auto"/>
            <w:vAlign w:val="center"/>
            <w:hideMark/>
          </w:tcPr>
          <w:p w14:paraId="50D9FD7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2" w:type="pct"/>
            <w:tcBorders>
              <w:top w:val="nil"/>
              <w:left w:val="nil"/>
              <w:bottom w:val="single" w:sz="4" w:space="0" w:color="auto"/>
              <w:right w:val="nil"/>
            </w:tcBorders>
            <w:shd w:val="clear" w:color="auto" w:fill="auto"/>
            <w:vAlign w:val="center"/>
            <w:hideMark/>
          </w:tcPr>
          <w:p w14:paraId="55DDE05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3BF42F7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0A3988D7"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7063A9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423" w:type="pct"/>
            <w:tcBorders>
              <w:top w:val="single" w:sz="8" w:space="0" w:color="auto"/>
              <w:left w:val="nil"/>
              <w:bottom w:val="single" w:sz="4" w:space="0" w:color="auto"/>
              <w:right w:val="nil"/>
            </w:tcBorders>
            <w:shd w:val="clear" w:color="auto" w:fill="auto"/>
            <w:vAlign w:val="center"/>
            <w:hideMark/>
          </w:tcPr>
          <w:p w14:paraId="5501F6B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Rregullat e Harmonizuara te Inteligjences Artificiale</w:t>
            </w:r>
          </w:p>
        </w:tc>
        <w:tc>
          <w:tcPr>
            <w:tcW w:w="261" w:type="pct"/>
            <w:tcBorders>
              <w:top w:val="single" w:sz="8" w:space="0" w:color="auto"/>
              <w:left w:val="single" w:sz="4" w:space="0" w:color="auto"/>
              <w:bottom w:val="single" w:sz="4" w:space="0" w:color="auto"/>
              <w:right w:val="nil"/>
            </w:tcBorders>
            <w:shd w:val="clear" w:color="auto" w:fill="auto"/>
            <w:vAlign w:val="center"/>
            <w:hideMark/>
          </w:tcPr>
          <w:p w14:paraId="47619D3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74" w:type="pct"/>
            <w:tcBorders>
              <w:top w:val="nil"/>
              <w:left w:val="single" w:sz="4" w:space="0" w:color="auto"/>
              <w:bottom w:val="single" w:sz="4" w:space="0" w:color="auto"/>
              <w:right w:val="nil"/>
            </w:tcBorders>
            <w:shd w:val="clear" w:color="auto" w:fill="auto"/>
            <w:vAlign w:val="center"/>
            <w:hideMark/>
          </w:tcPr>
          <w:p w14:paraId="06DA558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Kryeministri/Zv. Kryeministri (AKSHI)</w:t>
            </w:r>
          </w:p>
        </w:tc>
        <w:tc>
          <w:tcPr>
            <w:tcW w:w="248" w:type="pct"/>
            <w:tcBorders>
              <w:top w:val="nil"/>
              <w:left w:val="single" w:sz="4" w:space="0" w:color="auto"/>
              <w:bottom w:val="single" w:sz="4" w:space="0" w:color="auto"/>
              <w:right w:val="single" w:sz="4" w:space="0" w:color="auto"/>
            </w:tcBorders>
            <w:shd w:val="clear" w:color="auto" w:fill="auto"/>
            <w:vAlign w:val="center"/>
            <w:hideMark/>
          </w:tcPr>
          <w:p w14:paraId="010FD52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single" w:sz="8" w:space="0" w:color="auto"/>
              <w:left w:val="nil"/>
              <w:bottom w:val="single" w:sz="4" w:space="0" w:color="auto"/>
              <w:right w:val="nil"/>
            </w:tcBorders>
            <w:shd w:val="clear" w:color="auto" w:fill="auto"/>
            <w:vAlign w:val="center"/>
            <w:hideMark/>
          </w:tcPr>
          <w:p w14:paraId="5770894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Vendosjen e rregullave te harmonizuara mbi perdorimin e AI-S.Transpozimin e rregullores (EU) 2024/1689 of the European Parliament and of the Council of 13 June 2024</w:t>
            </w:r>
          </w:p>
        </w:tc>
        <w:tc>
          <w:tcPr>
            <w:tcW w:w="601"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134FB31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Qëllimi i kësaj Rregulloreje është përmirësoje funksionimin e tregut të brendshëm përmes vendosjes së një kuadri të unifikuar ligjor, në veçanti për zhvillimin, hedhjen në treg, vënien në funksion dhe përdorimin e sistemeve të inteligjencës artificiale (sistemeve AI)  të besueshme dhe të përqendruar te njeriu, duke garantuar një nivel të lartë të mbrojtjes së shëndetit, sigurisë dhe të drejtave themelore</w:t>
            </w:r>
          </w:p>
        </w:tc>
        <w:tc>
          <w:tcPr>
            <w:tcW w:w="601" w:type="pct"/>
            <w:tcBorders>
              <w:top w:val="single" w:sz="8" w:space="0" w:color="auto"/>
              <w:left w:val="nil"/>
              <w:bottom w:val="single" w:sz="4" w:space="0" w:color="auto"/>
              <w:right w:val="nil"/>
            </w:tcBorders>
            <w:shd w:val="clear" w:color="auto" w:fill="auto"/>
            <w:vAlign w:val="center"/>
            <w:hideMark/>
          </w:tcPr>
          <w:p w14:paraId="7396BBD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567"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78B2222A" w14:textId="77777777" w:rsidR="00AC5BDD" w:rsidRPr="00B6793F" w:rsidRDefault="00B6793F" w:rsidP="00AC5BDD">
            <w:pPr>
              <w:spacing w:after="0" w:line="240" w:lineRule="auto"/>
              <w:jc w:val="center"/>
              <w:rPr>
                <w:rFonts w:ascii="Arial" w:eastAsia="Times New Roman" w:hAnsi="Arial" w:cs="Arial"/>
                <w:color w:val="467886"/>
                <w:sz w:val="8"/>
                <w:szCs w:val="8"/>
                <w:u w:val="single"/>
                <w:lang w:eastAsia="sq-AL"/>
              </w:rPr>
            </w:pPr>
            <w:hyperlink r:id="rId12" w:history="1">
              <w:r w:rsidR="00AC5BDD" w:rsidRPr="00B6793F">
                <w:rPr>
                  <w:rFonts w:ascii="Arial" w:eastAsia="Times New Roman" w:hAnsi="Arial" w:cs="Arial"/>
                  <w:color w:val="467886"/>
                  <w:sz w:val="8"/>
                  <w:szCs w:val="8"/>
                  <w:u w:val="single"/>
                  <w:lang w:eastAsia="sq-AL"/>
                </w:rPr>
                <w:t xml:space="preserve">https://eur-lex.europa.eu/eli/reg/2024/1689/oj/eng  </w:t>
              </w:r>
            </w:hyperlink>
          </w:p>
        </w:tc>
        <w:tc>
          <w:tcPr>
            <w:tcW w:w="424" w:type="pct"/>
            <w:tcBorders>
              <w:top w:val="nil"/>
              <w:left w:val="nil"/>
              <w:bottom w:val="single" w:sz="4" w:space="0" w:color="auto"/>
              <w:right w:val="single" w:sz="4" w:space="0" w:color="auto"/>
            </w:tcBorders>
            <w:shd w:val="clear" w:color="auto" w:fill="auto"/>
            <w:vAlign w:val="center"/>
            <w:hideMark/>
          </w:tcPr>
          <w:p w14:paraId="64D5A27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2" w:type="pct"/>
            <w:tcBorders>
              <w:top w:val="nil"/>
              <w:left w:val="nil"/>
              <w:bottom w:val="single" w:sz="4" w:space="0" w:color="auto"/>
              <w:right w:val="nil"/>
            </w:tcBorders>
            <w:shd w:val="clear" w:color="auto" w:fill="auto"/>
            <w:vAlign w:val="center"/>
            <w:hideMark/>
          </w:tcPr>
          <w:p w14:paraId="72C676C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42C7E8C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526E7252"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C43473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423" w:type="pct"/>
            <w:tcBorders>
              <w:top w:val="nil"/>
              <w:left w:val="nil"/>
              <w:bottom w:val="single" w:sz="4" w:space="0" w:color="000000"/>
              <w:right w:val="single" w:sz="4" w:space="0" w:color="000000"/>
            </w:tcBorders>
            <w:shd w:val="clear" w:color="auto" w:fill="auto"/>
            <w:vAlign w:val="center"/>
            <w:hideMark/>
          </w:tcPr>
          <w:p w14:paraId="1C10022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451, datë 3.7.2019, të Këshillit të Ministrave,  “Për Rregullat Uniforme të Infrastrukturës së Informacionit Gjeohapësinor”</w:t>
            </w:r>
          </w:p>
        </w:tc>
        <w:tc>
          <w:tcPr>
            <w:tcW w:w="261" w:type="pct"/>
            <w:tcBorders>
              <w:top w:val="nil"/>
              <w:left w:val="nil"/>
              <w:bottom w:val="single" w:sz="4" w:space="0" w:color="000000"/>
              <w:right w:val="single" w:sz="4" w:space="0" w:color="000000"/>
            </w:tcBorders>
            <w:shd w:val="clear" w:color="auto" w:fill="auto"/>
            <w:vAlign w:val="center"/>
            <w:hideMark/>
          </w:tcPr>
          <w:p w14:paraId="2D2EEDE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000000"/>
              <w:right w:val="single" w:sz="4" w:space="0" w:color="000000"/>
            </w:tcBorders>
            <w:shd w:val="clear" w:color="auto" w:fill="auto"/>
            <w:vAlign w:val="center"/>
            <w:hideMark/>
          </w:tcPr>
          <w:p w14:paraId="7C69940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Zëvendëskryeministri (ASIG)</w:t>
            </w:r>
          </w:p>
        </w:tc>
        <w:tc>
          <w:tcPr>
            <w:tcW w:w="248" w:type="pct"/>
            <w:tcBorders>
              <w:top w:val="nil"/>
              <w:left w:val="nil"/>
              <w:bottom w:val="single" w:sz="4" w:space="0" w:color="000000"/>
              <w:right w:val="single" w:sz="4" w:space="0" w:color="000000"/>
            </w:tcBorders>
            <w:shd w:val="clear" w:color="auto" w:fill="auto"/>
            <w:vAlign w:val="center"/>
            <w:hideMark/>
          </w:tcPr>
          <w:p w14:paraId="7961AE7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563" w:type="pct"/>
            <w:tcBorders>
              <w:top w:val="nil"/>
              <w:left w:val="nil"/>
              <w:bottom w:val="single" w:sz="4" w:space="0" w:color="000000"/>
              <w:right w:val="single" w:sz="4" w:space="0" w:color="000000"/>
            </w:tcBorders>
            <w:shd w:val="clear" w:color="auto" w:fill="auto"/>
            <w:vAlign w:val="center"/>
            <w:hideMark/>
          </w:tcPr>
          <w:p w14:paraId="336EA28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Përdorimi i Infrastrukturës Kombëtare të Informacionit Gjeohapësinor nga autoritetet publike për vendimmarrje të drejta dhe të shpejta në kryerjen e fuksioneve të tyre publike.                                                                                                                       Rritja e eficences dhe performancës së strukturave GIS në autoritetet publike.</w:t>
            </w:r>
          </w:p>
        </w:tc>
        <w:tc>
          <w:tcPr>
            <w:tcW w:w="601" w:type="pct"/>
            <w:tcBorders>
              <w:top w:val="nil"/>
              <w:left w:val="nil"/>
              <w:bottom w:val="single" w:sz="4" w:space="0" w:color="000000"/>
              <w:right w:val="single" w:sz="4" w:space="0" w:color="000000"/>
            </w:tcBorders>
            <w:shd w:val="clear" w:color="auto" w:fill="auto"/>
            <w:vAlign w:val="center"/>
            <w:hideMark/>
          </w:tcPr>
          <w:p w14:paraId="365E282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1-Detyrimi i përdorimit nga autoritetet publike të informacionit gjeohapësinor zyrtar, të përditësuar dhe standardizuar (te marrë nga sistemet dhe aplikacionet e ASIG).                                                                                                                            2-Krijimi  i strukturave të dedikuara GIS ne autoritetet publike përgjegjëse dhe trajnimi i strukturave që përdorin informacionin gjeohapësinor në institucionet publike.</w:t>
            </w:r>
          </w:p>
        </w:tc>
        <w:tc>
          <w:tcPr>
            <w:tcW w:w="601" w:type="pct"/>
            <w:tcBorders>
              <w:top w:val="nil"/>
              <w:left w:val="nil"/>
              <w:bottom w:val="single" w:sz="4" w:space="0" w:color="000000"/>
              <w:right w:val="single" w:sz="4" w:space="0" w:color="000000"/>
            </w:tcBorders>
            <w:shd w:val="clear" w:color="auto" w:fill="auto"/>
            <w:vAlign w:val="center"/>
            <w:hideMark/>
          </w:tcPr>
          <w:p w14:paraId="553642F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nil"/>
              <w:bottom w:val="single" w:sz="4" w:space="0" w:color="000000"/>
              <w:right w:val="single" w:sz="4" w:space="0" w:color="000000"/>
            </w:tcBorders>
            <w:shd w:val="clear" w:color="000000" w:fill="FFFFFF"/>
            <w:vAlign w:val="center"/>
            <w:hideMark/>
          </w:tcPr>
          <w:p w14:paraId="1DB3FACA"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1, Pika 1.2    Shteti Digjital dhe Siguria Kibernetike</w:t>
            </w:r>
          </w:p>
        </w:tc>
        <w:tc>
          <w:tcPr>
            <w:tcW w:w="424" w:type="pct"/>
            <w:tcBorders>
              <w:top w:val="nil"/>
              <w:left w:val="nil"/>
              <w:bottom w:val="single" w:sz="4" w:space="0" w:color="000000"/>
              <w:right w:val="single" w:sz="4" w:space="0" w:color="000000"/>
            </w:tcBorders>
            <w:shd w:val="clear" w:color="000000" w:fill="FFFFFF"/>
            <w:vAlign w:val="center"/>
            <w:hideMark/>
          </w:tcPr>
          <w:p w14:paraId="1CA8D0EE"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single" w:sz="4" w:space="0" w:color="000000"/>
              <w:right w:val="nil"/>
            </w:tcBorders>
            <w:shd w:val="clear" w:color="auto" w:fill="auto"/>
            <w:vAlign w:val="center"/>
            <w:hideMark/>
          </w:tcPr>
          <w:p w14:paraId="1364011F"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I  politikave “Për Qeverisjen e Sektorit të Informacionit Gjeohapësinor në Shqipëri, 2020-2030”, miratuar me VKM Nr. 402, datë 20.05.2020.</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E8BC0C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5F07B697"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224954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23</w:t>
            </w:r>
          </w:p>
        </w:tc>
        <w:tc>
          <w:tcPr>
            <w:tcW w:w="423" w:type="pct"/>
            <w:tcBorders>
              <w:top w:val="nil"/>
              <w:left w:val="nil"/>
              <w:bottom w:val="single" w:sz="4" w:space="0" w:color="000000"/>
              <w:right w:val="single" w:sz="4" w:space="0" w:color="000000"/>
            </w:tcBorders>
            <w:shd w:val="clear" w:color="auto" w:fill="auto"/>
            <w:vAlign w:val="center"/>
            <w:hideMark/>
          </w:tcPr>
          <w:p w14:paraId="007F5DF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Planit Strategjik dhe Planit të Veprimit për Avokaturën e Shtetit</w:t>
            </w:r>
          </w:p>
        </w:tc>
        <w:tc>
          <w:tcPr>
            <w:tcW w:w="261" w:type="pct"/>
            <w:tcBorders>
              <w:top w:val="nil"/>
              <w:left w:val="nil"/>
              <w:bottom w:val="single" w:sz="4" w:space="0" w:color="000000"/>
              <w:right w:val="single" w:sz="4" w:space="0" w:color="000000"/>
            </w:tcBorders>
            <w:shd w:val="clear" w:color="auto" w:fill="auto"/>
            <w:vAlign w:val="center"/>
            <w:hideMark/>
          </w:tcPr>
          <w:p w14:paraId="3144CE2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000000"/>
              <w:right w:val="single" w:sz="4" w:space="0" w:color="000000"/>
            </w:tcBorders>
            <w:shd w:val="clear" w:color="auto" w:fill="auto"/>
            <w:vAlign w:val="center"/>
            <w:hideMark/>
          </w:tcPr>
          <w:p w14:paraId="37A4BC6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 Zv./Kryeministri (Avokatura e Shtetit)</w:t>
            </w:r>
          </w:p>
        </w:tc>
        <w:tc>
          <w:tcPr>
            <w:tcW w:w="248" w:type="pct"/>
            <w:tcBorders>
              <w:top w:val="nil"/>
              <w:left w:val="nil"/>
              <w:bottom w:val="single" w:sz="4" w:space="0" w:color="000000"/>
              <w:right w:val="single" w:sz="4" w:space="0" w:color="000000"/>
            </w:tcBorders>
            <w:shd w:val="clear" w:color="auto" w:fill="auto"/>
            <w:vAlign w:val="center"/>
            <w:hideMark/>
          </w:tcPr>
          <w:p w14:paraId="45DD914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000000"/>
              <w:right w:val="single" w:sz="4" w:space="0" w:color="000000"/>
            </w:tcBorders>
            <w:shd w:val="clear" w:color="auto" w:fill="auto"/>
            <w:vAlign w:val="center"/>
            <w:hideMark/>
          </w:tcPr>
          <w:p w14:paraId="601B33B2"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Nëpërmjet këtj projektvendimi synohet miratimi i planit strategjik dhe planit të veprimit të përgatitur nga Projekti IPA, gjatë periudhës 18 mujore të veprimtarisë së mbështetjes së Avokaturës së Shtetit për të sjellë praktikat gjyqësore në përputhje me praktikat më të mira të BE-së, dhe standardet e të drejtave të njeriut. </w:t>
            </w:r>
          </w:p>
        </w:tc>
        <w:tc>
          <w:tcPr>
            <w:tcW w:w="601" w:type="pct"/>
            <w:tcBorders>
              <w:top w:val="nil"/>
              <w:left w:val="nil"/>
              <w:bottom w:val="single" w:sz="4" w:space="0" w:color="000000"/>
              <w:right w:val="single" w:sz="4" w:space="0" w:color="000000"/>
            </w:tcBorders>
            <w:shd w:val="clear" w:color="auto" w:fill="auto"/>
            <w:vAlign w:val="center"/>
            <w:hideMark/>
          </w:tcPr>
          <w:p w14:paraId="0E9B2AE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Nëpërmjet miratimit të planit strategjik dhe planit të veprimit për Avokaturën e Shtetit, lejohet fillimi i procesit të implementimit të hapave të përcaktuara në këtë plan, të cilat përfshijnë ndryshime ligjore dhe nënligjore në kuadrin ligjor për Avokaturën e Shtetit si dhe, parashikojnë gjithashtu investime në sisteme digjitale dhe në logjistikë, të cilat shoqërohen me efekte financiare. Ky projektakt, është e nevojshme të përgatitet në bashkëpunim me SASPAC, Ministrinë e Financave dhe Ministrinë e Drejtësisë, në mënyrë që përmbajtja e Planit Strategjik të përshtatet dhe koordinohet me Programin Qeverisës 2025-2029. </w:t>
            </w:r>
          </w:p>
        </w:tc>
        <w:tc>
          <w:tcPr>
            <w:tcW w:w="601" w:type="pct"/>
            <w:tcBorders>
              <w:top w:val="nil"/>
              <w:left w:val="nil"/>
              <w:bottom w:val="single" w:sz="4" w:space="0" w:color="auto"/>
              <w:right w:val="single" w:sz="4" w:space="0" w:color="auto"/>
            </w:tcBorders>
            <w:shd w:val="clear" w:color="auto" w:fill="auto"/>
            <w:vAlign w:val="center"/>
            <w:hideMark/>
          </w:tcPr>
          <w:p w14:paraId="71C8ACD6"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3A9B894D"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4" w:type="pct"/>
            <w:tcBorders>
              <w:top w:val="nil"/>
              <w:left w:val="nil"/>
              <w:bottom w:val="single" w:sz="4" w:space="0" w:color="auto"/>
              <w:right w:val="single" w:sz="4" w:space="0" w:color="auto"/>
            </w:tcBorders>
            <w:shd w:val="clear" w:color="auto" w:fill="auto"/>
            <w:vAlign w:val="center"/>
            <w:hideMark/>
          </w:tcPr>
          <w:p w14:paraId="7BEF16AD" w14:textId="77777777" w:rsidR="00AC5BDD" w:rsidRPr="00B6793F" w:rsidRDefault="00AC5BDD" w:rsidP="00AC5BD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2" w:type="pct"/>
            <w:tcBorders>
              <w:top w:val="nil"/>
              <w:left w:val="nil"/>
              <w:bottom w:val="single" w:sz="4" w:space="0" w:color="000000"/>
              <w:right w:val="nil"/>
            </w:tcBorders>
            <w:shd w:val="clear" w:color="auto" w:fill="auto"/>
            <w:vAlign w:val="center"/>
            <w:hideMark/>
          </w:tcPr>
          <w:p w14:paraId="1E45E489"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7A5D0EA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r>
      <w:tr w:rsidR="00973AA3" w:rsidRPr="00B6793F" w14:paraId="14D13868"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5F4B95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w:t>
            </w:r>
          </w:p>
        </w:tc>
        <w:tc>
          <w:tcPr>
            <w:tcW w:w="423" w:type="pct"/>
            <w:tcBorders>
              <w:top w:val="nil"/>
              <w:left w:val="nil"/>
              <w:bottom w:val="single" w:sz="4" w:space="0" w:color="auto"/>
              <w:right w:val="single" w:sz="4" w:space="0" w:color="auto"/>
            </w:tcBorders>
            <w:shd w:val="clear" w:color="auto" w:fill="auto"/>
            <w:vAlign w:val="center"/>
            <w:hideMark/>
          </w:tcPr>
          <w:p w14:paraId="5877FDF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Strategjisë Ndërsektoriale të Ekonomisë Blu 2025 -2030</w:t>
            </w:r>
          </w:p>
        </w:tc>
        <w:tc>
          <w:tcPr>
            <w:tcW w:w="261" w:type="pct"/>
            <w:tcBorders>
              <w:top w:val="nil"/>
              <w:left w:val="nil"/>
              <w:bottom w:val="single" w:sz="4" w:space="0" w:color="auto"/>
              <w:right w:val="single" w:sz="4" w:space="0" w:color="auto"/>
            </w:tcBorders>
            <w:shd w:val="clear" w:color="auto" w:fill="auto"/>
            <w:vAlign w:val="center"/>
            <w:hideMark/>
          </w:tcPr>
          <w:p w14:paraId="0E5632F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1BEDDF7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0FA362E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auto" w:fill="auto"/>
            <w:vAlign w:val="center"/>
            <w:hideMark/>
          </w:tcPr>
          <w:p w14:paraId="0A15FD01"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kryesore eshte rregullimi ligjor i sektorit te marinave dhe potenciali I identifikuar per zhvillim dhe bashkepunim nderkombetar qe kane sektori i detarisë, turizmit blu,peshkimit, ushqimeve te detit etj. </w:t>
            </w:r>
          </w:p>
        </w:tc>
        <w:tc>
          <w:tcPr>
            <w:tcW w:w="601" w:type="pct"/>
            <w:tcBorders>
              <w:top w:val="nil"/>
              <w:left w:val="nil"/>
              <w:bottom w:val="single" w:sz="4" w:space="0" w:color="auto"/>
              <w:right w:val="single" w:sz="4" w:space="0" w:color="auto"/>
            </w:tcBorders>
            <w:shd w:val="clear" w:color="auto" w:fill="auto"/>
            <w:vAlign w:val="center"/>
            <w:hideMark/>
          </w:tcPr>
          <w:p w14:paraId="0897D4FA"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Rregullon Zhvillimin dhe transformimin e ekonomisë detare të Shqipërisë në një kontribues kryesor të rritjes së qëndrueshme duke rikthyer traditën e lundrimit dhe mbështetur zhvillimin e turizmit detar, peshkimit, ate sportive dhe argëtuese me mekanizma dhe mjete të </w:t>
            </w:r>
            <w:r w:rsidRPr="00B6793F">
              <w:rPr>
                <w:rFonts w:ascii="Arial" w:eastAsia="Times New Roman" w:hAnsi="Arial" w:cs="Arial"/>
                <w:color w:val="000000"/>
                <w:sz w:val="8"/>
                <w:szCs w:val="8"/>
                <w:lang w:eastAsia="sq-AL"/>
              </w:rPr>
              <w:lastRenderedPageBreak/>
              <w:t>pajtueshme me mjedisin në të gjithë bregdetin.</w:t>
            </w:r>
          </w:p>
        </w:tc>
        <w:tc>
          <w:tcPr>
            <w:tcW w:w="601" w:type="pct"/>
            <w:tcBorders>
              <w:top w:val="nil"/>
              <w:left w:val="nil"/>
              <w:bottom w:val="single" w:sz="4" w:space="0" w:color="auto"/>
              <w:right w:val="single" w:sz="4" w:space="0" w:color="auto"/>
            </w:tcBorders>
            <w:shd w:val="clear" w:color="auto" w:fill="auto"/>
            <w:vAlign w:val="center"/>
            <w:hideMark/>
          </w:tcPr>
          <w:p w14:paraId="43D2247B"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 xml:space="preserve">Jo specifikisht por lidhet ngushtesisht me kapitujt 13: Peshkimi, 14: Politikat e Tansportit, 19: Politika sociale dhe Punesimi, 22: Politikat e zhvillimit Rajonal, 27: Mjedisi, 20: Politikat Industriale, 8: Politika e Konkurences etj </w:t>
            </w:r>
          </w:p>
        </w:tc>
        <w:tc>
          <w:tcPr>
            <w:tcW w:w="567" w:type="pct"/>
            <w:tcBorders>
              <w:top w:val="nil"/>
              <w:left w:val="nil"/>
              <w:bottom w:val="single" w:sz="4" w:space="0" w:color="auto"/>
              <w:right w:val="single" w:sz="4" w:space="0" w:color="auto"/>
            </w:tcBorders>
            <w:shd w:val="clear" w:color="auto" w:fill="auto"/>
            <w:vAlign w:val="center"/>
            <w:hideMark/>
          </w:tcPr>
          <w:p w14:paraId="6FCE5C38"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Faqe 23 e Programit.. "Objektiv Strategjik I Qeverise Shqiptare per zhvillimin e transportit detar.. Komplementimit me zona te zhvillimit ekonomik.. Akomodimin dhe sherbimet per mjetet lundruese turistike…</w:t>
            </w:r>
          </w:p>
        </w:tc>
        <w:tc>
          <w:tcPr>
            <w:tcW w:w="424" w:type="pct"/>
            <w:tcBorders>
              <w:top w:val="nil"/>
              <w:left w:val="nil"/>
              <w:bottom w:val="single" w:sz="4" w:space="0" w:color="auto"/>
              <w:right w:val="single" w:sz="4" w:space="0" w:color="auto"/>
            </w:tcBorders>
            <w:shd w:val="clear" w:color="auto" w:fill="auto"/>
            <w:vAlign w:val="center"/>
            <w:hideMark/>
          </w:tcPr>
          <w:p w14:paraId="5AB4D2D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32" w:type="pct"/>
            <w:tcBorders>
              <w:top w:val="nil"/>
              <w:left w:val="nil"/>
              <w:bottom w:val="single" w:sz="4" w:space="0" w:color="auto"/>
              <w:right w:val="single" w:sz="4" w:space="0" w:color="auto"/>
            </w:tcBorders>
            <w:shd w:val="clear" w:color="auto" w:fill="auto"/>
            <w:vAlign w:val="center"/>
            <w:hideMark/>
          </w:tcPr>
          <w:p w14:paraId="660A78A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SKZHIE 2021-2030 : S3 Specializimi Inteligjent, Agjenda e Konektivitetit (Shtylla nr 3): Ekonomia Blu, Str per Zhv e Turizmit 2019-2023 obj 2.3, 3.1, Str Sektoriale e Transportit </w:t>
            </w:r>
            <w:r w:rsidRPr="00B6793F">
              <w:rPr>
                <w:rFonts w:ascii="Arial" w:eastAsia="Times New Roman" w:hAnsi="Arial" w:cs="Arial"/>
                <w:color w:val="000000"/>
                <w:sz w:val="8"/>
                <w:szCs w:val="8"/>
                <w:lang w:eastAsia="sq-AL"/>
              </w:rPr>
              <w:lastRenderedPageBreak/>
              <w:t>2021 (1.1 Sisteme eficente portuale dhe te marinave),  SDG 8, SDG 14: Ruajtja dhe perdorimi I qendrueshem I oqeaneve, deteve dhe burimeve te marinave)</w:t>
            </w:r>
          </w:p>
        </w:tc>
        <w:tc>
          <w:tcPr>
            <w:tcW w:w="389" w:type="pct"/>
            <w:tcBorders>
              <w:top w:val="nil"/>
              <w:left w:val="nil"/>
              <w:bottom w:val="single" w:sz="4" w:space="0" w:color="auto"/>
              <w:right w:val="nil"/>
            </w:tcBorders>
            <w:shd w:val="clear" w:color="auto" w:fill="auto"/>
            <w:vAlign w:val="center"/>
            <w:hideMark/>
          </w:tcPr>
          <w:p w14:paraId="3AC43926"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 xml:space="preserve">Pozitive (impakte te pergjithshme)1. Rritja e nder-konektivitetit (nderlidhjeve)   2. Rritja ekonomike (dhe e Punesimit), 3. Rritje e Energjise se </w:t>
            </w:r>
            <w:r w:rsidRPr="00B6793F">
              <w:rPr>
                <w:rFonts w:ascii="Arial" w:eastAsia="Times New Roman" w:hAnsi="Arial" w:cs="Arial"/>
                <w:color w:val="000000"/>
                <w:sz w:val="8"/>
                <w:szCs w:val="8"/>
                <w:lang w:eastAsia="sq-AL"/>
              </w:rPr>
              <w:lastRenderedPageBreak/>
              <w:t xml:space="preserve">Rinovueshme, 4. Zhvillim I peshkimit (eksporteve nga 130 mln USD (2021 ne 200 mln USD ne 2030, KPI SKZHIE III), sigurise ushqimore dhe akuakultures, Negative (impakte te pergjithshme) 1. Mbi-peshkimi , 2. Degradimi i Habitatit, 3. Disbalanca ne tregti ( pjesa detare me pjesen tokesore te nje vendi) 4. Zhvillimi ad hoc i paplanifikuar mire midis bregdetit dhe tokes, 5. Rritja e kostove te jeteses per komunitetin qe nuk perfshihet, ose per peshkataret e vegjel artizane etj..   </w:t>
            </w:r>
          </w:p>
        </w:tc>
      </w:tr>
      <w:tr w:rsidR="00973AA3" w:rsidRPr="00B6793F" w14:paraId="1A1E069A" w14:textId="77777777" w:rsidTr="00DC3C27">
        <w:trPr>
          <w:trHeight w:val="180"/>
          <w:jc w:val="center"/>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96D99D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25</w:t>
            </w:r>
          </w:p>
        </w:tc>
        <w:tc>
          <w:tcPr>
            <w:tcW w:w="423" w:type="pct"/>
            <w:tcBorders>
              <w:top w:val="nil"/>
              <w:left w:val="nil"/>
              <w:bottom w:val="single" w:sz="4" w:space="0" w:color="auto"/>
              <w:right w:val="single" w:sz="4" w:space="0" w:color="auto"/>
            </w:tcBorders>
            <w:shd w:val="clear" w:color="auto" w:fill="auto"/>
            <w:vAlign w:val="center"/>
            <w:hideMark/>
          </w:tcPr>
          <w:p w14:paraId="3CB39F74"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Rishikimi afatmesem i SKZHIE 2022 -2030 </w:t>
            </w:r>
          </w:p>
        </w:tc>
        <w:tc>
          <w:tcPr>
            <w:tcW w:w="261" w:type="pct"/>
            <w:tcBorders>
              <w:top w:val="nil"/>
              <w:left w:val="nil"/>
              <w:bottom w:val="single" w:sz="4" w:space="0" w:color="auto"/>
              <w:right w:val="single" w:sz="4" w:space="0" w:color="auto"/>
            </w:tcBorders>
            <w:shd w:val="clear" w:color="auto" w:fill="auto"/>
            <w:vAlign w:val="center"/>
            <w:hideMark/>
          </w:tcPr>
          <w:p w14:paraId="51F8F085"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562FEDD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Kryeministri (SASPAC)</w:t>
            </w:r>
          </w:p>
        </w:tc>
        <w:tc>
          <w:tcPr>
            <w:tcW w:w="248" w:type="pct"/>
            <w:tcBorders>
              <w:top w:val="nil"/>
              <w:left w:val="nil"/>
              <w:bottom w:val="single" w:sz="4" w:space="0" w:color="auto"/>
              <w:right w:val="single" w:sz="4" w:space="0" w:color="auto"/>
            </w:tcBorders>
            <w:shd w:val="clear" w:color="auto" w:fill="auto"/>
            <w:vAlign w:val="center"/>
            <w:hideMark/>
          </w:tcPr>
          <w:p w14:paraId="07C33A0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63" w:type="pct"/>
            <w:tcBorders>
              <w:top w:val="nil"/>
              <w:left w:val="nil"/>
              <w:bottom w:val="single" w:sz="4" w:space="0" w:color="auto"/>
              <w:right w:val="single" w:sz="4" w:space="0" w:color="auto"/>
            </w:tcBorders>
            <w:shd w:val="clear" w:color="auto" w:fill="auto"/>
            <w:vAlign w:val="center"/>
            <w:hideMark/>
          </w:tcPr>
          <w:p w14:paraId="6796D75E"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Linjezimi me i mire afatmesem, me objektiva afatmesme dhe indikatore per 2027, me programin e ri te qeverise 2025-2029, me procesin e pershpejtuar te negociatave per integrimin evropian 2026-2027, perditesim i objektivave per disa sektore prioritare per te adresuar me mire dhe ne menyre me dinamike objektivat e zhvillimit te vendit deri 2030</w:t>
            </w:r>
          </w:p>
        </w:tc>
        <w:tc>
          <w:tcPr>
            <w:tcW w:w="601" w:type="pct"/>
            <w:tcBorders>
              <w:top w:val="nil"/>
              <w:left w:val="nil"/>
              <w:bottom w:val="single" w:sz="4" w:space="0" w:color="auto"/>
              <w:right w:val="single" w:sz="4" w:space="0" w:color="auto"/>
            </w:tcBorders>
            <w:shd w:val="clear" w:color="auto" w:fill="auto"/>
            <w:vAlign w:val="center"/>
            <w:hideMark/>
          </w:tcPr>
          <w:p w14:paraId="20D1186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Rishikon objektivisht permbajtjen e objektivave te zhvillimit per sektoret prioritare te zhvillimit te vendit duke formuluar objektiva afatmesem per 2027, ne linje me vizionin e SKZHIE per 2030.  Rishikon KPI per periudhen afatmesme (2027) si dhe harmonizohet me mire me programin e ri qeveritar 2025-2029. Konstaton mesime nga eksperienca dhe monitorimi afatmesem qe do reflektohen ne informimin me realist dhe koherent te planifikimit strategjik dhe vendimmarrjes. Linjezim me i mire me kerkesat e integrimit (2026-2027) dhe  udherrefyesin e SDG 2025-2030.</w:t>
            </w:r>
          </w:p>
        </w:tc>
        <w:tc>
          <w:tcPr>
            <w:tcW w:w="601" w:type="pct"/>
            <w:tcBorders>
              <w:top w:val="nil"/>
              <w:left w:val="nil"/>
              <w:bottom w:val="single" w:sz="4" w:space="0" w:color="auto"/>
              <w:right w:val="single" w:sz="4" w:space="0" w:color="auto"/>
            </w:tcBorders>
            <w:shd w:val="clear" w:color="auto" w:fill="auto"/>
            <w:vAlign w:val="center"/>
            <w:hideMark/>
          </w:tcPr>
          <w:p w14:paraId="10A1E670"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7" w:type="pct"/>
            <w:tcBorders>
              <w:top w:val="nil"/>
              <w:left w:val="nil"/>
              <w:bottom w:val="single" w:sz="4" w:space="0" w:color="auto"/>
              <w:right w:val="single" w:sz="4" w:space="0" w:color="auto"/>
            </w:tcBorders>
            <w:shd w:val="clear" w:color="auto" w:fill="auto"/>
            <w:vAlign w:val="center"/>
            <w:hideMark/>
          </w:tcPr>
          <w:p w14:paraId="2E1200F3"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rishikimi i dokumentit ka pikerisht nje nga motivet kryesore linjezimin/perputhjen me objektive me programin 2029, nderkohe qe lidhja me programin e meparshem qeveritar 2025 eshte ekzistuese dhe nevojitet perditesim afatmesem</w:t>
            </w:r>
          </w:p>
        </w:tc>
        <w:tc>
          <w:tcPr>
            <w:tcW w:w="424" w:type="pct"/>
            <w:tcBorders>
              <w:top w:val="nil"/>
              <w:left w:val="nil"/>
              <w:bottom w:val="single" w:sz="4" w:space="0" w:color="auto"/>
              <w:right w:val="single" w:sz="4" w:space="0" w:color="auto"/>
            </w:tcBorders>
            <w:shd w:val="clear" w:color="auto" w:fill="auto"/>
            <w:vAlign w:val="center"/>
            <w:hideMark/>
          </w:tcPr>
          <w:p w14:paraId="03BB2ED7"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32" w:type="pct"/>
            <w:tcBorders>
              <w:top w:val="nil"/>
              <w:left w:val="nil"/>
              <w:bottom w:val="single" w:sz="4" w:space="0" w:color="auto"/>
              <w:right w:val="single" w:sz="4" w:space="0" w:color="auto"/>
            </w:tcBorders>
            <w:shd w:val="clear" w:color="auto" w:fill="auto"/>
            <w:vAlign w:val="center"/>
            <w:hideMark/>
          </w:tcPr>
          <w:p w14:paraId="3F00A94D"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SKZHIE 2030, rishikim afatmesem (mid term review)</w:t>
            </w:r>
          </w:p>
        </w:tc>
        <w:tc>
          <w:tcPr>
            <w:tcW w:w="389" w:type="pct"/>
            <w:tcBorders>
              <w:top w:val="nil"/>
              <w:left w:val="nil"/>
              <w:bottom w:val="single" w:sz="4" w:space="0" w:color="auto"/>
              <w:right w:val="nil"/>
            </w:tcBorders>
            <w:shd w:val="clear" w:color="auto" w:fill="auto"/>
            <w:vAlign w:val="center"/>
            <w:hideMark/>
          </w:tcPr>
          <w:p w14:paraId="176BB57C" w14:textId="77777777" w:rsidR="00AC5BDD" w:rsidRPr="00B6793F" w:rsidRDefault="00AC5BDD" w:rsidP="00AC5BD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Ndikimi kryesor konsiston në balancimin e progresit ndërmjet sektorëve prioritarë, veçanërisht në adresimin e zhvillimit jo simetrik ndërsektorial. Disa sektorë kanë shënuar përparim më të shpejtë, siç është turizmi, ndërsa sektorë të tjerë kërkojnë nxitje më të forta dhe të synuara, si psh bujqësia. Në këtë kontekst, ruajtja e realizmit dhe relevances së indikatorëve strategjikë, në raport me dinamikat dhe kërkesat ne ndryshim të zhvillimit, përbën një domosdoshmëri për efektivitetin optimal te politikave prioritare shteterore.</w:t>
            </w:r>
            <w:r w:rsidRPr="00B6793F">
              <w:rPr>
                <w:rFonts w:ascii="Arial" w:eastAsia="Times New Roman" w:hAnsi="Arial" w:cs="Arial"/>
                <w:color w:val="000000"/>
                <w:sz w:val="8"/>
                <w:szCs w:val="8"/>
                <w:lang w:eastAsia="sq-AL"/>
              </w:rPr>
              <w:br/>
              <w:t>Njëkohësisht, përmes linjëzimit më të fortë me procesin e integrimit evropian, zhvillimi i brendshëm unifikohet më ngushtë me kërkesat e negociatave të anëtarësimit. Kjo qasje çon drejt një procesi sintezë, ku reformat e brendshme harmonizohen me kerkesat e integrimit evropian dhe me Agjendën e Zhvillimit të Qëndrueshëm (SDG), duke rritur cilesisht koherencën dhe ndikimin afatgjatë të reformave.</w:t>
            </w:r>
          </w:p>
        </w:tc>
      </w:tr>
    </w:tbl>
    <w:p w14:paraId="169BAA37" w14:textId="22F1A955" w:rsidR="00AC5BDD" w:rsidRPr="00B6793F" w:rsidRDefault="00AC5BDD" w:rsidP="00AC5BDD">
      <w:pPr>
        <w:spacing w:after="0" w:line="240" w:lineRule="auto"/>
        <w:ind w:firstLine="284"/>
        <w:jc w:val="center"/>
        <w:rPr>
          <w:rFonts w:ascii="Garamond" w:hAnsi="Garamond"/>
          <w:b/>
          <w:sz w:val="24"/>
        </w:rPr>
      </w:pPr>
    </w:p>
    <w:p w14:paraId="33E0F50B" w14:textId="68D71881" w:rsidR="00973AA3" w:rsidRPr="00B6793F" w:rsidRDefault="00973AA3" w:rsidP="00AC5BDD">
      <w:pPr>
        <w:spacing w:after="0" w:line="240" w:lineRule="auto"/>
        <w:ind w:firstLine="284"/>
        <w:jc w:val="center"/>
        <w:rPr>
          <w:rFonts w:ascii="Garamond" w:hAnsi="Garamond"/>
          <w:b/>
          <w:sz w:val="24"/>
        </w:rPr>
      </w:pPr>
    </w:p>
    <w:p w14:paraId="1ED40CB1" w14:textId="47F7B77E" w:rsidR="00F930D8" w:rsidRPr="00B6793F" w:rsidRDefault="00F930D8" w:rsidP="00AC5BDD">
      <w:pPr>
        <w:spacing w:after="0" w:line="240" w:lineRule="auto"/>
        <w:ind w:firstLine="284"/>
        <w:jc w:val="center"/>
        <w:rPr>
          <w:rFonts w:ascii="Garamond" w:hAnsi="Garamond"/>
          <w:b/>
          <w:sz w:val="24"/>
        </w:rPr>
      </w:pPr>
    </w:p>
    <w:p w14:paraId="05474AC6" w14:textId="1B0C33EC" w:rsidR="00F930D8" w:rsidRPr="00B6793F" w:rsidRDefault="00F930D8" w:rsidP="00AC5BDD">
      <w:pPr>
        <w:spacing w:after="0" w:line="240" w:lineRule="auto"/>
        <w:ind w:firstLine="284"/>
        <w:jc w:val="center"/>
        <w:rPr>
          <w:rFonts w:ascii="Garamond" w:hAnsi="Garamond"/>
          <w:b/>
          <w:sz w:val="24"/>
        </w:rPr>
      </w:pPr>
    </w:p>
    <w:p w14:paraId="3E309BBB" w14:textId="69D33B35" w:rsidR="00F930D8" w:rsidRPr="00B6793F" w:rsidRDefault="00F930D8" w:rsidP="00AC5BDD">
      <w:pPr>
        <w:spacing w:after="0" w:line="240" w:lineRule="auto"/>
        <w:ind w:firstLine="284"/>
        <w:jc w:val="center"/>
        <w:rPr>
          <w:rFonts w:ascii="Garamond" w:hAnsi="Garamond"/>
          <w:b/>
          <w:sz w:val="24"/>
        </w:rPr>
      </w:pPr>
    </w:p>
    <w:p w14:paraId="67935E22" w14:textId="5AD39D21" w:rsidR="00F930D8" w:rsidRPr="00B6793F" w:rsidRDefault="00F930D8" w:rsidP="00AC5BDD">
      <w:pPr>
        <w:spacing w:after="0" w:line="240" w:lineRule="auto"/>
        <w:ind w:firstLine="284"/>
        <w:jc w:val="center"/>
        <w:rPr>
          <w:rFonts w:ascii="Garamond" w:hAnsi="Garamond"/>
          <w:b/>
          <w:sz w:val="24"/>
        </w:rPr>
      </w:pPr>
    </w:p>
    <w:p w14:paraId="033FD1D6" w14:textId="77777777" w:rsidR="00DC3C27" w:rsidRPr="00B6793F" w:rsidRDefault="00DC3C27" w:rsidP="00AC5BDD">
      <w:pPr>
        <w:spacing w:after="0" w:line="240" w:lineRule="auto"/>
        <w:ind w:firstLine="284"/>
        <w:jc w:val="center"/>
        <w:rPr>
          <w:rFonts w:ascii="Garamond" w:hAnsi="Garamond"/>
          <w:b/>
          <w:sz w:val="24"/>
        </w:rPr>
      </w:pPr>
    </w:p>
    <w:p w14:paraId="6F1B0CC7" w14:textId="42619FDC" w:rsidR="00F930D8" w:rsidRPr="00B6793F" w:rsidRDefault="00F930D8" w:rsidP="00AC5BDD">
      <w:pPr>
        <w:spacing w:after="0" w:line="240" w:lineRule="auto"/>
        <w:ind w:firstLine="284"/>
        <w:jc w:val="center"/>
        <w:rPr>
          <w:rFonts w:ascii="Garamond" w:hAnsi="Garamond"/>
          <w:b/>
          <w:sz w:val="24"/>
        </w:rPr>
      </w:pPr>
    </w:p>
    <w:p w14:paraId="363E9FB4" w14:textId="1B8192A3" w:rsidR="00DC3C27" w:rsidRPr="00B6793F" w:rsidRDefault="00DC3C27" w:rsidP="00AC5BDD">
      <w:pPr>
        <w:spacing w:after="0" w:line="240" w:lineRule="auto"/>
        <w:ind w:firstLine="284"/>
        <w:jc w:val="center"/>
        <w:rPr>
          <w:rFonts w:ascii="Garamond" w:hAnsi="Garamond"/>
          <w:b/>
          <w:sz w:val="24"/>
        </w:rPr>
      </w:pPr>
    </w:p>
    <w:p w14:paraId="54E32D50" w14:textId="77777777" w:rsidR="00DC3C27" w:rsidRPr="00B6793F" w:rsidRDefault="00DC3C27" w:rsidP="00AC5BDD">
      <w:pPr>
        <w:spacing w:after="0" w:line="240" w:lineRule="auto"/>
        <w:ind w:firstLine="284"/>
        <w:jc w:val="center"/>
        <w:rPr>
          <w:rFonts w:ascii="Garamond" w:hAnsi="Garamond"/>
          <w:b/>
          <w:sz w:val="24"/>
        </w:rPr>
      </w:pPr>
    </w:p>
    <w:tbl>
      <w:tblPr>
        <w:tblW w:w="5000" w:type="pct"/>
        <w:tblLook w:val="04A0" w:firstRow="1" w:lastRow="0" w:firstColumn="1" w:lastColumn="0" w:noHBand="0" w:noVBand="1"/>
      </w:tblPr>
      <w:tblGrid>
        <w:gridCol w:w="509"/>
        <w:gridCol w:w="1335"/>
        <w:gridCol w:w="1167"/>
        <w:gridCol w:w="1175"/>
        <w:gridCol w:w="1094"/>
        <w:gridCol w:w="1401"/>
        <w:gridCol w:w="1457"/>
        <w:gridCol w:w="1114"/>
        <w:gridCol w:w="1337"/>
        <w:gridCol w:w="1175"/>
        <w:gridCol w:w="1156"/>
        <w:gridCol w:w="1038"/>
      </w:tblGrid>
      <w:tr w:rsidR="00973AA3" w:rsidRPr="00B6793F" w14:paraId="0EF77719" w14:textId="77777777" w:rsidTr="00973AA3">
        <w:trPr>
          <w:trHeight w:val="180"/>
        </w:trPr>
        <w:tc>
          <w:tcPr>
            <w:tcW w:w="5000" w:type="pct"/>
            <w:gridSpan w:val="12"/>
            <w:tcBorders>
              <w:top w:val="nil"/>
              <w:left w:val="nil"/>
              <w:bottom w:val="nil"/>
              <w:right w:val="nil"/>
            </w:tcBorders>
            <w:shd w:val="clear" w:color="auto" w:fill="auto"/>
            <w:noWrap/>
            <w:vAlign w:val="bottom"/>
            <w:hideMark/>
          </w:tcPr>
          <w:p w14:paraId="698E30EA" w14:textId="77777777" w:rsidR="00973AA3" w:rsidRPr="00B6793F" w:rsidRDefault="00973AA3" w:rsidP="00973AA3">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PPAP 2026</w:t>
            </w:r>
          </w:p>
        </w:tc>
      </w:tr>
      <w:tr w:rsidR="00973AA3" w:rsidRPr="00B6793F" w14:paraId="1EB60709" w14:textId="77777777" w:rsidTr="00973AA3">
        <w:trPr>
          <w:trHeight w:val="180"/>
        </w:trPr>
        <w:tc>
          <w:tcPr>
            <w:tcW w:w="5000" w:type="pct"/>
            <w:gridSpan w:val="12"/>
            <w:tcBorders>
              <w:top w:val="nil"/>
              <w:left w:val="nil"/>
              <w:bottom w:val="single" w:sz="4" w:space="0" w:color="auto"/>
              <w:right w:val="nil"/>
            </w:tcBorders>
            <w:shd w:val="clear" w:color="auto" w:fill="auto"/>
            <w:noWrap/>
            <w:vAlign w:val="bottom"/>
            <w:hideMark/>
          </w:tcPr>
          <w:p w14:paraId="46A0B7BF" w14:textId="77777777" w:rsidR="00973AA3" w:rsidRPr="00B6793F" w:rsidRDefault="00973AA3" w:rsidP="00973AA3">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Infrastruktures dhe Energjise</w:t>
            </w:r>
          </w:p>
        </w:tc>
      </w:tr>
      <w:tr w:rsidR="00973AA3" w:rsidRPr="00B6793F" w14:paraId="08C34226" w14:textId="77777777" w:rsidTr="00973AA3">
        <w:trPr>
          <w:trHeight w:val="180"/>
        </w:trPr>
        <w:tc>
          <w:tcPr>
            <w:tcW w:w="182" w:type="pct"/>
            <w:tcBorders>
              <w:top w:val="nil"/>
              <w:left w:val="single" w:sz="4" w:space="0" w:color="auto"/>
              <w:bottom w:val="nil"/>
              <w:right w:val="single" w:sz="4" w:space="0" w:color="auto"/>
            </w:tcBorders>
            <w:shd w:val="clear" w:color="000000" w:fill="C00000"/>
            <w:vAlign w:val="center"/>
            <w:hideMark/>
          </w:tcPr>
          <w:p w14:paraId="4838A648"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Nr.</w:t>
            </w:r>
          </w:p>
        </w:tc>
        <w:tc>
          <w:tcPr>
            <w:tcW w:w="478" w:type="pct"/>
            <w:tcBorders>
              <w:top w:val="nil"/>
              <w:left w:val="nil"/>
              <w:bottom w:val="nil"/>
              <w:right w:val="single" w:sz="4" w:space="0" w:color="auto"/>
            </w:tcBorders>
            <w:shd w:val="clear" w:color="000000" w:fill="C00000"/>
            <w:vAlign w:val="center"/>
            <w:hideMark/>
          </w:tcPr>
          <w:p w14:paraId="404FF2F8"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Titulli i projektaktit</w:t>
            </w:r>
          </w:p>
        </w:tc>
        <w:tc>
          <w:tcPr>
            <w:tcW w:w="418" w:type="pct"/>
            <w:tcBorders>
              <w:top w:val="nil"/>
              <w:left w:val="nil"/>
              <w:bottom w:val="nil"/>
              <w:right w:val="single" w:sz="4" w:space="0" w:color="auto"/>
            </w:tcBorders>
            <w:shd w:val="clear" w:color="000000" w:fill="C00000"/>
            <w:vAlign w:val="center"/>
            <w:hideMark/>
          </w:tcPr>
          <w:p w14:paraId="5628F3A0"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Lloji i projektaktit</w:t>
            </w:r>
          </w:p>
        </w:tc>
        <w:tc>
          <w:tcPr>
            <w:tcW w:w="421" w:type="pct"/>
            <w:tcBorders>
              <w:top w:val="nil"/>
              <w:left w:val="nil"/>
              <w:bottom w:val="nil"/>
              <w:right w:val="single" w:sz="4" w:space="0" w:color="auto"/>
            </w:tcBorders>
            <w:shd w:val="clear" w:color="000000" w:fill="C00000"/>
            <w:vAlign w:val="center"/>
            <w:hideMark/>
          </w:tcPr>
          <w:p w14:paraId="7C1731AA"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Ministri propozues</w:t>
            </w:r>
          </w:p>
        </w:tc>
        <w:tc>
          <w:tcPr>
            <w:tcW w:w="392" w:type="pct"/>
            <w:tcBorders>
              <w:top w:val="nil"/>
              <w:left w:val="nil"/>
              <w:bottom w:val="nil"/>
              <w:right w:val="single" w:sz="4" w:space="0" w:color="auto"/>
            </w:tcBorders>
            <w:shd w:val="clear" w:color="000000" w:fill="C00000"/>
            <w:vAlign w:val="center"/>
            <w:hideMark/>
          </w:tcPr>
          <w:p w14:paraId="20D94038"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Katërmujori</w:t>
            </w:r>
          </w:p>
        </w:tc>
        <w:tc>
          <w:tcPr>
            <w:tcW w:w="502" w:type="pct"/>
            <w:tcBorders>
              <w:top w:val="nil"/>
              <w:left w:val="nil"/>
              <w:bottom w:val="nil"/>
              <w:right w:val="single" w:sz="4" w:space="0" w:color="auto"/>
            </w:tcBorders>
            <w:shd w:val="clear" w:color="000000" w:fill="C00000"/>
            <w:vAlign w:val="center"/>
            <w:hideMark/>
          </w:tcPr>
          <w:p w14:paraId="498168C1"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Arsyet kryesore për propozimin e projektaktit</w:t>
            </w:r>
          </w:p>
        </w:tc>
        <w:tc>
          <w:tcPr>
            <w:tcW w:w="522" w:type="pct"/>
            <w:tcBorders>
              <w:top w:val="nil"/>
              <w:left w:val="nil"/>
              <w:bottom w:val="nil"/>
              <w:right w:val="single" w:sz="4" w:space="0" w:color="auto"/>
            </w:tcBorders>
            <w:shd w:val="clear" w:color="000000" w:fill="C00000"/>
            <w:vAlign w:val="center"/>
            <w:hideMark/>
          </w:tcPr>
          <w:p w14:paraId="049C87BD"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 xml:space="preserve">Çështjet kryesore që parashikon të rregullojë projektakti </w:t>
            </w:r>
          </w:p>
        </w:tc>
        <w:tc>
          <w:tcPr>
            <w:tcW w:w="399" w:type="pct"/>
            <w:tcBorders>
              <w:top w:val="nil"/>
              <w:left w:val="nil"/>
              <w:bottom w:val="nil"/>
              <w:right w:val="single" w:sz="4" w:space="0" w:color="auto"/>
            </w:tcBorders>
            <w:shd w:val="clear" w:color="000000" w:fill="C00000"/>
            <w:vAlign w:val="center"/>
            <w:hideMark/>
          </w:tcPr>
          <w:p w14:paraId="0410060D"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parashikuar projektakti në PKIE?</w:t>
            </w:r>
            <w:r w:rsidRPr="00B6793F">
              <w:rPr>
                <w:rFonts w:ascii="Arial" w:eastAsia="Times New Roman" w:hAnsi="Arial" w:cs="Arial"/>
                <w:b/>
                <w:bCs/>
                <w:sz w:val="8"/>
                <w:szCs w:val="8"/>
                <w:lang w:eastAsia="sq-AL"/>
              </w:rPr>
              <w:br/>
              <w:t>Nëse po, të specifikohet kapitulli përkatës</w:t>
            </w:r>
          </w:p>
        </w:tc>
        <w:tc>
          <w:tcPr>
            <w:tcW w:w="479" w:type="pct"/>
            <w:tcBorders>
              <w:top w:val="nil"/>
              <w:left w:val="nil"/>
              <w:bottom w:val="nil"/>
              <w:right w:val="single" w:sz="4" w:space="0" w:color="auto"/>
            </w:tcBorders>
            <w:shd w:val="clear" w:color="000000" w:fill="C00000"/>
            <w:vAlign w:val="center"/>
            <w:hideMark/>
          </w:tcPr>
          <w:p w14:paraId="75C4D086"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Përputhshmëria e projektaktit me programin politik qeverisës 2025-2029</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përputhet, të jepet  referenca e saktë në progam</w:t>
            </w:r>
          </w:p>
        </w:tc>
        <w:tc>
          <w:tcPr>
            <w:tcW w:w="421" w:type="pct"/>
            <w:tcBorders>
              <w:top w:val="nil"/>
              <w:left w:val="nil"/>
              <w:bottom w:val="nil"/>
              <w:right w:val="single" w:sz="4" w:space="0" w:color="auto"/>
            </w:tcBorders>
            <w:shd w:val="clear" w:color="000000" w:fill="C00000"/>
            <w:vAlign w:val="center"/>
            <w:hideMark/>
          </w:tcPr>
          <w:p w14:paraId="1A80A08A"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akt i një rëndësie të veçantë e prioritare?</w:t>
            </w:r>
          </w:p>
        </w:tc>
        <w:tc>
          <w:tcPr>
            <w:tcW w:w="414" w:type="pct"/>
            <w:tcBorders>
              <w:top w:val="nil"/>
              <w:left w:val="nil"/>
              <w:bottom w:val="nil"/>
              <w:right w:val="single" w:sz="4" w:space="0" w:color="auto"/>
            </w:tcBorders>
            <w:shd w:val="clear" w:color="000000" w:fill="C00000"/>
            <w:vAlign w:val="center"/>
            <w:hideMark/>
          </w:tcPr>
          <w:p w14:paraId="539B8B59"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Lidhja e projektaktit me strategjitë kombëtare dhe sektoriale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lidhet, të specifikohen strategjitë</w:t>
            </w:r>
          </w:p>
        </w:tc>
        <w:tc>
          <w:tcPr>
            <w:tcW w:w="372" w:type="pct"/>
            <w:tcBorders>
              <w:top w:val="nil"/>
              <w:left w:val="nil"/>
              <w:bottom w:val="nil"/>
              <w:right w:val="single" w:sz="4" w:space="0" w:color="auto"/>
            </w:tcBorders>
            <w:shd w:val="clear" w:color="000000" w:fill="C00000"/>
            <w:vAlign w:val="center"/>
            <w:hideMark/>
          </w:tcPr>
          <w:p w14:paraId="113DBE89" w14:textId="77777777" w:rsidR="00973AA3" w:rsidRPr="00B6793F" w:rsidRDefault="00973AA3" w:rsidP="00973AA3">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Ndikimet e mundshme ekonomike, financiare, sociale dhe mjedisore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 xml:space="preserve">Përgjigjuni me Po/Jo për ndikimet përkatëse </w:t>
            </w:r>
          </w:p>
        </w:tc>
      </w:tr>
      <w:tr w:rsidR="00973AA3" w:rsidRPr="00B6793F" w14:paraId="22DD1240" w14:textId="77777777" w:rsidTr="00973AA3">
        <w:trPr>
          <w:trHeight w:val="180"/>
        </w:trPr>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CD5E0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78" w:type="pct"/>
            <w:tcBorders>
              <w:top w:val="single" w:sz="4" w:space="0" w:color="000000"/>
              <w:left w:val="nil"/>
              <w:bottom w:val="single" w:sz="4" w:space="0" w:color="000000"/>
              <w:right w:val="single" w:sz="4" w:space="0" w:color="000000"/>
            </w:tcBorders>
            <w:shd w:val="clear" w:color="auto" w:fill="auto"/>
            <w:vAlign w:val="center"/>
            <w:hideMark/>
          </w:tcPr>
          <w:p w14:paraId="729C410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943, datë 28.12.2016, "Për licencimin profesional të individëve dhe personave juridikë që do të ushtrojnë veprimtari në fushën e studimit e  të projektimit në ndërtim dhe mbikëqyrjes dhe kolaudimit të punimeve të zbatimit në ndërtim”</w:t>
            </w:r>
          </w:p>
        </w:tc>
        <w:tc>
          <w:tcPr>
            <w:tcW w:w="418" w:type="pct"/>
            <w:tcBorders>
              <w:top w:val="single" w:sz="4" w:space="0" w:color="000000"/>
              <w:left w:val="nil"/>
              <w:bottom w:val="single" w:sz="4" w:space="0" w:color="000000"/>
              <w:right w:val="single" w:sz="4" w:space="0" w:color="000000"/>
            </w:tcBorders>
            <w:shd w:val="clear" w:color="auto" w:fill="auto"/>
            <w:vAlign w:val="center"/>
            <w:hideMark/>
          </w:tcPr>
          <w:p w14:paraId="6F777C4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single" w:sz="4" w:space="0" w:color="000000"/>
              <w:left w:val="nil"/>
              <w:bottom w:val="single" w:sz="4" w:space="0" w:color="000000"/>
              <w:right w:val="single" w:sz="4" w:space="0" w:color="000000"/>
            </w:tcBorders>
            <w:shd w:val="clear" w:color="auto" w:fill="auto"/>
            <w:vAlign w:val="center"/>
            <w:hideMark/>
          </w:tcPr>
          <w:p w14:paraId="55E7048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single" w:sz="4" w:space="0" w:color="000000"/>
              <w:left w:val="nil"/>
              <w:bottom w:val="single" w:sz="4" w:space="0" w:color="000000"/>
              <w:right w:val="single" w:sz="4" w:space="0" w:color="000000"/>
            </w:tcBorders>
            <w:shd w:val="clear" w:color="auto" w:fill="auto"/>
            <w:vAlign w:val="center"/>
            <w:hideMark/>
          </w:tcPr>
          <w:p w14:paraId="1AA6C34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single" w:sz="4" w:space="0" w:color="000000"/>
              <w:left w:val="nil"/>
              <w:bottom w:val="single" w:sz="4" w:space="0" w:color="000000"/>
              <w:right w:val="single" w:sz="4" w:space="0" w:color="000000"/>
            </w:tcBorders>
            <w:shd w:val="clear" w:color="auto" w:fill="auto"/>
            <w:vAlign w:val="center"/>
            <w:hideMark/>
          </w:tcPr>
          <w:p w14:paraId="0A9E792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te reflektuar menyren e aplikimit nepermjet sistemit elektronik te licencave ne rregulloren e kritereve dhe procedurave te dhenies se liçencave profesionale ne fushen e studimit e te projektimit ne ndertim dhe mbikqyerjes e kolaudimit te punimeve te zbatimit ne ndertim.</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7C997D8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Ndryshimi I menyres se aplikimit dhe rishikimi I afateve dhe procedurave ne perputhje me sistemin elektronik te liçencave</w:t>
            </w:r>
          </w:p>
        </w:tc>
        <w:tc>
          <w:tcPr>
            <w:tcW w:w="399" w:type="pct"/>
            <w:tcBorders>
              <w:top w:val="single" w:sz="4" w:space="0" w:color="000000"/>
              <w:left w:val="nil"/>
              <w:bottom w:val="single" w:sz="4" w:space="0" w:color="000000"/>
              <w:right w:val="single" w:sz="4" w:space="0" w:color="000000"/>
            </w:tcBorders>
            <w:shd w:val="clear" w:color="auto" w:fill="auto"/>
            <w:vAlign w:val="center"/>
            <w:hideMark/>
          </w:tcPr>
          <w:p w14:paraId="27720AD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single" w:sz="4" w:space="0" w:color="000000"/>
              <w:left w:val="nil"/>
              <w:bottom w:val="single" w:sz="4" w:space="0" w:color="000000"/>
              <w:right w:val="single" w:sz="4" w:space="0" w:color="000000"/>
            </w:tcBorders>
            <w:shd w:val="clear" w:color="auto" w:fill="auto"/>
            <w:vAlign w:val="center"/>
            <w:hideMark/>
          </w:tcPr>
          <w:p w14:paraId="5D16058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21" w:type="pct"/>
            <w:tcBorders>
              <w:top w:val="single" w:sz="4" w:space="0" w:color="000000"/>
              <w:left w:val="nil"/>
              <w:bottom w:val="single" w:sz="4" w:space="0" w:color="000000"/>
              <w:right w:val="single" w:sz="4" w:space="0" w:color="000000"/>
            </w:tcBorders>
            <w:shd w:val="clear" w:color="auto" w:fill="auto"/>
            <w:vAlign w:val="center"/>
            <w:hideMark/>
          </w:tcPr>
          <w:p w14:paraId="30DE49A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14" w:type="pct"/>
            <w:tcBorders>
              <w:top w:val="single" w:sz="4" w:space="0" w:color="000000"/>
              <w:left w:val="nil"/>
              <w:bottom w:val="single" w:sz="4" w:space="0" w:color="000000"/>
              <w:right w:val="single" w:sz="4" w:space="0" w:color="000000"/>
            </w:tcBorders>
            <w:shd w:val="clear" w:color="auto" w:fill="auto"/>
            <w:vAlign w:val="center"/>
            <w:hideMark/>
          </w:tcPr>
          <w:p w14:paraId="5ABC8E6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2" w:type="pct"/>
            <w:tcBorders>
              <w:top w:val="single" w:sz="4" w:space="0" w:color="000000"/>
              <w:left w:val="nil"/>
              <w:bottom w:val="single" w:sz="4" w:space="0" w:color="000000"/>
              <w:right w:val="single" w:sz="4" w:space="0" w:color="000000"/>
            </w:tcBorders>
            <w:shd w:val="clear" w:color="auto" w:fill="auto"/>
            <w:vAlign w:val="center"/>
            <w:hideMark/>
          </w:tcPr>
          <w:p w14:paraId="0EB0774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53152411"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1611D5D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78" w:type="pct"/>
            <w:tcBorders>
              <w:top w:val="nil"/>
              <w:left w:val="nil"/>
              <w:bottom w:val="single" w:sz="4" w:space="0" w:color="000000"/>
              <w:right w:val="single" w:sz="4" w:space="0" w:color="000000"/>
            </w:tcBorders>
            <w:shd w:val="clear" w:color="auto" w:fill="auto"/>
            <w:vAlign w:val="center"/>
            <w:hideMark/>
          </w:tcPr>
          <w:p w14:paraId="4545D34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Miratimin e Strategjisë Kombëtare për Zhvillimin e Sektorit Minerar 2026-2040"</w:t>
            </w:r>
          </w:p>
        </w:tc>
        <w:tc>
          <w:tcPr>
            <w:tcW w:w="418" w:type="pct"/>
            <w:tcBorders>
              <w:top w:val="nil"/>
              <w:left w:val="nil"/>
              <w:bottom w:val="single" w:sz="4" w:space="0" w:color="000000"/>
              <w:right w:val="single" w:sz="4" w:space="0" w:color="000000"/>
            </w:tcBorders>
            <w:shd w:val="clear" w:color="auto" w:fill="auto"/>
            <w:vAlign w:val="center"/>
            <w:hideMark/>
          </w:tcPr>
          <w:p w14:paraId="22C8194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717E664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19266F1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728068F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 Sektorit Minerar 2026–2040 vendos një kuadër të ri kombëtar për modernizimin, transformimin dhe integrimin e industrisë minerare shqiptare në standardet dhe tregjet e Bashkimit Evropian. Në një kohë kur lëndët e para kritike (CRM) janë shndërruar në një prioritet strategjik global për tranzicionin e gjelbër dhe dixhital, kjo strategji synon të pozicionojë Shqipërinë si një vend me rëndësi të veçantë për furnizimin rajonal dhe evropian me minerale të sigurta, të qëndrueshme dhe konkurruese</w:t>
            </w:r>
          </w:p>
        </w:tc>
        <w:tc>
          <w:tcPr>
            <w:tcW w:w="522" w:type="pct"/>
            <w:tcBorders>
              <w:top w:val="nil"/>
              <w:left w:val="nil"/>
              <w:bottom w:val="single" w:sz="4" w:space="0" w:color="000000"/>
              <w:right w:val="single" w:sz="4" w:space="0" w:color="000000"/>
            </w:tcBorders>
            <w:shd w:val="clear" w:color="auto" w:fill="auto"/>
            <w:vAlign w:val="center"/>
            <w:hideMark/>
          </w:tcPr>
          <w:p w14:paraId="4346F07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w:t>
            </w:r>
          </w:p>
        </w:tc>
        <w:tc>
          <w:tcPr>
            <w:tcW w:w="399" w:type="pct"/>
            <w:tcBorders>
              <w:top w:val="nil"/>
              <w:left w:val="nil"/>
              <w:bottom w:val="single" w:sz="4" w:space="0" w:color="000000"/>
              <w:right w:val="single" w:sz="4" w:space="0" w:color="000000"/>
            </w:tcBorders>
            <w:shd w:val="clear" w:color="auto" w:fill="auto"/>
            <w:vAlign w:val="center"/>
            <w:hideMark/>
          </w:tcPr>
          <w:p w14:paraId="1383FC7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4978548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284F212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7EB7766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 Sektorit Minerar 2026-2040</w:t>
            </w:r>
          </w:p>
        </w:tc>
        <w:tc>
          <w:tcPr>
            <w:tcW w:w="372" w:type="pct"/>
            <w:tcBorders>
              <w:top w:val="nil"/>
              <w:left w:val="nil"/>
              <w:bottom w:val="single" w:sz="4" w:space="0" w:color="000000"/>
              <w:right w:val="single" w:sz="4" w:space="0" w:color="000000"/>
            </w:tcBorders>
            <w:shd w:val="clear" w:color="auto" w:fill="auto"/>
            <w:vAlign w:val="center"/>
            <w:hideMark/>
          </w:tcPr>
          <w:p w14:paraId="5F47730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2DA2572F"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D158D6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78" w:type="pct"/>
            <w:tcBorders>
              <w:top w:val="nil"/>
              <w:left w:val="nil"/>
              <w:bottom w:val="single" w:sz="4" w:space="0" w:color="000000"/>
              <w:right w:val="single" w:sz="4" w:space="0" w:color="000000"/>
            </w:tcBorders>
            <w:shd w:val="clear" w:color="000000" w:fill="FFFFFF"/>
            <w:vAlign w:val="center"/>
            <w:hideMark/>
          </w:tcPr>
          <w:p w14:paraId="6EDF3BA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për sektorin e energjisë elektrike Nr. 43/2015, i ndryshuar"</w:t>
            </w:r>
          </w:p>
        </w:tc>
        <w:tc>
          <w:tcPr>
            <w:tcW w:w="418" w:type="pct"/>
            <w:tcBorders>
              <w:top w:val="nil"/>
              <w:left w:val="nil"/>
              <w:bottom w:val="single" w:sz="4" w:space="0" w:color="000000"/>
              <w:right w:val="single" w:sz="4" w:space="0" w:color="000000"/>
            </w:tcBorders>
            <w:shd w:val="clear" w:color="auto" w:fill="auto"/>
            <w:vAlign w:val="center"/>
            <w:hideMark/>
          </w:tcPr>
          <w:p w14:paraId="04FF6FC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566FC22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1877B64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4399459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Transpozim i Direktivës (BE) 2019/944 e Parlamentit Evropian dhe e Këshillit e datës 5 qershor 2019 mbi rregullat e përbashkëta për tregun e brendshëm të energjisë elektrike dhe ndryshimin e Direktivës 2012/27/BE, Rregullores (BE) 2019/943 e Parlamentit Evropian dhe e Këshillit e datës 5 qershor 2019 mbi tregun e brendshëm të energjisë elektrike, Rregullores (BE) 2019/941 e Parlamentit Evropian dhe e Këshillit e datës 5 qershor 2019 mbi gatishmërinë ndaj rrezikut në sektorin e energjisë elektrike dhe shfuqizimin e Direktivës 2005/89/EC dhe Rregullores ACER- Rregullorja 2019/942  për krijimin e Agjencisë së Bashkimit Evropian për Bashkëpunimin e Rregullatorëve të Energjisë </w:t>
            </w:r>
          </w:p>
        </w:tc>
        <w:tc>
          <w:tcPr>
            <w:tcW w:w="522" w:type="pct"/>
            <w:tcBorders>
              <w:top w:val="nil"/>
              <w:left w:val="nil"/>
              <w:bottom w:val="single" w:sz="4" w:space="0" w:color="000000"/>
              <w:right w:val="single" w:sz="4" w:space="0" w:color="000000"/>
            </w:tcBorders>
            <w:shd w:val="clear" w:color="auto" w:fill="auto"/>
            <w:vAlign w:val="center"/>
            <w:hideMark/>
          </w:tcPr>
          <w:p w14:paraId="6A0EC23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projektligj parashikon përcaktimin e rregullave të përbashkëta për prodhimin, transmetimin, shpërndarjen dhe furnizimin me energji elektrike, së bashku me dispozitat për mbrojtjen e konsumatorit, me qellim krijimin e kushteve për një treg të integruar të energjisë elektrike në rajon si dhe përmirësimin e sigurisë së furnizimit dhe funksionimin e përgjithshëm të sistemit energjetik të Shqipërisë, miratimin e rregullave për sigurinë e furnizimit me energji elektrike të cilat përfshijnë masat që duhet të ndërmerren në rastet e situatave emergjente, rolin dhe detyrimet e pjesëmarrësve të tregut të energjisë elektrike në lidhje me sigurinë e furnizimit me energji elektrike dhe parashikon të përmirësojë koordinimin ndërmjet autoriteteve rregullatore të energjisë të vendeve të ndryshme për çështjet ndërkufitare. </w:t>
            </w:r>
          </w:p>
        </w:tc>
        <w:tc>
          <w:tcPr>
            <w:tcW w:w="399" w:type="pct"/>
            <w:tcBorders>
              <w:top w:val="nil"/>
              <w:left w:val="nil"/>
              <w:bottom w:val="single" w:sz="4" w:space="0" w:color="000000"/>
              <w:right w:val="single" w:sz="4" w:space="0" w:color="000000"/>
            </w:tcBorders>
            <w:shd w:val="clear" w:color="auto" w:fill="auto"/>
            <w:vAlign w:val="center"/>
            <w:hideMark/>
          </w:tcPr>
          <w:p w14:paraId="533D791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785B61A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Shtylla II- Rritja ekonomike e qëndrueshme - energjia</w:t>
            </w:r>
          </w:p>
        </w:tc>
        <w:tc>
          <w:tcPr>
            <w:tcW w:w="421" w:type="pct"/>
            <w:tcBorders>
              <w:top w:val="nil"/>
              <w:left w:val="nil"/>
              <w:bottom w:val="single" w:sz="4" w:space="0" w:color="000000"/>
              <w:right w:val="single" w:sz="4" w:space="0" w:color="000000"/>
            </w:tcBorders>
            <w:shd w:val="clear" w:color="auto" w:fill="auto"/>
            <w:vAlign w:val="center"/>
            <w:hideMark/>
          </w:tcPr>
          <w:p w14:paraId="64BD94D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projektiakti është detyrim në kuadër të transpozimit të Acquis por edhe sepse përfshihet në Reform Agenda</w:t>
            </w:r>
          </w:p>
        </w:tc>
        <w:tc>
          <w:tcPr>
            <w:tcW w:w="414" w:type="pct"/>
            <w:tcBorders>
              <w:top w:val="nil"/>
              <w:left w:val="nil"/>
              <w:bottom w:val="single" w:sz="4" w:space="0" w:color="000000"/>
              <w:right w:val="single" w:sz="4" w:space="0" w:color="000000"/>
            </w:tcBorders>
            <w:shd w:val="clear" w:color="auto" w:fill="auto"/>
            <w:vAlign w:val="center"/>
            <w:hideMark/>
          </w:tcPr>
          <w:p w14:paraId="5803C1D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372" w:type="pct"/>
            <w:tcBorders>
              <w:top w:val="nil"/>
              <w:left w:val="nil"/>
              <w:bottom w:val="single" w:sz="4" w:space="0" w:color="000000"/>
              <w:right w:val="single" w:sz="4" w:space="0" w:color="000000"/>
            </w:tcBorders>
            <w:shd w:val="clear" w:color="auto" w:fill="auto"/>
            <w:vAlign w:val="center"/>
            <w:hideMark/>
          </w:tcPr>
          <w:p w14:paraId="2331193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6532C30D"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47F782F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78" w:type="pct"/>
            <w:tcBorders>
              <w:top w:val="nil"/>
              <w:left w:val="nil"/>
              <w:bottom w:val="single" w:sz="4" w:space="0" w:color="000000"/>
              <w:right w:val="single" w:sz="4" w:space="0" w:color="000000"/>
            </w:tcBorders>
            <w:shd w:val="clear" w:color="000000" w:fill="FFFFFF"/>
            <w:vAlign w:val="center"/>
            <w:hideMark/>
          </w:tcPr>
          <w:p w14:paraId="7D68E06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Miratimin e Strategjisë Kombëtare Sektoriale të Transportit 2030"</w:t>
            </w:r>
          </w:p>
        </w:tc>
        <w:tc>
          <w:tcPr>
            <w:tcW w:w="418" w:type="pct"/>
            <w:tcBorders>
              <w:top w:val="nil"/>
              <w:left w:val="nil"/>
              <w:bottom w:val="single" w:sz="4" w:space="0" w:color="000000"/>
              <w:right w:val="single" w:sz="4" w:space="0" w:color="000000"/>
            </w:tcBorders>
            <w:shd w:val="clear" w:color="auto" w:fill="auto"/>
            <w:vAlign w:val="center"/>
            <w:hideMark/>
          </w:tcPr>
          <w:p w14:paraId="3B74B31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70863A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67E3209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0F66C39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Sektoriale e Transportit 2030 synon të sigurojë një kuadër gjithëpërfshirës për të udhëhequr zhvillimin, modernizimin dhe qëndrueshmërinë e sektorit të transportit, duke siguruar përafrimin me qëllimet kombëtare të zhvillimit dhe praktikat më të mira ndërkombëtare. Strategjia do të adresojë sfidat aktuale, do të parashikojë kërkesat e ardhshme dhe do të integrojë zgjidhje inovative për të krijuar një rrjet transporti te pershtatshem dhe efikas.</w:t>
            </w:r>
          </w:p>
        </w:tc>
        <w:tc>
          <w:tcPr>
            <w:tcW w:w="522" w:type="pct"/>
            <w:tcBorders>
              <w:top w:val="nil"/>
              <w:left w:val="nil"/>
              <w:bottom w:val="single" w:sz="4" w:space="0" w:color="000000"/>
              <w:right w:val="single" w:sz="4" w:space="0" w:color="000000"/>
            </w:tcBorders>
            <w:shd w:val="clear" w:color="auto" w:fill="auto"/>
            <w:vAlign w:val="center"/>
            <w:hideMark/>
          </w:tcPr>
          <w:p w14:paraId="746A0CD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Kjo strategji do të përafrohet me prioritetet kombëtare, rajonale dhe të BE-së në fushën e transportit si dhe me Axhendën e Gjelbër për Ballkanin Perëndimor 2020, Planin e Investimeve Ekonomike të BE-së për Ballkanin Perëndimor, Strategjinë për Transport të zgjuar dhe të Qëndrueshëm për Ballkanin Perëndimor, përfshirë dhe planet e veprimit të Traktatit të Komunitetit të Transportit.</w:t>
            </w:r>
          </w:p>
        </w:tc>
        <w:tc>
          <w:tcPr>
            <w:tcW w:w="399" w:type="pct"/>
            <w:tcBorders>
              <w:top w:val="nil"/>
              <w:left w:val="nil"/>
              <w:bottom w:val="single" w:sz="4" w:space="0" w:color="000000"/>
              <w:right w:val="single" w:sz="4" w:space="0" w:color="000000"/>
            </w:tcBorders>
            <w:shd w:val="clear" w:color="auto" w:fill="auto"/>
            <w:vAlign w:val="center"/>
            <w:hideMark/>
          </w:tcPr>
          <w:p w14:paraId="237B423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14</w:t>
            </w:r>
            <w:r w:rsidRPr="00B6793F">
              <w:rPr>
                <w:rFonts w:ascii="Arial" w:eastAsia="Times New Roman" w:hAnsi="Arial" w:cs="Arial"/>
                <w:color w:val="000000"/>
                <w:sz w:val="8"/>
                <w:szCs w:val="8"/>
                <w:lang w:eastAsia="sq-AL"/>
              </w:rPr>
              <w:br/>
              <w:t xml:space="preserve">"Politikat e transportit" </w:t>
            </w:r>
          </w:p>
        </w:tc>
        <w:tc>
          <w:tcPr>
            <w:tcW w:w="479" w:type="pct"/>
            <w:tcBorders>
              <w:top w:val="nil"/>
              <w:left w:val="nil"/>
              <w:bottom w:val="single" w:sz="4" w:space="0" w:color="000000"/>
              <w:right w:val="single" w:sz="4" w:space="0" w:color="000000"/>
            </w:tcBorders>
            <w:shd w:val="clear" w:color="auto" w:fill="auto"/>
            <w:vAlign w:val="center"/>
            <w:hideMark/>
          </w:tcPr>
          <w:p w14:paraId="4AA6FA3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02D8D99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i Politikave te Transportit dhe rekomandimi i vazhdueshem i progres raporteve</w:t>
            </w:r>
          </w:p>
        </w:tc>
        <w:tc>
          <w:tcPr>
            <w:tcW w:w="414" w:type="pct"/>
            <w:tcBorders>
              <w:top w:val="nil"/>
              <w:left w:val="nil"/>
              <w:bottom w:val="single" w:sz="4" w:space="0" w:color="000000"/>
              <w:right w:val="single" w:sz="4" w:space="0" w:color="000000"/>
            </w:tcBorders>
            <w:shd w:val="clear" w:color="auto" w:fill="auto"/>
            <w:vAlign w:val="center"/>
            <w:hideMark/>
          </w:tcPr>
          <w:p w14:paraId="5420E4C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Sektoriale e Transportit 2030</w:t>
            </w:r>
          </w:p>
        </w:tc>
        <w:tc>
          <w:tcPr>
            <w:tcW w:w="372" w:type="pct"/>
            <w:tcBorders>
              <w:top w:val="nil"/>
              <w:left w:val="nil"/>
              <w:bottom w:val="single" w:sz="4" w:space="0" w:color="000000"/>
              <w:right w:val="single" w:sz="4" w:space="0" w:color="000000"/>
            </w:tcBorders>
            <w:shd w:val="clear" w:color="auto" w:fill="auto"/>
            <w:vAlign w:val="center"/>
            <w:hideMark/>
          </w:tcPr>
          <w:p w14:paraId="0CF66FFC"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7E2F503F"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771C5E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78" w:type="pct"/>
            <w:tcBorders>
              <w:top w:val="nil"/>
              <w:left w:val="nil"/>
              <w:bottom w:val="single" w:sz="4" w:space="0" w:color="000000"/>
              <w:right w:val="single" w:sz="4" w:space="0" w:color="000000"/>
            </w:tcBorders>
            <w:shd w:val="clear" w:color="000000" w:fill="FFFFFF"/>
            <w:vAlign w:val="center"/>
            <w:hideMark/>
          </w:tcPr>
          <w:p w14:paraId="12C121C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disa ndryshime dhe shtesa në VKM Nr. 153, date 7.4.2000", I ndryshuar</w:t>
            </w:r>
          </w:p>
        </w:tc>
        <w:tc>
          <w:tcPr>
            <w:tcW w:w="418" w:type="pct"/>
            <w:tcBorders>
              <w:top w:val="nil"/>
              <w:left w:val="nil"/>
              <w:bottom w:val="single" w:sz="4" w:space="0" w:color="000000"/>
              <w:right w:val="single" w:sz="4" w:space="0" w:color="000000"/>
            </w:tcBorders>
            <w:shd w:val="clear" w:color="auto" w:fill="auto"/>
            <w:vAlign w:val="center"/>
            <w:hideMark/>
          </w:tcPr>
          <w:p w14:paraId="1638BAD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19656A4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62AB164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5881D47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 Pozicionin e Komisionit Evropian per kapitullin 14 te politikave te transportit   eshte nenvizuar nevoja e linjezimit te direktivave qe kane te bejne me sigurine rrugore, posaçërisht Direktiva mbi shkembimin e informacionit nderkufitar ne lidhje me kundravatjet e sigurise rrugore, direktiva 2015/413.</w:t>
            </w:r>
          </w:p>
        </w:tc>
        <w:tc>
          <w:tcPr>
            <w:tcW w:w="522" w:type="pct"/>
            <w:tcBorders>
              <w:top w:val="nil"/>
              <w:left w:val="nil"/>
              <w:bottom w:val="single" w:sz="4" w:space="0" w:color="000000"/>
              <w:right w:val="single" w:sz="4" w:space="0" w:color="000000"/>
            </w:tcBorders>
            <w:shd w:val="clear" w:color="auto" w:fill="auto"/>
            <w:vAlign w:val="center"/>
            <w:hideMark/>
          </w:tcPr>
          <w:p w14:paraId="07C0C80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do te synoje te perafroje plotesisht direktiven 2015/413, ne evidentimin dhe ndjekjen e shkeljeve te shtetasve te huaj qe qarkullojne me mjeteve ne territorin e Shqiperise dhe anasjelltas, duke percaktuar procedurat dhe menyrat e shkembimit te informacionit te </w:t>
            </w:r>
            <w:r w:rsidRPr="00B6793F">
              <w:rPr>
                <w:rFonts w:ascii="Arial" w:eastAsia="Times New Roman" w:hAnsi="Arial" w:cs="Arial"/>
                <w:color w:val="000000"/>
                <w:sz w:val="8"/>
                <w:szCs w:val="8"/>
                <w:lang w:eastAsia="sq-AL"/>
              </w:rPr>
              <w:lastRenderedPageBreak/>
              <w:t>nevojshem midis shteteve permes pikave te kontaktit.</w:t>
            </w:r>
          </w:p>
        </w:tc>
        <w:tc>
          <w:tcPr>
            <w:tcW w:w="399" w:type="pct"/>
            <w:tcBorders>
              <w:top w:val="nil"/>
              <w:left w:val="nil"/>
              <w:bottom w:val="single" w:sz="4" w:space="0" w:color="000000"/>
              <w:right w:val="single" w:sz="4" w:space="0" w:color="000000"/>
            </w:tcBorders>
            <w:shd w:val="clear" w:color="auto" w:fill="auto"/>
            <w:vAlign w:val="center"/>
            <w:hideMark/>
          </w:tcPr>
          <w:p w14:paraId="09C7670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Jo</w:t>
            </w:r>
          </w:p>
        </w:tc>
        <w:tc>
          <w:tcPr>
            <w:tcW w:w="479" w:type="pct"/>
            <w:tcBorders>
              <w:top w:val="nil"/>
              <w:left w:val="nil"/>
              <w:bottom w:val="single" w:sz="4" w:space="0" w:color="000000"/>
              <w:right w:val="single" w:sz="4" w:space="0" w:color="000000"/>
            </w:tcBorders>
            <w:shd w:val="clear" w:color="auto" w:fill="auto"/>
            <w:vAlign w:val="center"/>
            <w:hideMark/>
          </w:tcPr>
          <w:p w14:paraId="41C7416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 pika 1.7, pika c, paragrafi 3</w:t>
            </w:r>
          </w:p>
        </w:tc>
        <w:tc>
          <w:tcPr>
            <w:tcW w:w="421" w:type="pct"/>
            <w:tcBorders>
              <w:top w:val="nil"/>
              <w:left w:val="nil"/>
              <w:bottom w:val="single" w:sz="4" w:space="0" w:color="000000"/>
              <w:right w:val="single" w:sz="4" w:space="0" w:color="000000"/>
            </w:tcBorders>
            <w:shd w:val="clear" w:color="auto" w:fill="auto"/>
            <w:vAlign w:val="center"/>
            <w:hideMark/>
          </w:tcPr>
          <w:p w14:paraId="142483B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Closing Benchmarks</w:t>
            </w:r>
          </w:p>
        </w:tc>
        <w:tc>
          <w:tcPr>
            <w:tcW w:w="414" w:type="pct"/>
            <w:tcBorders>
              <w:top w:val="nil"/>
              <w:left w:val="nil"/>
              <w:bottom w:val="single" w:sz="4" w:space="0" w:color="000000"/>
              <w:right w:val="single" w:sz="4" w:space="0" w:color="000000"/>
            </w:tcBorders>
            <w:shd w:val="clear" w:color="auto" w:fill="auto"/>
            <w:vAlign w:val="center"/>
            <w:hideMark/>
          </w:tcPr>
          <w:p w14:paraId="57DE4DB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0658227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74CC997A"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78268E5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78" w:type="pct"/>
            <w:tcBorders>
              <w:top w:val="nil"/>
              <w:left w:val="nil"/>
              <w:bottom w:val="single" w:sz="4" w:space="0" w:color="000000"/>
              <w:right w:val="single" w:sz="4" w:space="0" w:color="000000"/>
            </w:tcBorders>
            <w:shd w:val="clear" w:color="auto" w:fill="auto"/>
            <w:vAlign w:val="center"/>
            <w:hideMark/>
          </w:tcPr>
          <w:p w14:paraId="7A2FEA2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Per  kriteret e qëndrueshmëris per biokarburantet dhe lëndët djegëse të rinovueshme për transport.</w:t>
            </w:r>
          </w:p>
        </w:tc>
        <w:tc>
          <w:tcPr>
            <w:tcW w:w="418" w:type="pct"/>
            <w:tcBorders>
              <w:top w:val="nil"/>
              <w:left w:val="nil"/>
              <w:bottom w:val="single" w:sz="4" w:space="0" w:color="000000"/>
              <w:right w:val="single" w:sz="4" w:space="0" w:color="000000"/>
            </w:tcBorders>
            <w:shd w:val="clear" w:color="auto" w:fill="auto"/>
            <w:vAlign w:val="center"/>
            <w:hideMark/>
          </w:tcPr>
          <w:p w14:paraId="1B3619A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5830CE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0F92258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74B757D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Detyrimi i lindur nga zbatimi i  ligjit nr. 46/2025</w:t>
            </w:r>
            <w:r w:rsidRPr="00B6793F">
              <w:rPr>
                <w:rFonts w:ascii="Arial" w:eastAsia="Times New Roman" w:hAnsi="Arial" w:cs="Arial"/>
                <w:color w:val="000000"/>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38B1566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kete  projektakt sunohet te rregulloeht, qëndrueshmëria dhe reduktimi i emetimeve të gazeve serrë për biokarburantet  Biokarburantet dhe lëndët djegëse, të rinovueshme për transport, të prodhuara nga mbetje të tjera nga mbetjet bujqësore, akuakulturore, nga peshkimi dhe nga mbetjet e pyjeve, duhet të</w:t>
            </w:r>
            <w:r w:rsidRPr="00B6793F">
              <w:rPr>
                <w:rFonts w:ascii="Arial" w:eastAsia="Times New Roman" w:hAnsi="Arial" w:cs="Arial"/>
                <w:color w:val="000000"/>
                <w:sz w:val="8"/>
                <w:szCs w:val="8"/>
                <w:lang w:eastAsia="sq-AL"/>
              </w:rPr>
              <w:br/>
              <w:t>përmbushin vetëm kriteret e reduktimit të emetimeve të gazeve serrë.</w:t>
            </w:r>
          </w:p>
        </w:tc>
        <w:tc>
          <w:tcPr>
            <w:tcW w:w="399" w:type="pct"/>
            <w:tcBorders>
              <w:top w:val="nil"/>
              <w:left w:val="nil"/>
              <w:bottom w:val="single" w:sz="4" w:space="0" w:color="000000"/>
              <w:right w:val="single" w:sz="4" w:space="0" w:color="000000"/>
            </w:tcBorders>
            <w:shd w:val="clear" w:color="auto" w:fill="auto"/>
            <w:vAlign w:val="center"/>
            <w:hideMark/>
          </w:tcPr>
          <w:p w14:paraId="064C86F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40E2412A"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42EAD22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458C2F1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2DF6EC1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1DF598E3"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828DD1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78" w:type="pct"/>
            <w:tcBorders>
              <w:top w:val="nil"/>
              <w:left w:val="nil"/>
              <w:bottom w:val="single" w:sz="4" w:space="0" w:color="000000"/>
              <w:right w:val="single" w:sz="4" w:space="0" w:color="000000"/>
            </w:tcBorders>
            <w:shd w:val="clear" w:color="auto" w:fill="auto"/>
            <w:vAlign w:val="center"/>
            <w:hideMark/>
          </w:tcPr>
          <w:p w14:paraId="02B5F03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reduktimit të emetimeve të gazeve serrë nga perdorimi I biokarburanteve</w:t>
            </w:r>
          </w:p>
        </w:tc>
        <w:tc>
          <w:tcPr>
            <w:tcW w:w="418" w:type="pct"/>
            <w:tcBorders>
              <w:top w:val="nil"/>
              <w:left w:val="nil"/>
              <w:bottom w:val="single" w:sz="4" w:space="0" w:color="000000"/>
              <w:right w:val="single" w:sz="4" w:space="0" w:color="000000"/>
            </w:tcBorders>
            <w:shd w:val="clear" w:color="auto" w:fill="auto"/>
            <w:vAlign w:val="center"/>
            <w:hideMark/>
          </w:tcPr>
          <w:p w14:paraId="18CCCD9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3F8C7E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A196E1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3CA1304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Detyrimi i lindur nga zbatimi i  ligjit nr. 46/2025</w:t>
            </w:r>
            <w:r w:rsidRPr="00B6793F">
              <w:rPr>
                <w:rFonts w:ascii="Arial" w:eastAsia="Times New Roman" w:hAnsi="Arial" w:cs="Arial"/>
                <w:color w:val="000000"/>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0EC648C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kete  projektakt sunohet te rregulloeht, qëndrueshmëria dhe reduktimi i emetimeve të gazeve serrë për biokarburantet  Biokarburantet dhe lëndët djegëse, të rinovueshme për transport, të prodhuara nga mbetje të tjera nga mbetjet bujqësore, akuakulturore, nga peshkimi dhe nga mbetjet e pyjeve, duhet të</w:t>
            </w:r>
            <w:r w:rsidRPr="00B6793F">
              <w:rPr>
                <w:rFonts w:ascii="Arial" w:eastAsia="Times New Roman" w:hAnsi="Arial" w:cs="Arial"/>
                <w:color w:val="000000"/>
                <w:sz w:val="8"/>
                <w:szCs w:val="8"/>
                <w:lang w:eastAsia="sq-AL"/>
              </w:rPr>
              <w:br/>
              <w:t>përmbushin vetëm kriteret e reduktimit të emetimeve të gazeve serrë.</w:t>
            </w:r>
          </w:p>
        </w:tc>
        <w:tc>
          <w:tcPr>
            <w:tcW w:w="399" w:type="pct"/>
            <w:tcBorders>
              <w:top w:val="nil"/>
              <w:left w:val="nil"/>
              <w:bottom w:val="single" w:sz="4" w:space="0" w:color="000000"/>
              <w:right w:val="single" w:sz="4" w:space="0" w:color="000000"/>
            </w:tcBorders>
            <w:shd w:val="clear" w:color="auto" w:fill="auto"/>
            <w:vAlign w:val="center"/>
            <w:hideMark/>
          </w:tcPr>
          <w:p w14:paraId="67E1944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5401B61D"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60B4665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03C67EA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70F5BA3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7849A1A7"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71F70C4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78" w:type="pct"/>
            <w:tcBorders>
              <w:top w:val="nil"/>
              <w:left w:val="nil"/>
              <w:bottom w:val="single" w:sz="4" w:space="0" w:color="000000"/>
              <w:right w:val="single" w:sz="4" w:space="0" w:color="000000"/>
            </w:tcBorders>
            <w:shd w:val="clear" w:color="auto" w:fill="auto"/>
            <w:vAlign w:val="center"/>
            <w:hideMark/>
          </w:tcPr>
          <w:p w14:paraId="2D9E5157"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Per disa shtesa dhe ndryshime ne ligjin nr. 54/2024 Per komunikimet elektronike ne RSH</w:t>
            </w:r>
          </w:p>
        </w:tc>
        <w:tc>
          <w:tcPr>
            <w:tcW w:w="418" w:type="pct"/>
            <w:tcBorders>
              <w:top w:val="nil"/>
              <w:left w:val="nil"/>
              <w:bottom w:val="single" w:sz="4" w:space="0" w:color="000000"/>
              <w:right w:val="single" w:sz="4" w:space="0" w:color="000000"/>
            </w:tcBorders>
            <w:shd w:val="clear" w:color="auto" w:fill="auto"/>
            <w:vAlign w:val="center"/>
            <w:hideMark/>
          </w:tcPr>
          <w:p w14:paraId="2DA338C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69C59FF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5D962AE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64F9DDC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Harmonizimi me Rregulloren e BEREC me qellim mundesimin e zbatimit te RLAH mes BE dhe Shqiperise</w:t>
            </w:r>
          </w:p>
        </w:tc>
        <w:tc>
          <w:tcPr>
            <w:tcW w:w="522" w:type="pct"/>
            <w:tcBorders>
              <w:top w:val="nil"/>
              <w:left w:val="nil"/>
              <w:bottom w:val="single" w:sz="4" w:space="0" w:color="000000"/>
              <w:right w:val="single" w:sz="4" w:space="0" w:color="000000"/>
            </w:tcBorders>
            <w:shd w:val="clear" w:color="auto" w:fill="auto"/>
            <w:vAlign w:val="center"/>
            <w:hideMark/>
          </w:tcPr>
          <w:p w14:paraId="60BD012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Parashikimi i pjesemarrjes se AKEP ne funksiomin e BEREC dhe organet e BEREC, shkembimi i informacionit me BEREC si dhe nxjerrjes se akteve nenligjore te nevojshme per zbatimin e rregullimit te roamingut me BE -RLAH mes BE dhe Shqiperise</w:t>
            </w:r>
          </w:p>
        </w:tc>
        <w:tc>
          <w:tcPr>
            <w:tcW w:w="399" w:type="pct"/>
            <w:tcBorders>
              <w:top w:val="nil"/>
              <w:left w:val="nil"/>
              <w:bottom w:val="single" w:sz="4" w:space="0" w:color="000000"/>
              <w:right w:val="single" w:sz="4" w:space="0" w:color="000000"/>
            </w:tcBorders>
            <w:shd w:val="clear" w:color="auto" w:fill="auto"/>
            <w:vAlign w:val="center"/>
            <w:hideMark/>
          </w:tcPr>
          <w:p w14:paraId="4DE2901C"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07BF5293"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51CF810E"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2096E40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57B5E61C"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4736E6F2"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3BCB699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478" w:type="pct"/>
            <w:tcBorders>
              <w:top w:val="nil"/>
              <w:left w:val="nil"/>
              <w:bottom w:val="single" w:sz="4" w:space="0" w:color="000000"/>
              <w:right w:val="single" w:sz="4" w:space="0" w:color="000000"/>
            </w:tcBorders>
            <w:shd w:val="clear" w:color="auto" w:fill="auto"/>
            <w:vAlign w:val="center"/>
            <w:hideMark/>
          </w:tcPr>
          <w:p w14:paraId="059DE11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Tregun Digjital ne Republiken e Shqiperise"</w:t>
            </w:r>
          </w:p>
        </w:tc>
        <w:tc>
          <w:tcPr>
            <w:tcW w:w="418" w:type="pct"/>
            <w:tcBorders>
              <w:top w:val="nil"/>
              <w:left w:val="nil"/>
              <w:bottom w:val="single" w:sz="4" w:space="0" w:color="000000"/>
              <w:right w:val="single" w:sz="4" w:space="0" w:color="000000"/>
            </w:tcBorders>
            <w:shd w:val="clear" w:color="auto" w:fill="auto"/>
            <w:vAlign w:val="center"/>
            <w:hideMark/>
          </w:tcPr>
          <w:p w14:paraId="14D08A5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1F580FC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 dhe Ministri i Ekonomisë dhe Inovacionit</w:t>
            </w:r>
          </w:p>
        </w:tc>
        <w:tc>
          <w:tcPr>
            <w:tcW w:w="392" w:type="pct"/>
            <w:tcBorders>
              <w:top w:val="nil"/>
              <w:left w:val="nil"/>
              <w:bottom w:val="single" w:sz="4" w:space="0" w:color="000000"/>
              <w:right w:val="single" w:sz="4" w:space="0" w:color="000000"/>
            </w:tcBorders>
            <w:shd w:val="clear" w:color="auto" w:fill="auto"/>
            <w:vAlign w:val="center"/>
            <w:hideMark/>
          </w:tcPr>
          <w:p w14:paraId="1062663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29F9124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Harmonizimi i "Rregullores se tregjeve digjitale  (DMA)"te BE ne legjislacionin kombetar </w:t>
            </w:r>
          </w:p>
        </w:tc>
        <w:tc>
          <w:tcPr>
            <w:tcW w:w="522" w:type="pct"/>
            <w:tcBorders>
              <w:top w:val="nil"/>
              <w:left w:val="nil"/>
              <w:bottom w:val="single" w:sz="4" w:space="0" w:color="000000"/>
              <w:right w:val="single" w:sz="4" w:space="0" w:color="000000"/>
            </w:tcBorders>
            <w:shd w:val="clear" w:color="auto" w:fill="auto"/>
            <w:vAlign w:val="center"/>
            <w:hideMark/>
          </w:tcPr>
          <w:p w14:paraId="533FA2C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Te siguroje konkurrence te drejte dhe te hapur ne tregun digjital, duke kufizuar fuqine e platformave shume te medha online.</w:t>
            </w:r>
          </w:p>
        </w:tc>
        <w:tc>
          <w:tcPr>
            <w:tcW w:w="399" w:type="pct"/>
            <w:tcBorders>
              <w:top w:val="nil"/>
              <w:left w:val="nil"/>
              <w:bottom w:val="single" w:sz="4" w:space="0" w:color="000000"/>
              <w:right w:val="single" w:sz="4" w:space="0" w:color="000000"/>
            </w:tcBorders>
            <w:shd w:val="clear" w:color="auto" w:fill="auto"/>
            <w:vAlign w:val="center"/>
            <w:hideMark/>
          </w:tcPr>
          <w:p w14:paraId="4B55B7B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3274C8A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4541C5B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074A052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3DB44138"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685D8990"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2046B77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78" w:type="pct"/>
            <w:tcBorders>
              <w:top w:val="nil"/>
              <w:left w:val="nil"/>
              <w:bottom w:val="single" w:sz="4" w:space="0" w:color="000000"/>
              <w:right w:val="single" w:sz="4" w:space="0" w:color="000000"/>
            </w:tcBorders>
            <w:shd w:val="clear" w:color="auto" w:fill="auto"/>
            <w:vAlign w:val="center"/>
            <w:hideMark/>
          </w:tcPr>
          <w:p w14:paraId="53F8489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lirimin e Digital Divident 2"</w:t>
            </w:r>
          </w:p>
        </w:tc>
        <w:tc>
          <w:tcPr>
            <w:tcW w:w="418" w:type="pct"/>
            <w:tcBorders>
              <w:top w:val="nil"/>
              <w:left w:val="nil"/>
              <w:bottom w:val="single" w:sz="4" w:space="0" w:color="000000"/>
              <w:right w:val="single" w:sz="4" w:space="0" w:color="000000"/>
            </w:tcBorders>
            <w:shd w:val="clear" w:color="auto" w:fill="auto"/>
            <w:vAlign w:val="center"/>
            <w:hideMark/>
          </w:tcPr>
          <w:p w14:paraId="77066B5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4C513E0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 dhe Ministria e Financave</w:t>
            </w:r>
          </w:p>
        </w:tc>
        <w:tc>
          <w:tcPr>
            <w:tcW w:w="392" w:type="pct"/>
            <w:tcBorders>
              <w:top w:val="nil"/>
              <w:left w:val="nil"/>
              <w:bottom w:val="single" w:sz="4" w:space="0" w:color="000000"/>
              <w:right w:val="single" w:sz="4" w:space="0" w:color="000000"/>
            </w:tcBorders>
            <w:shd w:val="clear" w:color="auto" w:fill="auto"/>
            <w:vAlign w:val="center"/>
            <w:hideMark/>
          </w:tcPr>
          <w:p w14:paraId="63C46BD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0169781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UHF Decision, pjese e piketave permbyllese te Kapitullit 10</w:t>
            </w:r>
          </w:p>
        </w:tc>
        <w:tc>
          <w:tcPr>
            <w:tcW w:w="522" w:type="pct"/>
            <w:tcBorders>
              <w:top w:val="nil"/>
              <w:left w:val="nil"/>
              <w:bottom w:val="single" w:sz="4" w:space="0" w:color="000000"/>
              <w:right w:val="single" w:sz="4" w:space="0" w:color="000000"/>
            </w:tcBorders>
            <w:shd w:val="clear" w:color="auto" w:fill="auto"/>
            <w:vAlign w:val="center"/>
            <w:hideMark/>
          </w:tcPr>
          <w:p w14:paraId="4630B63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Mundesimin e realizimit te lirimit te frekuencave te brezit 700 MHz, DD2 dhene ne perdorim per sherbime televizive per rrjetet numerike</w:t>
            </w:r>
          </w:p>
        </w:tc>
        <w:tc>
          <w:tcPr>
            <w:tcW w:w="399" w:type="pct"/>
            <w:tcBorders>
              <w:top w:val="nil"/>
              <w:left w:val="nil"/>
              <w:bottom w:val="single" w:sz="4" w:space="0" w:color="000000"/>
              <w:right w:val="single" w:sz="4" w:space="0" w:color="000000"/>
            </w:tcBorders>
            <w:shd w:val="clear" w:color="auto" w:fill="auto"/>
            <w:vAlign w:val="center"/>
            <w:hideMark/>
          </w:tcPr>
          <w:p w14:paraId="55CA333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491CB4B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21" w:type="pct"/>
            <w:tcBorders>
              <w:top w:val="nil"/>
              <w:left w:val="nil"/>
              <w:bottom w:val="single" w:sz="4" w:space="0" w:color="000000"/>
              <w:right w:val="single" w:sz="4" w:space="0" w:color="000000"/>
            </w:tcBorders>
            <w:shd w:val="clear" w:color="auto" w:fill="auto"/>
            <w:vAlign w:val="center"/>
            <w:hideMark/>
          </w:tcPr>
          <w:p w14:paraId="6D4E304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6B9F763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VKM 436/2020; VKM 636/2020</w:t>
            </w:r>
          </w:p>
        </w:tc>
        <w:tc>
          <w:tcPr>
            <w:tcW w:w="372" w:type="pct"/>
            <w:tcBorders>
              <w:top w:val="nil"/>
              <w:left w:val="nil"/>
              <w:bottom w:val="single" w:sz="4" w:space="0" w:color="000000"/>
              <w:right w:val="single" w:sz="4" w:space="0" w:color="000000"/>
            </w:tcBorders>
            <w:shd w:val="clear" w:color="auto" w:fill="auto"/>
            <w:vAlign w:val="center"/>
            <w:hideMark/>
          </w:tcPr>
          <w:p w14:paraId="5F8765E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4FBF16B4"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773450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478" w:type="pct"/>
            <w:tcBorders>
              <w:top w:val="nil"/>
              <w:left w:val="nil"/>
              <w:bottom w:val="single" w:sz="4" w:space="0" w:color="000000"/>
              <w:right w:val="single" w:sz="4" w:space="0" w:color="000000"/>
            </w:tcBorders>
            <w:shd w:val="clear" w:color="auto" w:fill="auto"/>
            <w:vAlign w:val="center"/>
            <w:hideMark/>
          </w:tcPr>
          <w:p w14:paraId="4C2D31E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procedurat e rinovimit te te drejtave te perdorimit te dhena me konkurim</w:t>
            </w:r>
          </w:p>
        </w:tc>
        <w:tc>
          <w:tcPr>
            <w:tcW w:w="418" w:type="pct"/>
            <w:tcBorders>
              <w:top w:val="nil"/>
              <w:left w:val="nil"/>
              <w:bottom w:val="single" w:sz="4" w:space="0" w:color="000000"/>
              <w:right w:val="single" w:sz="4" w:space="0" w:color="000000"/>
            </w:tcBorders>
            <w:shd w:val="clear" w:color="auto" w:fill="auto"/>
            <w:vAlign w:val="center"/>
            <w:hideMark/>
          </w:tcPr>
          <w:p w14:paraId="7CE15D5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6CC793D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3F7ED3C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02" w:type="pct"/>
            <w:tcBorders>
              <w:top w:val="nil"/>
              <w:left w:val="nil"/>
              <w:bottom w:val="single" w:sz="4" w:space="0" w:color="000000"/>
              <w:right w:val="single" w:sz="4" w:space="0" w:color="000000"/>
            </w:tcBorders>
            <w:shd w:val="clear" w:color="auto" w:fill="auto"/>
            <w:vAlign w:val="center"/>
            <w:hideMark/>
          </w:tcPr>
          <w:p w14:paraId="7F904AB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Plotesim i kudrit nenligjor, ligji 54/2024 Per komunukimet elektronike ne RSH</w:t>
            </w:r>
          </w:p>
        </w:tc>
        <w:tc>
          <w:tcPr>
            <w:tcW w:w="522" w:type="pct"/>
            <w:tcBorders>
              <w:top w:val="nil"/>
              <w:left w:val="nil"/>
              <w:bottom w:val="single" w:sz="4" w:space="0" w:color="000000"/>
              <w:right w:val="single" w:sz="4" w:space="0" w:color="000000"/>
            </w:tcBorders>
            <w:shd w:val="clear" w:color="auto" w:fill="auto"/>
            <w:vAlign w:val="center"/>
            <w:hideMark/>
          </w:tcPr>
          <w:p w14:paraId="5D8E65B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w:t>
            </w:r>
          </w:p>
        </w:tc>
        <w:tc>
          <w:tcPr>
            <w:tcW w:w="399" w:type="pct"/>
            <w:tcBorders>
              <w:top w:val="nil"/>
              <w:left w:val="nil"/>
              <w:bottom w:val="single" w:sz="4" w:space="0" w:color="000000"/>
              <w:right w:val="single" w:sz="4" w:space="0" w:color="000000"/>
            </w:tcBorders>
            <w:shd w:val="clear" w:color="auto" w:fill="auto"/>
            <w:vAlign w:val="center"/>
            <w:hideMark/>
          </w:tcPr>
          <w:p w14:paraId="3AE1937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7AE348F1"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7C724A65"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479D06D7"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6E1C5393"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35695CF6"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70D6CB3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78" w:type="pct"/>
            <w:tcBorders>
              <w:top w:val="nil"/>
              <w:left w:val="nil"/>
              <w:bottom w:val="single" w:sz="4" w:space="0" w:color="000000"/>
              <w:right w:val="single" w:sz="4" w:space="0" w:color="000000"/>
            </w:tcBorders>
            <w:shd w:val="clear" w:color="auto" w:fill="auto"/>
            <w:vAlign w:val="center"/>
            <w:hideMark/>
          </w:tcPr>
          <w:p w14:paraId="7B3FA07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produktet e ndërtimit</w:t>
            </w:r>
          </w:p>
        </w:tc>
        <w:tc>
          <w:tcPr>
            <w:tcW w:w="418" w:type="pct"/>
            <w:tcBorders>
              <w:top w:val="nil"/>
              <w:left w:val="nil"/>
              <w:bottom w:val="single" w:sz="4" w:space="0" w:color="000000"/>
              <w:right w:val="single" w:sz="4" w:space="0" w:color="000000"/>
            </w:tcBorders>
            <w:shd w:val="clear" w:color="auto" w:fill="auto"/>
            <w:vAlign w:val="center"/>
            <w:hideMark/>
          </w:tcPr>
          <w:p w14:paraId="52FB4C1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0DA3195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4510430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02" w:type="pct"/>
            <w:tcBorders>
              <w:top w:val="nil"/>
              <w:left w:val="nil"/>
              <w:bottom w:val="single" w:sz="4" w:space="0" w:color="000000"/>
              <w:right w:val="single" w:sz="4" w:space="0" w:color="000000"/>
            </w:tcBorders>
            <w:shd w:val="clear" w:color="auto" w:fill="auto"/>
            <w:vAlign w:val="center"/>
            <w:hideMark/>
          </w:tcPr>
          <w:p w14:paraId="1BE71E6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Përafrimit i rregullores nr. 2024/3110/EU</w:t>
            </w:r>
          </w:p>
        </w:tc>
        <w:tc>
          <w:tcPr>
            <w:tcW w:w="522" w:type="pct"/>
            <w:tcBorders>
              <w:top w:val="nil"/>
              <w:left w:val="nil"/>
              <w:bottom w:val="single" w:sz="4" w:space="0" w:color="000000"/>
              <w:right w:val="single" w:sz="4" w:space="0" w:color="000000"/>
            </w:tcBorders>
            <w:shd w:val="clear" w:color="auto" w:fill="auto"/>
            <w:vAlign w:val="center"/>
            <w:hideMark/>
          </w:tcPr>
          <w:p w14:paraId="0C86599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synon lëvizjen e lirë të mallrave dhe heqjen e barrierave në tregti, funksionimin eficent të tregut, duke siguruar vendosjen dhe bërjen e disponueshme në treg të produkteve të ndërtimit të sigurta dhe të qëndrueshme. Gjithashtu synon të kontribuoje në objektivat e dixhitalizimit dhe të një ekonomie të gjelbër, duke parandaluar dhe zvogëluar ndikimin e produkteve të ndërtimit në mjedis, sigurinë dhe shëndetin e njerëzve. </w:t>
            </w:r>
          </w:p>
        </w:tc>
        <w:tc>
          <w:tcPr>
            <w:tcW w:w="399" w:type="pct"/>
            <w:tcBorders>
              <w:top w:val="nil"/>
              <w:left w:val="nil"/>
              <w:bottom w:val="single" w:sz="4" w:space="0" w:color="000000"/>
              <w:right w:val="single" w:sz="4" w:space="0" w:color="000000"/>
            </w:tcBorders>
            <w:shd w:val="clear" w:color="auto" w:fill="auto"/>
            <w:vAlign w:val="center"/>
            <w:hideMark/>
          </w:tcPr>
          <w:p w14:paraId="1927DF9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I</w:t>
            </w:r>
          </w:p>
        </w:tc>
        <w:tc>
          <w:tcPr>
            <w:tcW w:w="479" w:type="pct"/>
            <w:tcBorders>
              <w:top w:val="nil"/>
              <w:left w:val="nil"/>
              <w:bottom w:val="single" w:sz="4" w:space="0" w:color="000000"/>
              <w:right w:val="single" w:sz="4" w:space="0" w:color="000000"/>
            </w:tcBorders>
            <w:shd w:val="clear" w:color="auto" w:fill="auto"/>
            <w:vAlign w:val="center"/>
            <w:hideMark/>
          </w:tcPr>
          <w:p w14:paraId="29B915EC"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3C8ABA74"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311FC51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2AD7D73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65D064C7"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2620116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478" w:type="pct"/>
            <w:tcBorders>
              <w:top w:val="nil"/>
              <w:left w:val="nil"/>
              <w:bottom w:val="single" w:sz="4" w:space="0" w:color="000000"/>
              <w:right w:val="single" w:sz="4" w:space="0" w:color="000000"/>
            </w:tcBorders>
            <w:shd w:val="clear" w:color="auto" w:fill="auto"/>
            <w:vAlign w:val="center"/>
            <w:hideMark/>
          </w:tcPr>
          <w:p w14:paraId="374758B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miratimin e Aktit te Infrastruktures  Gigabit"</w:t>
            </w:r>
          </w:p>
        </w:tc>
        <w:tc>
          <w:tcPr>
            <w:tcW w:w="418" w:type="pct"/>
            <w:tcBorders>
              <w:top w:val="nil"/>
              <w:left w:val="nil"/>
              <w:bottom w:val="single" w:sz="4" w:space="0" w:color="000000"/>
              <w:right w:val="single" w:sz="4" w:space="0" w:color="000000"/>
            </w:tcBorders>
            <w:shd w:val="clear" w:color="auto" w:fill="auto"/>
            <w:vAlign w:val="center"/>
            <w:hideMark/>
          </w:tcPr>
          <w:p w14:paraId="4722E08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200BC36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E532625"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02" w:type="pct"/>
            <w:tcBorders>
              <w:top w:val="nil"/>
              <w:left w:val="nil"/>
              <w:bottom w:val="single" w:sz="4" w:space="0" w:color="000000"/>
              <w:right w:val="single" w:sz="4" w:space="0" w:color="000000"/>
            </w:tcBorders>
            <w:shd w:val="clear" w:color="auto" w:fill="auto"/>
            <w:vAlign w:val="center"/>
            <w:hideMark/>
          </w:tcPr>
          <w:p w14:paraId="56EB455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Harmonizim i rregullores se BE "Mbi masat per reduktimin  e kostove per shtrirjen e rrjeteve te komunikimit gigabit"/Akti Infrastruktures Digjitale, ne legjislacionin kombetar</w:t>
            </w:r>
          </w:p>
        </w:tc>
        <w:tc>
          <w:tcPr>
            <w:tcW w:w="522" w:type="pct"/>
            <w:tcBorders>
              <w:top w:val="nil"/>
              <w:left w:val="nil"/>
              <w:bottom w:val="single" w:sz="4" w:space="0" w:color="000000"/>
              <w:right w:val="single" w:sz="4" w:space="0" w:color="000000"/>
            </w:tcBorders>
            <w:shd w:val="clear" w:color="auto" w:fill="auto"/>
            <w:vAlign w:val="center"/>
            <w:hideMark/>
          </w:tcPr>
          <w:p w14:paraId="1ACFE3A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Pershpejtimin e ndertimit te rrjeteve te infrastruktures Gigabit,  VHCN duke ulur kostot e ndertimit, reduktuar burokracite dhe vonesat dhe lejet per ndertimin e rrjeteve dhe nxitur bashkeperdorimin e infrastrukturave te perbashketa</w:t>
            </w:r>
          </w:p>
        </w:tc>
        <w:tc>
          <w:tcPr>
            <w:tcW w:w="399" w:type="pct"/>
            <w:tcBorders>
              <w:top w:val="nil"/>
              <w:left w:val="nil"/>
              <w:bottom w:val="single" w:sz="4" w:space="0" w:color="000000"/>
              <w:right w:val="single" w:sz="4" w:space="0" w:color="000000"/>
            </w:tcBorders>
            <w:shd w:val="clear" w:color="auto" w:fill="auto"/>
            <w:vAlign w:val="center"/>
            <w:hideMark/>
          </w:tcPr>
          <w:p w14:paraId="345DA80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0804FCE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4265E468"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59F84B1D"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25666F81"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75DB93FA"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06B719F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78" w:type="pct"/>
            <w:tcBorders>
              <w:top w:val="nil"/>
              <w:left w:val="nil"/>
              <w:bottom w:val="single" w:sz="4" w:space="0" w:color="000000"/>
              <w:right w:val="single" w:sz="4" w:space="0" w:color="000000"/>
            </w:tcBorders>
            <w:shd w:val="clear" w:color="auto" w:fill="auto"/>
            <w:vAlign w:val="center"/>
            <w:hideMark/>
          </w:tcPr>
          <w:p w14:paraId="396C9D6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politiken  e zbatimit te RLAH</w:t>
            </w:r>
          </w:p>
        </w:tc>
        <w:tc>
          <w:tcPr>
            <w:tcW w:w="418" w:type="pct"/>
            <w:tcBorders>
              <w:top w:val="nil"/>
              <w:left w:val="nil"/>
              <w:bottom w:val="single" w:sz="4" w:space="0" w:color="000000"/>
              <w:right w:val="single" w:sz="4" w:space="0" w:color="000000"/>
            </w:tcBorders>
            <w:shd w:val="clear" w:color="auto" w:fill="auto"/>
            <w:vAlign w:val="center"/>
            <w:hideMark/>
          </w:tcPr>
          <w:p w14:paraId="16DF75D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15B8E23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0CB56C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02" w:type="pct"/>
            <w:tcBorders>
              <w:top w:val="nil"/>
              <w:left w:val="nil"/>
              <w:bottom w:val="single" w:sz="4" w:space="0" w:color="000000"/>
              <w:right w:val="single" w:sz="4" w:space="0" w:color="000000"/>
            </w:tcBorders>
            <w:shd w:val="clear" w:color="auto" w:fill="auto"/>
            <w:vAlign w:val="center"/>
            <w:hideMark/>
          </w:tcPr>
          <w:p w14:paraId="43CC373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Harmonizimin e Rregullores 2022/612/EU per roamingun RLAH ne BE</w:t>
            </w:r>
          </w:p>
        </w:tc>
        <w:tc>
          <w:tcPr>
            <w:tcW w:w="522" w:type="pct"/>
            <w:tcBorders>
              <w:top w:val="nil"/>
              <w:left w:val="nil"/>
              <w:bottom w:val="single" w:sz="4" w:space="0" w:color="000000"/>
              <w:right w:val="single" w:sz="4" w:space="0" w:color="000000"/>
            </w:tcBorders>
            <w:shd w:val="clear" w:color="auto" w:fill="auto"/>
            <w:vAlign w:val="center"/>
            <w:hideMark/>
          </w:tcPr>
          <w:p w14:paraId="0C6EA0E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E lidhur me zbatimin e RLAH me BE ne 2026</w:t>
            </w:r>
          </w:p>
        </w:tc>
        <w:tc>
          <w:tcPr>
            <w:tcW w:w="399" w:type="pct"/>
            <w:tcBorders>
              <w:top w:val="nil"/>
              <w:left w:val="nil"/>
              <w:bottom w:val="single" w:sz="4" w:space="0" w:color="000000"/>
              <w:right w:val="single" w:sz="4" w:space="0" w:color="000000"/>
            </w:tcBorders>
            <w:shd w:val="clear" w:color="auto" w:fill="auto"/>
            <w:vAlign w:val="center"/>
            <w:hideMark/>
          </w:tcPr>
          <w:p w14:paraId="0B20988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7C88A3F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2106758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0FD6694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2F9157A1"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049E12C9"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03C8CB8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478" w:type="pct"/>
            <w:tcBorders>
              <w:top w:val="nil"/>
              <w:left w:val="nil"/>
              <w:bottom w:val="single" w:sz="4" w:space="0" w:color="000000"/>
              <w:right w:val="single" w:sz="4" w:space="0" w:color="000000"/>
            </w:tcBorders>
            <w:shd w:val="clear" w:color="auto" w:fill="auto"/>
            <w:vAlign w:val="center"/>
            <w:hideMark/>
          </w:tcPr>
          <w:p w14:paraId="49345DC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krijimin, mbajtjen dhe menaxhimin e rezervave minimale të sigurisë të naftës bruto dhe nënprodukteve të saj.</w:t>
            </w:r>
          </w:p>
        </w:tc>
        <w:tc>
          <w:tcPr>
            <w:tcW w:w="418" w:type="pct"/>
            <w:tcBorders>
              <w:top w:val="nil"/>
              <w:left w:val="nil"/>
              <w:bottom w:val="single" w:sz="4" w:space="0" w:color="000000"/>
              <w:right w:val="single" w:sz="4" w:space="0" w:color="000000"/>
            </w:tcBorders>
            <w:shd w:val="clear" w:color="auto" w:fill="auto"/>
            <w:vAlign w:val="center"/>
            <w:hideMark/>
          </w:tcPr>
          <w:p w14:paraId="78FF229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6EDEDFA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7362F87"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02" w:type="pct"/>
            <w:tcBorders>
              <w:top w:val="nil"/>
              <w:left w:val="nil"/>
              <w:bottom w:val="single" w:sz="4" w:space="0" w:color="000000"/>
              <w:right w:val="single" w:sz="4" w:space="0" w:color="000000"/>
            </w:tcBorders>
            <w:shd w:val="clear" w:color="auto" w:fill="auto"/>
            <w:vAlign w:val="center"/>
            <w:hideMark/>
          </w:tcPr>
          <w:p w14:paraId="74CA3A9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Përafrimi me direktivën 2009/119/KE të Parlamentit Europian dhe të Këshillit, datë 14 shtator 2009, ”Mbi vendosjen e detyrimit tek Vendet Anetare për mbajtjen e rezerves minimale të sigurise për naftën dhe/ose nënproduktet e saj”, </w:t>
            </w:r>
          </w:p>
        </w:tc>
        <w:tc>
          <w:tcPr>
            <w:tcW w:w="522" w:type="pct"/>
            <w:tcBorders>
              <w:top w:val="nil"/>
              <w:left w:val="nil"/>
              <w:bottom w:val="single" w:sz="4" w:space="0" w:color="000000"/>
              <w:right w:val="single" w:sz="4" w:space="0" w:color="000000"/>
            </w:tcBorders>
            <w:shd w:val="clear" w:color="auto" w:fill="auto"/>
            <w:vAlign w:val="center"/>
            <w:hideMark/>
          </w:tcPr>
          <w:p w14:paraId="0D377A8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ligj siguron bazën për krijimin, mbajtjen dhe menaxhimin e rezervave të sigurisë së naftës dhe nënprodukteve te saj.  Ai  rregullon procedurat e nevojshme për përdorimin e rezervave të sigurisë në rast të reduktimit te papritur deri ne mungese te furnizimit të tregut me nënprodukte të naftës bruto.                                                                                                                                                        Shuma e përgjithshme e rezervave të sigurisë në Republikën e Shqipërisë duhet të jetë të paktën 90 ditë e sasive te importeve mesatare ditore neto ose të paktën 61 ditë të mesatares ditore të sasisë te konsumit të brendshëm, cilado nga dy sasitë është më e madhe. Rezervat e sigurisë krijohen gradualisht dhe në mënyrë proporcionale në baze të Planit të Veprimit</w:t>
            </w:r>
          </w:p>
        </w:tc>
        <w:tc>
          <w:tcPr>
            <w:tcW w:w="399" w:type="pct"/>
            <w:tcBorders>
              <w:top w:val="nil"/>
              <w:left w:val="nil"/>
              <w:bottom w:val="single" w:sz="4" w:space="0" w:color="000000"/>
              <w:right w:val="single" w:sz="4" w:space="0" w:color="000000"/>
            </w:tcBorders>
            <w:shd w:val="clear" w:color="auto" w:fill="auto"/>
            <w:vAlign w:val="center"/>
            <w:hideMark/>
          </w:tcPr>
          <w:p w14:paraId="2463FFE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2B5E2F78"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574FD88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Transpozimi i direktivës 2009/119/KE të Parlamentit Europian dhe të Këshillit, datë 14 shtator 2009, ”Mbi vendosjen e detyrimit tek Vendet Anetare për mbajtjen e rezerves minimale të sigurise për naftën dhe/ose nënproduktet e saj” në legjislacionin shqiptar për mbajtjen dhe menaxhimin e rezervës së sigurisë për naftën dhe nwnproduktet e saj eshte kërkese MSA-së materializuar kjo ne PKIE per sa lidhet me Kapitullin 15, krahas detyrimit qe vendi ynë ka si nënshkruese e Traktatit të Komunitetit të Energjisë</w:t>
            </w:r>
          </w:p>
        </w:tc>
        <w:tc>
          <w:tcPr>
            <w:tcW w:w="414" w:type="pct"/>
            <w:tcBorders>
              <w:top w:val="nil"/>
              <w:left w:val="nil"/>
              <w:bottom w:val="single" w:sz="4" w:space="0" w:color="000000"/>
              <w:right w:val="single" w:sz="4" w:space="0" w:color="000000"/>
            </w:tcBorders>
            <w:shd w:val="clear" w:color="auto" w:fill="auto"/>
            <w:vAlign w:val="center"/>
            <w:hideMark/>
          </w:tcPr>
          <w:p w14:paraId="2D33576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25AD4E3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461D8A71"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3F43601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478" w:type="pct"/>
            <w:tcBorders>
              <w:top w:val="nil"/>
              <w:left w:val="nil"/>
              <w:bottom w:val="single" w:sz="4" w:space="0" w:color="000000"/>
              <w:right w:val="single" w:sz="4" w:space="0" w:color="000000"/>
            </w:tcBorders>
            <w:shd w:val="clear" w:color="auto" w:fill="auto"/>
            <w:vAlign w:val="center"/>
            <w:hideMark/>
          </w:tcPr>
          <w:p w14:paraId="16CA3F9B"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Ndryshim i ligjit nr. 8450, datë 24.2.1999, “Për përpunimin, </w:t>
            </w:r>
            <w:r w:rsidRPr="00B6793F">
              <w:rPr>
                <w:rFonts w:ascii="Arial" w:eastAsia="Times New Roman" w:hAnsi="Arial" w:cs="Arial"/>
                <w:sz w:val="8"/>
                <w:szCs w:val="8"/>
                <w:lang w:eastAsia="sq-AL"/>
              </w:rPr>
              <w:lastRenderedPageBreak/>
              <w:t xml:space="preserve">transportimin dhe tregtimin e naftes, të gazit dhe nenprodukteve të tyre” </w:t>
            </w:r>
          </w:p>
        </w:tc>
        <w:tc>
          <w:tcPr>
            <w:tcW w:w="418" w:type="pct"/>
            <w:tcBorders>
              <w:top w:val="nil"/>
              <w:left w:val="nil"/>
              <w:bottom w:val="single" w:sz="4" w:space="0" w:color="000000"/>
              <w:right w:val="single" w:sz="4" w:space="0" w:color="000000"/>
            </w:tcBorders>
            <w:shd w:val="clear" w:color="auto" w:fill="auto"/>
            <w:vAlign w:val="center"/>
            <w:hideMark/>
          </w:tcPr>
          <w:p w14:paraId="67F6CA5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Projektligj</w:t>
            </w:r>
          </w:p>
        </w:tc>
        <w:tc>
          <w:tcPr>
            <w:tcW w:w="421" w:type="pct"/>
            <w:tcBorders>
              <w:top w:val="nil"/>
              <w:left w:val="nil"/>
              <w:bottom w:val="single" w:sz="4" w:space="0" w:color="000000"/>
              <w:right w:val="single" w:sz="4" w:space="0" w:color="000000"/>
            </w:tcBorders>
            <w:shd w:val="clear" w:color="auto" w:fill="auto"/>
            <w:vAlign w:val="center"/>
            <w:hideMark/>
          </w:tcPr>
          <w:p w14:paraId="01BD4BD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56124D1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1724661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 kuadër të angazhimeve mbi përputhshmërinë e legjislacionit </w:t>
            </w:r>
            <w:r w:rsidRPr="00B6793F">
              <w:rPr>
                <w:rFonts w:ascii="Arial" w:eastAsia="Times New Roman" w:hAnsi="Arial" w:cs="Arial"/>
                <w:color w:val="000000"/>
                <w:sz w:val="8"/>
                <w:szCs w:val="8"/>
                <w:lang w:eastAsia="sq-AL"/>
              </w:rPr>
              <w:lastRenderedPageBreak/>
              <w:t>shqiptar me nenet 34-36 të Traktatit të Funksionimit të Bashkimit Evropian (TFBE), nëpërmjet Planit të Veprimit për përputhshmërinë.</w:t>
            </w:r>
          </w:p>
        </w:tc>
        <w:tc>
          <w:tcPr>
            <w:tcW w:w="522" w:type="pct"/>
            <w:tcBorders>
              <w:top w:val="nil"/>
              <w:left w:val="nil"/>
              <w:bottom w:val="single" w:sz="4" w:space="0" w:color="000000"/>
              <w:right w:val="single" w:sz="4" w:space="0" w:color="000000"/>
            </w:tcBorders>
            <w:shd w:val="clear" w:color="auto" w:fill="auto"/>
            <w:vAlign w:val="center"/>
            <w:hideMark/>
          </w:tcPr>
          <w:p w14:paraId="6A6D5F1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 /</w:t>
            </w:r>
          </w:p>
        </w:tc>
        <w:tc>
          <w:tcPr>
            <w:tcW w:w="399" w:type="pct"/>
            <w:tcBorders>
              <w:top w:val="nil"/>
              <w:left w:val="nil"/>
              <w:bottom w:val="single" w:sz="4" w:space="0" w:color="000000"/>
              <w:right w:val="single" w:sz="4" w:space="0" w:color="000000"/>
            </w:tcBorders>
            <w:shd w:val="clear" w:color="auto" w:fill="auto"/>
            <w:vAlign w:val="center"/>
            <w:hideMark/>
          </w:tcPr>
          <w:p w14:paraId="00E4D96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66762B0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5E5D6BC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40FBC9F8"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167FF66E"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31088591"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7654D88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478" w:type="pct"/>
            <w:tcBorders>
              <w:top w:val="nil"/>
              <w:left w:val="nil"/>
              <w:bottom w:val="single" w:sz="4" w:space="0" w:color="000000"/>
              <w:right w:val="single" w:sz="4" w:space="0" w:color="000000"/>
            </w:tcBorders>
            <w:shd w:val="clear" w:color="auto" w:fill="auto"/>
            <w:vAlign w:val="center"/>
            <w:hideMark/>
          </w:tcPr>
          <w:p w14:paraId="3003BE3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metodologjinë e llogaritjes së detyrimit kombëtar vjetor të biokarburanteve, që do të përdoren në sektorin e transportit.</w:t>
            </w:r>
          </w:p>
        </w:tc>
        <w:tc>
          <w:tcPr>
            <w:tcW w:w="418" w:type="pct"/>
            <w:tcBorders>
              <w:top w:val="nil"/>
              <w:left w:val="nil"/>
              <w:bottom w:val="single" w:sz="4" w:space="0" w:color="000000"/>
              <w:right w:val="single" w:sz="4" w:space="0" w:color="000000"/>
            </w:tcBorders>
            <w:shd w:val="clear" w:color="auto" w:fill="auto"/>
            <w:vAlign w:val="center"/>
            <w:hideMark/>
          </w:tcPr>
          <w:p w14:paraId="1AA3F6C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1F3E104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2B021B5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0ADF223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Detyrimi i lindur nga zbatimi i  ligjit nr. 46/2025</w:t>
            </w:r>
            <w:r w:rsidRPr="00B6793F">
              <w:rPr>
                <w:rFonts w:ascii="Arial" w:eastAsia="Times New Roman" w:hAnsi="Arial" w:cs="Arial"/>
                <w:color w:val="000000"/>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2D302A0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kete projektakt synohet te percaktohet metodologjia e llogaritjes së detyrimit kombëtar vjetor të biokarburanteve, që do të përdoren në sektorin e transportit, standardet e auditimit, strukturat përgjegjëse që do të bëjnë verifikimin e plotësimit të kritereve të qëndrueshmërisë dhe reduktimit të emetimeve të gazeve serrë për biokarburantet, të parashikuara në nenin 6 të ligjit per biokarburantet.</w:t>
            </w:r>
          </w:p>
        </w:tc>
        <w:tc>
          <w:tcPr>
            <w:tcW w:w="399" w:type="pct"/>
            <w:tcBorders>
              <w:top w:val="nil"/>
              <w:left w:val="nil"/>
              <w:bottom w:val="single" w:sz="4" w:space="0" w:color="000000"/>
              <w:right w:val="single" w:sz="4" w:space="0" w:color="000000"/>
            </w:tcBorders>
            <w:shd w:val="clear" w:color="auto" w:fill="auto"/>
            <w:vAlign w:val="center"/>
            <w:hideMark/>
          </w:tcPr>
          <w:p w14:paraId="2BC992D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6F13B18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618D627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0806C5C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06DEEBC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27B9E22F"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2EF8D5B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478" w:type="pct"/>
            <w:tcBorders>
              <w:top w:val="nil"/>
              <w:left w:val="nil"/>
              <w:bottom w:val="single" w:sz="4" w:space="0" w:color="000000"/>
              <w:right w:val="single" w:sz="4" w:space="0" w:color="000000"/>
            </w:tcBorders>
            <w:shd w:val="clear" w:color="auto" w:fill="auto"/>
            <w:vAlign w:val="center"/>
            <w:hideMark/>
          </w:tcPr>
          <w:p w14:paraId="1B2B45E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licensimin per prodhimi dhe përzierje” , të biokarburanteve  duke përfshirë edhe procedurat për pezullimin dhe revokimin</w:t>
            </w:r>
          </w:p>
        </w:tc>
        <w:tc>
          <w:tcPr>
            <w:tcW w:w="418" w:type="pct"/>
            <w:tcBorders>
              <w:top w:val="nil"/>
              <w:left w:val="nil"/>
              <w:bottom w:val="single" w:sz="4" w:space="0" w:color="000000"/>
              <w:right w:val="single" w:sz="4" w:space="0" w:color="000000"/>
            </w:tcBorders>
            <w:shd w:val="clear" w:color="auto" w:fill="auto"/>
            <w:vAlign w:val="center"/>
            <w:hideMark/>
          </w:tcPr>
          <w:p w14:paraId="6625EE9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583EBC6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9CE489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79C43AF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Detyrimi i lindur nga zbatimi i  ligjit nr. 46/2025</w:t>
            </w:r>
            <w:r w:rsidRPr="00B6793F">
              <w:rPr>
                <w:rFonts w:ascii="Arial" w:eastAsia="Times New Roman" w:hAnsi="Arial" w:cs="Arial"/>
                <w:color w:val="000000"/>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7816519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ane te ketij projektakti synohet te rregullohet menyra e lcensimit te personat juridikë, të organizuar si njësi për prodhimin e biokarburanteve ose njësi për përzierjen e biokarburanteve, pajisen me “licencë prodhimi” ose “licencë për përzierje” në përputhje me kushtet e procedurat e përcaktuara me vendim të Këshillit të Ministrave, duke përfshirë edhe procedurat për pezullimin dhe revokimin e licensimit ne rast shkelje.</w:t>
            </w:r>
          </w:p>
        </w:tc>
        <w:tc>
          <w:tcPr>
            <w:tcW w:w="399" w:type="pct"/>
            <w:tcBorders>
              <w:top w:val="nil"/>
              <w:left w:val="nil"/>
              <w:bottom w:val="single" w:sz="4" w:space="0" w:color="000000"/>
              <w:right w:val="single" w:sz="4" w:space="0" w:color="000000"/>
            </w:tcBorders>
            <w:shd w:val="clear" w:color="auto" w:fill="auto"/>
            <w:vAlign w:val="center"/>
            <w:hideMark/>
          </w:tcPr>
          <w:p w14:paraId="0B46166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1AD65EF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2D04D7C8"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2DD6EF25"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29A12FF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2D1087F7"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2126FB8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478" w:type="pct"/>
            <w:tcBorders>
              <w:top w:val="nil"/>
              <w:left w:val="nil"/>
              <w:bottom w:val="single" w:sz="4" w:space="0" w:color="000000"/>
              <w:right w:val="single" w:sz="4" w:space="0" w:color="000000"/>
            </w:tcBorders>
            <w:shd w:val="clear" w:color="auto" w:fill="auto"/>
            <w:vAlign w:val="center"/>
            <w:hideMark/>
          </w:tcPr>
          <w:p w14:paraId="6F8CCE7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procedurave dhe të kushteve për dhënien e licencave për tregtimin të naftës, gazit, nënprodukteve përfshirë ato bio, si dhe lëndët djegëse, të rinovueshme.</w:t>
            </w:r>
          </w:p>
        </w:tc>
        <w:tc>
          <w:tcPr>
            <w:tcW w:w="418" w:type="pct"/>
            <w:tcBorders>
              <w:top w:val="nil"/>
              <w:left w:val="nil"/>
              <w:bottom w:val="single" w:sz="4" w:space="0" w:color="000000"/>
              <w:right w:val="single" w:sz="4" w:space="0" w:color="000000"/>
            </w:tcBorders>
            <w:shd w:val="clear" w:color="auto" w:fill="auto"/>
            <w:vAlign w:val="center"/>
            <w:hideMark/>
          </w:tcPr>
          <w:p w14:paraId="07DAD78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718AED0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79B4B62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24BC090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Detyrimi i lindur nga zbatimi i  ligjit nr. 46/2025</w:t>
            </w:r>
            <w:r w:rsidRPr="00B6793F">
              <w:rPr>
                <w:rFonts w:ascii="Arial" w:eastAsia="Times New Roman" w:hAnsi="Arial" w:cs="Arial"/>
                <w:color w:val="000000"/>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5CB205F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ane te ketij projektakti synohet te rregullohet menyra, e  licencimit të tregtimi me shumicë të naftës, gazit, nënprodukteve përfshirë ato bio, si dhe lëndët djegëse, me kodin VIII.1.A”, pajisen me “licencë për përzierje” për të ushtruar veprimtarinë e përzierjes së biokarburanteve dhe të lëndëve të tjera djegëse, të rinovueshme.</w:t>
            </w:r>
          </w:p>
        </w:tc>
        <w:tc>
          <w:tcPr>
            <w:tcW w:w="399" w:type="pct"/>
            <w:tcBorders>
              <w:top w:val="nil"/>
              <w:left w:val="nil"/>
              <w:bottom w:val="single" w:sz="4" w:space="0" w:color="000000"/>
              <w:right w:val="single" w:sz="4" w:space="0" w:color="000000"/>
            </w:tcBorders>
            <w:shd w:val="clear" w:color="auto" w:fill="auto"/>
            <w:vAlign w:val="center"/>
            <w:hideMark/>
          </w:tcPr>
          <w:p w14:paraId="349B9AB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508B2AFB"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05FCCA7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4DF0AEB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256BA11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12BC78D5"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E3CCB9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478" w:type="pct"/>
            <w:tcBorders>
              <w:top w:val="nil"/>
              <w:left w:val="nil"/>
              <w:bottom w:val="single" w:sz="4" w:space="0" w:color="000000"/>
              <w:right w:val="single" w:sz="4" w:space="0" w:color="000000"/>
            </w:tcBorders>
            <w:shd w:val="clear" w:color="auto" w:fill="auto"/>
            <w:vAlign w:val="center"/>
            <w:hideMark/>
          </w:tcPr>
          <w:p w14:paraId="2D5A8CC3"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respektimin e njësive të  prodhimit dhe të përzierjes së biokarburanteve dhe të lëndëve të tjera djegëse, të rinovueshme, për  markën e prodhimit dhe cilësinë e produkteve që prodhojnë ose përziejnë.</w:t>
            </w:r>
          </w:p>
        </w:tc>
        <w:tc>
          <w:tcPr>
            <w:tcW w:w="418" w:type="pct"/>
            <w:tcBorders>
              <w:top w:val="nil"/>
              <w:left w:val="nil"/>
              <w:bottom w:val="single" w:sz="4" w:space="0" w:color="000000"/>
              <w:right w:val="single" w:sz="4" w:space="0" w:color="000000"/>
            </w:tcBorders>
            <w:shd w:val="clear" w:color="auto" w:fill="auto"/>
            <w:vAlign w:val="center"/>
            <w:hideMark/>
          </w:tcPr>
          <w:p w14:paraId="05D6DDE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1F0B77D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1601C1F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5C7BA794"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Detyrimi i lindur nga zbatimi i  ligjit nr. 46/2025</w:t>
            </w:r>
            <w:r w:rsidRPr="00B6793F">
              <w:rPr>
                <w:rFonts w:ascii="Arial" w:eastAsia="Times New Roman" w:hAnsi="Arial" w:cs="Arial"/>
                <w:sz w:val="8"/>
                <w:szCs w:val="8"/>
                <w:lang w:eastAsia="sq-AL"/>
              </w:rPr>
              <w:br/>
              <w:t>Për prodhimin , transportimin, tregtimin dhe perdorimin e biokarburanteve dhe te lendeve te tjera djegse, te rinovushme per transport.</w:t>
            </w:r>
          </w:p>
        </w:tc>
        <w:tc>
          <w:tcPr>
            <w:tcW w:w="522" w:type="pct"/>
            <w:tcBorders>
              <w:top w:val="nil"/>
              <w:left w:val="nil"/>
              <w:bottom w:val="single" w:sz="4" w:space="0" w:color="000000"/>
              <w:right w:val="single" w:sz="4" w:space="0" w:color="000000"/>
            </w:tcBorders>
            <w:shd w:val="clear" w:color="auto" w:fill="auto"/>
            <w:vAlign w:val="center"/>
            <w:hideMark/>
          </w:tcPr>
          <w:p w14:paraId="0ED8BA1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ane te ketij projektakti synohet te rregullohet menyra, e  respektimint  të njësive të  prodhimit dhe të përzierjes së biokarburanteve dhe të lëndëve të tjera djegëse, të rinovueshme, për  markën e prodhimit dhe cilësinë e produkteve që prodhojnë ose përziejnë, ne perputhje me standartet ne fuqi.</w:t>
            </w:r>
          </w:p>
        </w:tc>
        <w:tc>
          <w:tcPr>
            <w:tcW w:w="399" w:type="pct"/>
            <w:tcBorders>
              <w:top w:val="nil"/>
              <w:left w:val="nil"/>
              <w:bottom w:val="single" w:sz="4" w:space="0" w:color="000000"/>
              <w:right w:val="single" w:sz="4" w:space="0" w:color="000000"/>
            </w:tcBorders>
            <w:shd w:val="clear" w:color="auto" w:fill="auto"/>
            <w:vAlign w:val="center"/>
            <w:hideMark/>
          </w:tcPr>
          <w:p w14:paraId="2B68290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55FB94A3"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2F8224E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4" w:type="pct"/>
            <w:tcBorders>
              <w:top w:val="nil"/>
              <w:left w:val="nil"/>
              <w:bottom w:val="single" w:sz="4" w:space="0" w:color="000000"/>
              <w:right w:val="single" w:sz="4" w:space="0" w:color="000000"/>
            </w:tcBorders>
            <w:shd w:val="clear" w:color="auto" w:fill="auto"/>
            <w:vAlign w:val="center"/>
            <w:hideMark/>
          </w:tcPr>
          <w:p w14:paraId="2ECE9D2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 nr. 480, datë 31.7.2018 “Për miratimin e strategjisë kombëtare të energjisë për periudhën 2018–2030”</w:t>
            </w:r>
          </w:p>
        </w:tc>
        <w:tc>
          <w:tcPr>
            <w:tcW w:w="372" w:type="pct"/>
            <w:tcBorders>
              <w:top w:val="nil"/>
              <w:left w:val="nil"/>
              <w:bottom w:val="single" w:sz="4" w:space="0" w:color="000000"/>
              <w:right w:val="single" w:sz="4" w:space="0" w:color="000000"/>
            </w:tcBorders>
            <w:shd w:val="clear" w:color="auto" w:fill="auto"/>
            <w:vAlign w:val="center"/>
            <w:hideMark/>
          </w:tcPr>
          <w:p w14:paraId="476F452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973AA3" w:rsidRPr="00B6793F" w14:paraId="3FAE4180"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6374356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478" w:type="pct"/>
            <w:tcBorders>
              <w:top w:val="nil"/>
              <w:left w:val="nil"/>
              <w:bottom w:val="single" w:sz="4" w:space="0" w:color="000000"/>
              <w:right w:val="single" w:sz="4" w:space="0" w:color="000000"/>
            </w:tcBorders>
            <w:shd w:val="clear" w:color="auto" w:fill="auto"/>
            <w:vAlign w:val="center"/>
            <w:hideMark/>
          </w:tcPr>
          <w:p w14:paraId="7C32A3AF"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Miratimin e procedurës dhe kritereve për emërimin e administratorit të përkohshëm, i cili do të jetë përgjegjës për administrimin e përkohshëm të shoqërisë ndaj së cilës është vendosur detyrimi i shërbimit publik, të cilës i është hequr licenca.</w:t>
            </w:r>
          </w:p>
        </w:tc>
        <w:tc>
          <w:tcPr>
            <w:tcW w:w="418" w:type="pct"/>
            <w:tcBorders>
              <w:top w:val="nil"/>
              <w:left w:val="nil"/>
              <w:bottom w:val="single" w:sz="4" w:space="0" w:color="000000"/>
              <w:right w:val="single" w:sz="4" w:space="0" w:color="000000"/>
            </w:tcBorders>
            <w:shd w:val="clear" w:color="auto" w:fill="auto"/>
            <w:vAlign w:val="center"/>
            <w:hideMark/>
          </w:tcPr>
          <w:p w14:paraId="3DBE71E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4E24722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noWrap/>
            <w:vAlign w:val="center"/>
            <w:hideMark/>
          </w:tcPr>
          <w:p w14:paraId="673CF83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290B6E5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respektim të detyrimeve të përcaktuara në ligjin 102/2015, datë 23.09.2016, “Për sektorin e gazit natyror”, të ndryshuar, ka të bëjë me praktikat në përcaktimin e procedurave dhe kritereve që duhet të ndiqen nga ERE dhe Ministria për emërimin e administratorit të përkohshëm, i cili do të jetë përgjegjës për administrimin e përkohshëm të shoqërisë së licencuar të gazit natyror, që ushtron veprimtarinë e transmetimit, shpërndarjes, operimit të GNL-së ose të operimit të sistemit të depozitimit, ndaj së cilës është vendosur detyrimi i shërbimit publik, të cilës i është hequr licenca, në mënyrë që të garantohet një furnizim i qëndrueshëm dhe i sigurtë me gaz natyror përsa ka të bëjë me kryerjen e detyrimit të shërbimit publik.</w:t>
            </w:r>
          </w:p>
        </w:tc>
        <w:tc>
          <w:tcPr>
            <w:tcW w:w="522" w:type="pct"/>
            <w:tcBorders>
              <w:top w:val="nil"/>
              <w:left w:val="nil"/>
              <w:bottom w:val="single" w:sz="4" w:space="0" w:color="000000"/>
              <w:right w:val="single" w:sz="4" w:space="0" w:color="000000"/>
            </w:tcBorders>
            <w:shd w:val="clear" w:color="auto" w:fill="auto"/>
            <w:vAlign w:val="center"/>
            <w:hideMark/>
          </w:tcPr>
          <w:p w14:paraId="3693B11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projektvendimit të Këshillit të Ministrave “Për miratimin e procedurës dhe kritereve për emërimin e administratorit të përkohshëm, i cili do të jetë përgjegjës për administrimin e përkohshëm të shoqërisë ndaj së cilës është vendosur detyrimi i shërbimit publik, të cilës i është hequr licenca”, garanton vazhdimin e aktivitetit bazë nga ana e shoqërisë që është ngarkuar me detyrimin e shërbimit publik duke bërë të mundur vazhdimin e furnizimit të klientëve me gaz natyror edhe në kushtet kur kësaj shoqërie i është hequr licenca nga ana e ERE dhe ajo është vendosur në administrim nga një administrator i përkohshëm i emëruar nga ERE</w:t>
            </w:r>
          </w:p>
        </w:tc>
        <w:tc>
          <w:tcPr>
            <w:tcW w:w="399" w:type="pct"/>
            <w:tcBorders>
              <w:top w:val="nil"/>
              <w:left w:val="nil"/>
              <w:bottom w:val="single" w:sz="4" w:space="0" w:color="000000"/>
              <w:right w:val="single" w:sz="4" w:space="0" w:color="000000"/>
            </w:tcBorders>
            <w:shd w:val="clear" w:color="auto" w:fill="auto"/>
            <w:vAlign w:val="center"/>
            <w:hideMark/>
          </w:tcPr>
          <w:p w14:paraId="5AFE1B9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617483CF"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 akt eshte pjese integrale e zhvillimit te sektorit te gazit natyror</w:t>
            </w:r>
          </w:p>
        </w:tc>
        <w:tc>
          <w:tcPr>
            <w:tcW w:w="421" w:type="pct"/>
            <w:tcBorders>
              <w:top w:val="nil"/>
              <w:left w:val="nil"/>
              <w:bottom w:val="single" w:sz="4" w:space="0" w:color="000000"/>
              <w:right w:val="single" w:sz="4" w:space="0" w:color="000000"/>
            </w:tcBorders>
            <w:shd w:val="clear" w:color="auto" w:fill="auto"/>
            <w:vAlign w:val="center"/>
            <w:hideMark/>
          </w:tcPr>
          <w:p w14:paraId="4DF178E3"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Pjeserisht, pasi tregu shqiptar I gazit natyror eshte ende ne hapat e tij te pare</w:t>
            </w:r>
          </w:p>
        </w:tc>
        <w:tc>
          <w:tcPr>
            <w:tcW w:w="414" w:type="pct"/>
            <w:tcBorders>
              <w:top w:val="nil"/>
              <w:left w:val="nil"/>
              <w:bottom w:val="single" w:sz="4" w:space="0" w:color="000000"/>
              <w:right w:val="single" w:sz="4" w:space="0" w:color="000000"/>
            </w:tcBorders>
            <w:shd w:val="clear" w:color="auto" w:fill="auto"/>
            <w:vAlign w:val="center"/>
            <w:hideMark/>
          </w:tcPr>
          <w:p w14:paraId="43B76A64"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Vendimin Nr. 480, datë 31.07.2018, “Për miratimin e Strategjisë Kombëtare të Energjisë për periudhën 2018-2030 si dhe  Master Planin e Gazit Natyror të miratur me VKM nr. 87.02.2018 “Për miratimin e planit të zhvillimit të sektorit të gazit natyror në Shqipëri.</w:t>
            </w:r>
            <w:r w:rsidRPr="00B6793F">
              <w:rPr>
                <w:rFonts w:ascii="Arial" w:eastAsia="Times New Roman" w:hAnsi="Arial" w:cs="Arial"/>
                <w:sz w:val="8"/>
                <w:szCs w:val="8"/>
                <w:lang w:eastAsia="sq-AL"/>
              </w:rPr>
              <w:br/>
              <w:t>identifikimin e projekteve prioritare” ndryshuar me VKM Nr. 563, datë 4.10.2023, “Për disa shtesa dhe ndryshime në Vendimin nr. 87, datë 14.2.2018, të Këshillit të Ministrave, “Për miratimin e planit të zhvillimit të sektorit të gazit natyror në Shqipëri dhe identifikimin e projekteve prioritare”,</w:t>
            </w:r>
          </w:p>
        </w:tc>
        <w:tc>
          <w:tcPr>
            <w:tcW w:w="372" w:type="pct"/>
            <w:tcBorders>
              <w:top w:val="nil"/>
              <w:left w:val="nil"/>
              <w:bottom w:val="single" w:sz="4" w:space="0" w:color="000000"/>
              <w:right w:val="single" w:sz="4" w:space="0" w:color="000000"/>
            </w:tcBorders>
            <w:shd w:val="clear" w:color="auto" w:fill="auto"/>
            <w:vAlign w:val="center"/>
            <w:hideMark/>
          </w:tcPr>
          <w:p w14:paraId="6E79549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0F9A6217"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1B13AB09"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478" w:type="pct"/>
            <w:tcBorders>
              <w:top w:val="nil"/>
              <w:left w:val="nil"/>
              <w:bottom w:val="single" w:sz="4" w:space="0" w:color="000000"/>
              <w:right w:val="single" w:sz="4" w:space="0" w:color="000000"/>
            </w:tcBorders>
            <w:shd w:val="clear" w:color="auto" w:fill="auto"/>
            <w:vAlign w:val="center"/>
            <w:hideMark/>
          </w:tcPr>
          <w:p w14:paraId="5C95427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Ndryshimi i VKM nr. 1062, datë 23.12.2015 “Për miratimin e rregullit teknik ‘Për pajisjet dhe instalimet nën presion’ dhe përcaktimin e listës së standardeve të harmonizuara” .</w:t>
            </w:r>
          </w:p>
        </w:tc>
        <w:tc>
          <w:tcPr>
            <w:tcW w:w="418" w:type="pct"/>
            <w:tcBorders>
              <w:top w:val="nil"/>
              <w:left w:val="nil"/>
              <w:bottom w:val="single" w:sz="4" w:space="0" w:color="000000"/>
              <w:right w:val="single" w:sz="4" w:space="0" w:color="000000"/>
            </w:tcBorders>
            <w:shd w:val="clear" w:color="auto" w:fill="auto"/>
            <w:vAlign w:val="center"/>
            <w:hideMark/>
          </w:tcPr>
          <w:p w14:paraId="652308D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C183DB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19043BC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5275C77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Përafrimit i direktivës nr. 2014/68/EU</w:t>
            </w:r>
          </w:p>
        </w:tc>
        <w:tc>
          <w:tcPr>
            <w:tcW w:w="522" w:type="pct"/>
            <w:tcBorders>
              <w:top w:val="nil"/>
              <w:left w:val="nil"/>
              <w:bottom w:val="single" w:sz="4" w:space="0" w:color="000000"/>
              <w:right w:val="single" w:sz="4" w:space="0" w:color="000000"/>
            </w:tcBorders>
            <w:shd w:val="clear" w:color="auto" w:fill="auto"/>
            <w:vAlign w:val="center"/>
            <w:hideMark/>
          </w:tcPr>
          <w:p w14:paraId="0B70E97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399" w:type="pct"/>
            <w:tcBorders>
              <w:top w:val="nil"/>
              <w:left w:val="nil"/>
              <w:bottom w:val="single" w:sz="4" w:space="0" w:color="000000"/>
              <w:right w:val="single" w:sz="4" w:space="0" w:color="000000"/>
            </w:tcBorders>
            <w:shd w:val="clear" w:color="auto" w:fill="auto"/>
            <w:vAlign w:val="center"/>
            <w:hideMark/>
          </w:tcPr>
          <w:p w14:paraId="05B9ECB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I</w:t>
            </w:r>
          </w:p>
        </w:tc>
        <w:tc>
          <w:tcPr>
            <w:tcW w:w="479" w:type="pct"/>
            <w:tcBorders>
              <w:top w:val="nil"/>
              <w:left w:val="nil"/>
              <w:bottom w:val="single" w:sz="4" w:space="0" w:color="000000"/>
              <w:right w:val="single" w:sz="4" w:space="0" w:color="000000"/>
            </w:tcBorders>
            <w:shd w:val="clear" w:color="auto" w:fill="auto"/>
            <w:vAlign w:val="center"/>
            <w:hideMark/>
          </w:tcPr>
          <w:p w14:paraId="48BA60C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311F6C4A"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1D8A1CFD"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5686E209"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25ACDB57"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30B1D8A2"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23</w:t>
            </w:r>
          </w:p>
        </w:tc>
        <w:tc>
          <w:tcPr>
            <w:tcW w:w="478" w:type="pct"/>
            <w:tcBorders>
              <w:top w:val="nil"/>
              <w:left w:val="nil"/>
              <w:bottom w:val="single" w:sz="4" w:space="0" w:color="000000"/>
              <w:right w:val="single" w:sz="4" w:space="0" w:color="000000"/>
            </w:tcBorders>
            <w:shd w:val="clear" w:color="auto" w:fill="auto"/>
            <w:vAlign w:val="center"/>
            <w:hideMark/>
          </w:tcPr>
          <w:p w14:paraId="31D0953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Sherbimet Digjitale ne Republiken e Shqiperise"</w:t>
            </w:r>
          </w:p>
        </w:tc>
        <w:tc>
          <w:tcPr>
            <w:tcW w:w="418" w:type="pct"/>
            <w:tcBorders>
              <w:top w:val="nil"/>
              <w:left w:val="nil"/>
              <w:bottom w:val="single" w:sz="4" w:space="0" w:color="000000"/>
              <w:right w:val="single" w:sz="4" w:space="0" w:color="000000"/>
            </w:tcBorders>
            <w:shd w:val="clear" w:color="auto" w:fill="auto"/>
            <w:vAlign w:val="center"/>
            <w:hideMark/>
          </w:tcPr>
          <w:p w14:paraId="29FA55E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auto" w:fill="auto"/>
            <w:vAlign w:val="center"/>
            <w:hideMark/>
          </w:tcPr>
          <w:p w14:paraId="03BF15E1"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noWrap/>
            <w:vAlign w:val="center"/>
            <w:hideMark/>
          </w:tcPr>
          <w:p w14:paraId="54B715B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0EC97B3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Harmonizimi i “Rregullores së Shërbimeve Digjitale të BE-së (EU Digital Services Act)” në legjislacionin kombëtar të Shqipërisë, ne legjislacionin kombetar</w:t>
            </w:r>
          </w:p>
        </w:tc>
        <w:tc>
          <w:tcPr>
            <w:tcW w:w="522" w:type="pct"/>
            <w:tcBorders>
              <w:top w:val="nil"/>
              <w:left w:val="nil"/>
              <w:bottom w:val="single" w:sz="4" w:space="0" w:color="000000"/>
              <w:right w:val="single" w:sz="4" w:space="0" w:color="000000"/>
            </w:tcBorders>
            <w:shd w:val="clear" w:color="auto" w:fill="auto"/>
            <w:vAlign w:val="center"/>
            <w:hideMark/>
          </w:tcPr>
          <w:p w14:paraId="6289472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Vendosja e rregullave të harmonizuara për një mjedis online të sigurt, të parashikueshëm dhe të besuar që lehtëson inovacionin dhe në të cilin mbrohen në mënyrë efektive të drejtat themelore të parashikuara në Kartë, përfshirë parimin e mbrojtjes së konsumatorit.</w:t>
            </w:r>
          </w:p>
        </w:tc>
        <w:tc>
          <w:tcPr>
            <w:tcW w:w="399" w:type="pct"/>
            <w:tcBorders>
              <w:top w:val="nil"/>
              <w:left w:val="nil"/>
              <w:bottom w:val="single" w:sz="4" w:space="0" w:color="000000"/>
              <w:right w:val="single" w:sz="4" w:space="0" w:color="000000"/>
            </w:tcBorders>
            <w:shd w:val="clear" w:color="auto" w:fill="auto"/>
            <w:vAlign w:val="center"/>
            <w:hideMark/>
          </w:tcPr>
          <w:p w14:paraId="477C3A6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03DA4077"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66E7D90A"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677E3D3B"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70FFF026"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4C14F3FC"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7367640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w:t>
            </w:r>
          </w:p>
        </w:tc>
        <w:tc>
          <w:tcPr>
            <w:tcW w:w="478" w:type="pct"/>
            <w:tcBorders>
              <w:top w:val="nil"/>
              <w:left w:val="nil"/>
              <w:bottom w:val="single" w:sz="4" w:space="0" w:color="000000"/>
              <w:right w:val="single" w:sz="4" w:space="0" w:color="000000"/>
            </w:tcBorders>
            <w:shd w:val="clear" w:color="000000" w:fill="FFFFFF"/>
            <w:vAlign w:val="center"/>
            <w:hideMark/>
          </w:tcPr>
          <w:p w14:paraId="607669E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ndalimin e bllokimit gjeografik dhe formave te tjera te diskriminimit ne tregtine elektronike ne Republiken e Shqiperise"</w:t>
            </w:r>
          </w:p>
        </w:tc>
        <w:tc>
          <w:tcPr>
            <w:tcW w:w="418" w:type="pct"/>
            <w:tcBorders>
              <w:top w:val="nil"/>
              <w:left w:val="nil"/>
              <w:bottom w:val="single" w:sz="4" w:space="0" w:color="000000"/>
              <w:right w:val="single" w:sz="4" w:space="0" w:color="000000"/>
            </w:tcBorders>
            <w:shd w:val="clear" w:color="000000" w:fill="FFFFFF"/>
            <w:vAlign w:val="center"/>
            <w:hideMark/>
          </w:tcPr>
          <w:p w14:paraId="39CA278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21" w:type="pct"/>
            <w:tcBorders>
              <w:top w:val="nil"/>
              <w:left w:val="nil"/>
              <w:bottom w:val="single" w:sz="4" w:space="0" w:color="000000"/>
              <w:right w:val="single" w:sz="4" w:space="0" w:color="000000"/>
            </w:tcBorders>
            <w:shd w:val="clear" w:color="000000" w:fill="FFFFFF"/>
            <w:vAlign w:val="center"/>
            <w:hideMark/>
          </w:tcPr>
          <w:p w14:paraId="1B5B20A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 dhe Ministri i Ekonomisë dhe Inovacionit</w:t>
            </w:r>
          </w:p>
        </w:tc>
        <w:tc>
          <w:tcPr>
            <w:tcW w:w="392" w:type="pct"/>
            <w:tcBorders>
              <w:top w:val="nil"/>
              <w:left w:val="nil"/>
              <w:bottom w:val="single" w:sz="4" w:space="0" w:color="000000"/>
              <w:right w:val="single" w:sz="4" w:space="0" w:color="000000"/>
            </w:tcBorders>
            <w:shd w:val="clear" w:color="000000" w:fill="FFFFFF"/>
            <w:noWrap/>
            <w:vAlign w:val="center"/>
            <w:hideMark/>
          </w:tcPr>
          <w:p w14:paraId="11FFE8B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000000" w:fill="FFFFFF"/>
            <w:vAlign w:val="center"/>
            <w:hideMark/>
          </w:tcPr>
          <w:p w14:paraId="218F12EA"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Harmonizimi  i "Rregullores se BE mbi adresimin e bllokimit gjeografik dhe formave te tjera te diskriminimit bazuar ne kombesine e klienteve, vendbanimin brenda tregut te </w:t>
            </w:r>
            <w:r w:rsidRPr="00B6793F">
              <w:rPr>
                <w:rFonts w:ascii="Arial" w:eastAsia="Times New Roman" w:hAnsi="Arial" w:cs="Arial"/>
                <w:sz w:val="8"/>
                <w:szCs w:val="8"/>
                <w:lang w:eastAsia="sq-AL"/>
              </w:rPr>
              <w:lastRenderedPageBreak/>
              <w:t>brendshem", ne legjislacionin kombetar</w:t>
            </w:r>
          </w:p>
        </w:tc>
        <w:tc>
          <w:tcPr>
            <w:tcW w:w="522" w:type="pct"/>
            <w:tcBorders>
              <w:top w:val="nil"/>
              <w:left w:val="nil"/>
              <w:bottom w:val="single" w:sz="4" w:space="0" w:color="000000"/>
              <w:right w:val="single" w:sz="4" w:space="0" w:color="000000"/>
            </w:tcBorders>
            <w:shd w:val="clear" w:color="000000" w:fill="FFFFFF"/>
            <w:vAlign w:val="center"/>
            <w:hideMark/>
          </w:tcPr>
          <w:p w14:paraId="08D5667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Ndalimi I praktikave qe pengojne konsumatoret nga shtete te tjera te kene qasje ose te blejne produkte/sherbime online ne kushte te barabarta.</w:t>
            </w:r>
          </w:p>
        </w:tc>
        <w:tc>
          <w:tcPr>
            <w:tcW w:w="399" w:type="pct"/>
            <w:tcBorders>
              <w:top w:val="nil"/>
              <w:left w:val="nil"/>
              <w:bottom w:val="single" w:sz="4" w:space="0" w:color="000000"/>
              <w:right w:val="single" w:sz="4" w:space="0" w:color="000000"/>
            </w:tcBorders>
            <w:shd w:val="clear" w:color="000000" w:fill="FFFFFF"/>
            <w:vAlign w:val="center"/>
            <w:hideMark/>
          </w:tcPr>
          <w:p w14:paraId="7DC8935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10</w:t>
            </w:r>
          </w:p>
        </w:tc>
        <w:tc>
          <w:tcPr>
            <w:tcW w:w="479" w:type="pct"/>
            <w:tcBorders>
              <w:top w:val="nil"/>
              <w:left w:val="nil"/>
              <w:bottom w:val="single" w:sz="4" w:space="0" w:color="000000"/>
              <w:right w:val="single" w:sz="4" w:space="0" w:color="000000"/>
            </w:tcBorders>
            <w:shd w:val="clear" w:color="auto" w:fill="auto"/>
            <w:vAlign w:val="center"/>
            <w:hideMark/>
          </w:tcPr>
          <w:p w14:paraId="12C9154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4740E4FB"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1F9D5BE2"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72DAB9C0"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973AA3" w:rsidRPr="00B6793F" w14:paraId="08D29B34"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5AE0E07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25</w:t>
            </w:r>
          </w:p>
        </w:tc>
        <w:tc>
          <w:tcPr>
            <w:tcW w:w="478" w:type="pct"/>
            <w:tcBorders>
              <w:top w:val="nil"/>
              <w:left w:val="nil"/>
              <w:bottom w:val="single" w:sz="4" w:space="0" w:color="000000"/>
              <w:right w:val="single" w:sz="4" w:space="0" w:color="000000"/>
            </w:tcBorders>
            <w:shd w:val="clear" w:color="auto" w:fill="auto"/>
            <w:vAlign w:val="center"/>
            <w:hideMark/>
          </w:tcPr>
          <w:p w14:paraId="0011025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percaktimin e rregullave dhe kushteve për ushtrimin e profesionit të operatorit të transportit rrugor</w:t>
            </w:r>
          </w:p>
        </w:tc>
        <w:tc>
          <w:tcPr>
            <w:tcW w:w="418" w:type="pct"/>
            <w:tcBorders>
              <w:top w:val="nil"/>
              <w:left w:val="nil"/>
              <w:bottom w:val="single" w:sz="4" w:space="0" w:color="000000"/>
              <w:right w:val="single" w:sz="4" w:space="0" w:color="000000"/>
            </w:tcBorders>
            <w:shd w:val="clear" w:color="auto" w:fill="auto"/>
            <w:vAlign w:val="center"/>
            <w:hideMark/>
          </w:tcPr>
          <w:p w14:paraId="2794734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517BEF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noWrap/>
            <w:vAlign w:val="center"/>
            <w:hideMark/>
          </w:tcPr>
          <w:p w14:paraId="7B06E6F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52D7A9F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Pozicionin e Komisionit Evropian për Kapitullin 14 të politikave të transportit është nënvizuar nevoja e linjësimit të rregullore nr. 1071/2009, ku përcakton qartë kushtet për pranimin dhe ushtrimin e profesionit të operatorit të transportit rrugor, duke përfshirë edhe përjashtimet për ndërmarrjet që kryejnë transport kombëtar me mjete të lehta, me shpejtësi të ulët apo për qëllime jo-komerciale.</w:t>
            </w:r>
          </w:p>
        </w:tc>
        <w:tc>
          <w:tcPr>
            <w:tcW w:w="522" w:type="pct"/>
            <w:tcBorders>
              <w:top w:val="nil"/>
              <w:left w:val="nil"/>
              <w:bottom w:val="single" w:sz="4" w:space="0" w:color="000000"/>
              <w:right w:val="single" w:sz="4" w:space="0" w:color="000000"/>
            </w:tcBorders>
            <w:shd w:val="clear" w:color="auto" w:fill="auto"/>
            <w:vAlign w:val="center"/>
            <w:hideMark/>
          </w:tcPr>
          <w:p w14:paraId="36A105F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do te synoje te perafroje plotesisht rregullore nr. 1071/2009, (versioni I konsoliduar),  ku përcaktohen qartë kushtet për pranimin dhe ushtrimin e profesionit të operatorit të transportit rrugor.  </w:t>
            </w:r>
          </w:p>
        </w:tc>
        <w:tc>
          <w:tcPr>
            <w:tcW w:w="399" w:type="pct"/>
            <w:tcBorders>
              <w:top w:val="nil"/>
              <w:left w:val="nil"/>
              <w:bottom w:val="single" w:sz="4" w:space="0" w:color="000000"/>
              <w:right w:val="single" w:sz="4" w:space="0" w:color="000000"/>
            </w:tcBorders>
            <w:shd w:val="clear" w:color="auto" w:fill="auto"/>
            <w:vAlign w:val="center"/>
            <w:hideMark/>
          </w:tcPr>
          <w:p w14:paraId="5A6F5B6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7D135E5A"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 pika 1.1, pika c, paragrafi 1</w:t>
            </w:r>
          </w:p>
        </w:tc>
        <w:tc>
          <w:tcPr>
            <w:tcW w:w="421" w:type="pct"/>
            <w:tcBorders>
              <w:top w:val="nil"/>
              <w:left w:val="nil"/>
              <w:bottom w:val="single" w:sz="4" w:space="0" w:color="000000"/>
              <w:right w:val="single" w:sz="4" w:space="0" w:color="000000"/>
            </w:tcBorders>
            <w:shd w:val="clear" w:color="auto" w:fill="auto"/>
            <w:vAlign w:val="center"/>
            <w:hideMark/>
          </w:tcPr>
          <w:p w14:paraId="6B17A94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i Politikave te Transportit dhe rekomandimi i pogres raporteve</w:t>
            </w:r>
          </w:p>
        </w:tc>
        <w:tc>
          <w:tcPr>
            <w:tcW w:w="414" w:type="pct"/>
            <w:tcBorders>
              <w:top w:val="nil"/>
              <w:left w:val="nil"/>
              <w:bottom w:val="single" w:sz="4" w:space="0" w:color="000000"/>
              <w:right w:val="single" w:sz="4" w:space="0" w:color="000000"/>
            </w:tcBorders>
            <w:shd w:val="clear" w:color="auto" w:fill="auto"/>
            <w:vAlign w:val="center"/>
            <w:hideMark/>
          </w:tcPr>
          <w:p w14:paraId="05C5783D"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03A26A3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06D54CDF"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1298C2B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26</w:t>
            </w:r>
          </w:p>
        </w:tc>
        <w:tc>
          <w:tcPr>
            <w:tcW w:w="478" w:type="pct"/>
            <w:tcBorders>
              <w:top w:val="nil"/>
              <w:left w:val="nil"/>
              <w:bottom w:val="single" w:sz="4" w:space="0" w:color="000000"/>
              <w:right w:val="single" w:sz="4" w:space="0" w:color="000000"/>
            </w:tcBorders>
            <w:shd w:val="clear" w:color="auto" w:fill="auto"/>
            <w:vAlign w:val="center"/>
            <w:hideMark/>
          </w:tcPr>
          <w:p w14:paraId="0973333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standardizimin e rregullave sociale dhe të kohës së punës për personat që kryejnë transport rrugor”</w:t>
            </w:r>
          </w:p>
        </w:tc>
        <w:tc>
          <w:tcPr>
            <w:tcW w:w="418" w:type="pct"/>
            <w:tcBorders>
              <w:top w:val="nil"/>
              <w:left w:val="nil"/>
              <w:bottom w:val="single" w:sz="4" w:space="0" w:color="000000"/>
              <w:right w:val="single" w:sz="4" w:space="0" w:color="000000"/>
            </w:tcBorders>
            <w:shd w:val="clear" w:color="auto" w:fill="auto"/>
            <w:vAlign w:val="center"/>
            <w:hideMark/>
          </w:tcPr>
          <w:p w14:paraId="237F7535"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6BC031A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noWrap/>
            <w:vAlign w:val="center"/>
            <w:hideMark/>
          </w:tcPr>
          <w:p w14:paraId="473D540B"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16CE006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Pozicionin e Komisionit Evropian për Kapitullin 14 të politikave të transportit është nënvizuar nevoja e linjësimit të Rregullores (KE) nr. 561/2006 me legjislacionin kombëtar. Projekt–VKM-ja propozohet për të standardizuar rregullat sociale dhe të kohës së punës për personat që kryejnë transport rrugor, duke siguruar kushte të barabarta pune, rritjen e sigurisë rrugore dhe garantimin e konkurrencës së ndershme ndërmjet operatorëve.</w:t>
            </w:r>
          </w:p>
        </w:tc>
        <w:tc>
          <w:tcPr>
            <w:tcW w:w="522" w:type="pct"/>
            <w:tcBorders>
              <w:top w:val="nil"/>
              <w:left w:val="nil"/>
              <w:bottom w:val="single" w:sz="4" w:space="0" w:color="000000"/>
              <w:right w:val="single" w:sz="4" w:space="0" w:color="000000"/>
            </w:tcBorders>
            <w:shd w:val="clear" w:color="auto" w:fill="auto"/>
            <w:vAlign w:val="center"/>
            <w:hideMark/>
          </w:tcPr>
          <w:p w14:paraId="77F1C05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do te synoje te perafroje plotesisht rregullore nr. 561/2006 (versioni I konsoliduar) duke vendosur kushte të barabarta të punës për drejtuesit e mjeteve, përmirësimin e sigurisë rrugore dhe garantimin e konkurrencës së ndershme ndërmjet operatorëve.</w:t>
            </w:r>
          </w:p>
        </w:tc>
        <w:tc>
          <w:tcPr>
            <w:tcW w:w="399" w:type="pct"/>
            <w:tcBorders>
              <w:top w:val="nil"/>
              <w:left w:val="nil"/>
              <w:bottom w:val="single" w:sz="4" w:space="0" w:color="000000"/>
              <w:right w:val="single" w:sz="4" w:space="0" w:color="000000"/>
            </w:tcBorders>
            <w:shd w:val="clear" w:color="auto" w:fill="auto"/>
            <w:vAlign w:val="center"/>
            <w:hideMark/>
          </w:tcPr>
          <w:p w14:paraId="106D86E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9" w:type="pct"/>
            <w:tcBorders>
              <w:top w:val="nil"/>
              <w:left w:val="nil"/>
              <w:bottom w:val="single" w:sz="4" w:space="0" w:color="000000"/>
              <w:right w:val="single" w:sz="4" w:space="0" w:color="000000"/>
            </w:tcBorders>
            <w:shd w:val="clear" w:color="auto" w:fill="auto"/>
            <w:vAlign w:val="center"/>
            <w:hideMark/>
          </w:tcPr>
          <w:p w14:paraId="54DE158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 pika 1.1, pika c, paragrafi 1</w:t>
            </w:r>
          </w:p>
        </w:tc>
        <w:tc>
          <w:tcPr>
            <w:tcW w:w="421" w:type="pct"/>
            <w:tcBorders>
              <w:top w:val="nil"/>
              <w:left w:val="nil"/>
              <w:bottom w:val="single" w:sz="4" w:space="0" w:color="000000"/>
              <w:right w:val="single" w:sz="4" w:space="0" w:color="000000"/>
            </w:tcBorders>
            <w:shd w:val="clear" w:color="auto" w:fill="auto"/>
            <w:vAlign w:val="center"/>
            <w:hideMark/>
          </w:tcPr>
          <w:p w14:paraId="66ECB74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Closing Benchmarks</w:t>
            </w:r>
          </w:p>
        </w:tc>
        <w:tc>
          <w:tcPr>
            <w:tcW w:w="414" w:type="pct"/>
            <w:tcBorders>
              <w:top w:val="nil"/>
              <w:left w:val="nil"/>
              <w:bottom w:val="single" w:sz="4" w:space="0" w:color="000000"/>
              <w:right w:val="single" w:sz="4" w:space="0" w:color="000000"/>
            </w:tcBorders>
            <w:shd w:val="clear" w:color="auto" w:fill="auto"/>
            <w:vAlign w:val="center"/>
            <w:hideMark/>
          </w:tcPr>
          <w:p w14:paraId="22410E51" w14:textId="77777777" w:rsidR="00973AA3" w:rsidRPr="00B6793F" w:rsidRDefault="00973AA3" w:rsidP="00973AA3">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2" w:type="pct"/>
            <w:tcBorders>
              <w:top w:val="nil"/>
              <w:left w:val="nil"/>
              <w:bottom w:val="single" w:sz="4" w:space="0" w:color="000000"/>
              <w:right w:val="single" w:sz="4" w:space="0" w:color="000000"/>
            </w:tcBorders>
            <w:shd w:val="clear" w:color="auto" w:fill="auto"/>
            <w:vAlign w:val="center"/>
            <w:hideMark/>
          </w:tcPr>
          <w:p w14:paraId="34CF113E"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973AA3" w:rsidRPr="00B6793F" w14:paraId="588B7F06" w14:textId="77777777" w:rsidTr="00973AA3">
        <w:trPr>
          <w:trHeight w:val="180"/>
        </w:trPr>
        <w:tc>
          <w:tcPr>
            <w:tcW w:w="182" w:type="pct"/>
            <w:tcBorders>
              <w:top w:val="nil"/>
              <w:left w:val="single" w:sz="4" w:space="0" w:color="000000"/>
              <w:bottom w:val="single" w:sz="4" w:space="0" w:color="000000"/>
              <w:right w:val="single" w:sz="4" w:space="0" w:color="000000"/>
            </w:tcBorders>
            <w:shd w:val="clear" w:color="auto" w:fill="auto"/>
            <w:vAlign w:val="center"/>
            <w:hideMark/>
          </w:tcPr>
          <w:p w14:paraId="3FF2B638"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27</w:t>
            </w:r>
          </w:p>
        </w:tc>
        <w:tc>
          <w:tcPr>
            <w:tcW w:w="478" w:type="pct"/>
            <w:tcBorders>
              <w:top w:val="nil"/>
              <w:left w:val="nil"/>
              <w:bottom w:val="single" w:sz="4" w:space="0" w:color="000000"/>
              <w:right w:val="single" w:sz="4" w:space="0" w:color="000000"/>
            </w:tcBorders>
            <w:shd w:val="clear" w:color="auto" w:fill="auto"/>
            <w:vAlign w:val="center"/>
            <w:hideMark/>
          </w:tcPr>
          <w:p w14:paraId="5D45467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rishikimin e VKM-së Nr. 822, datë 7.10.2015 "Për miratimin e rregullave dhe procedurave të ndërtimit të kapaciteteve të reja prodhuese të energjisë elektrike, që nuk janë objekt koncesioni", e ndryshuar</w:t>
            </w:r>
          </w:p>
        </w:tc>
        <w:tc>
          <w:tcPr>
            <w:tcW w:w="418" w:type="pct"/>
            <w:tcBorders>
              <w:top w:val="nil"/>
              <w:left w:val="nil"/>
              <w:bottom w:val="single" w:sz="4" w:space="0" w:color="000000"/>
              <w:right w:val="single" w:sz="4" w:space="0" w:color="000000"/>
            </w:tcBorders>
            <w:shd w:val="clear" w:color="auto" w:fill="auto"/>
            <w:vAlign w:val="center"/>
            <w:hideMark/>
          </w:tcPr>
          <w:p w14:paraId="45ACAE4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21" w:type="pct"/>
            <w:tcBorders>
              <w:top w:val="nil"/>
              <w:left w:val="nil"/>
              <w:bottom w:val="single" w:sz="4" w:space="0" w:color="000000"/>
              <w:right w:val="single" w:sz="4" w:space="0" w:color="000000"/>
            </w:tcBorders>
            <w:shd w:val="clear" w:color="auto" w:fill="auto"/>
            <w:vAlign w:val="center"/>
            <w:hideMark/>
          </w:tcPr>
          <w:p w14:paraId="0CA5AC7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Infrastruktures dhe Energjise</w:t>
            </w:r>
          </w:p>
        </w:tc>
        <w:tc>
          <w:tcPr>
            <w:tcW w:w="392" w:type="pct"/>
            <w:tcBorders>
              <w:top w:val="nil"/>
              <w:left w:val="nil"/>
              <w:bottom w:val="single" w:sz="4" w:space="0" w:color="000000"/>
              <w:right w:val="single" w:sz="4" w:space="0" w:color="000000"/>
            </w:tcBorders>
            <w:shd w:val="clear" w:color="auto" w:fill="auto"/>
            <w:vAlign w:val="center"/>
            <w:hideMark/>
          </w:tcPr>
          <w:p w14:paraId="4AD6E5B7"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02" w:type="pct"/>
            <w:tcBorders>
              <w:top w:val="nil"/>
              <w:left w:val="nil"/>
              <w:bottom w:val="single" w:sz="4" w:space="0" w:color="000000"/>
              <w:right w:val="single" w:sz="4" w:space="0" w:color="000000"/>
            </w:tcBorders>
            <w:shd w:val="clear" w:color="auto" w:fill="auto"/>
            <w:vAlign w:val="center"/>
            <w:hideMark/>
          </w:tcPr>
          <w:p w14:paraId="31378110"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 i Rregullore së Këshillit (BE) 2022/2577 e datës 22 dhjetor 2022 që përcakton një kornizë për të përshpejtuar vendosjen e energjisë së rinovueshme.</w:t>
            </w:r>
          </w:p>
        </w:tc>
        <w:tc>
          <w:tcPr>
            <w:tcW w:w="522" w:type="pct"/>
            <w:tcBorders>
              <w:top w:val="nil"/>
              <w:left w:val="nil"/>
              <w:bottom w:val="single" w:sz="4" w:space="0" w:color="000000"/>
              <w:right w:val="single" w:sz="4" w:space="0" w:color="000000"/>
            </w:tcBorders>
            <w:shd w:val="clear" w:color="auto" w:fill="auto"/>
            <w:vAlign w:val="center"/>
            <w:hideMark/>
          </w:tcPr>
          <w:p w14:paraId="395F05A6"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projektvendim parashikon përcaktimin e kushteve dhe procedurave për të ndihmuar në përshpejtimin e procesit të dhënies së lejeve për prodhimin e energjisë nga burimet e rinovueshme të energjisë. </w:t>
            </w:r>
          </w:p>
        </w:tc>
        <w:tc>
          <w:tcPr>
            <w:tcW w:w="399" w:type="pct"/>
            <w:tcBorders>
              <w:top w:val="nil"/>
              <w:left w:val="nil"/>
              <w:bottom w:val="single" w:sz="4" w:space="0" w:color="000000"/>
              <w:right w:val="single" w:sz="4" w:space="0" w:color="000000"/>
            </w:tcBorders>
            <w:shd w:val="clear" w:color="auto" w:fill="auto"/>
            <w:vAlign w:val="center"/>
            <w:hideMark/>
          </w:tcPr>
          <w:p w14:paraId="0D688C0C"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15</w:t>
            </w:r>
          </w:p>
        </w:tc>
        <w:tc>
          <w:tcPr>
            <w:tcW w:w="479" w:type="pct"/>
            <w:tcBorders>
              <w:top w:val="nil"/>
              <w:left w:val="nil"/>
              <w:bottom w:val="single" w:sz="4" w:space="0" w:color="000000"/>
              <w:right w:val="single" w:sz="4" w:space="0" w:color="000000"/>
            </w:tcBorders>
            <w:shd w:val="clear" w:color="auto" w:fill="auto"/>
            <w:vAlign w:val="center"/>
            <w:hideMark/>
          </w:tcPr>
          <w:p w14:paraId="7ED15A8F"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21" w:type="pct"/>
            <w:tcBorders>
              <w:top w:val="nil"/>
              <w:left w:val="nil"/>
              <w:bottom w:val="single" w:sz="4" w:space="0" w:color="000000"/>
              <w:right w:val="single" w:sz="4" w:space="0" w:color="000000"/>
            </w:tcBorders>
            <w:shd w:val="clear" w:color="auto" w:fill="auto"/>
            <w:vAlign w:val="center"/>
            <w:hideMark/>
          </w:tcPr>
          <w:p w14:paraId="408C149D"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14" w:type="pct"/>
            <w:tcBorders>
              <w:top w:val="nil"/>
              <w:left w:val="nil"/>
              <w:bottom w:val="single" w:sz="4" w:space="0" w:color="000000"/>
              <w:right w:val="single" w:sz="4" w:space="0" w:color="000000"/>
            </w:tcBorders>
            <w:shd w:val="clear" w:color="auto" w:fill="auto"/>
            <w:vAlign w:val="center"/>
            <w:hideMark/>
          </w:tcPr>
          <w:p w14:paraId="58FF9DD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372" w:type="pct"/>
            <w:tcBorders>
              <w:top w:val="nil"/>
              <w:left w:val="nil"/>
              <w:bottom w:val="single" w:sz="4" w:space="0" w:color="000000"/>
              <w:right w:val="single" w:sz="4" w:space="0" w:color="000000"/>
            </w:tcBorders>
            <w:shd w:val="clear" w:color="auto" w:fill="auto"/>
            <w:vAlign w:val="center"/>
            <w:hideMark/>
          </w:tcPr>
          <w:p w14:paraId="6156C334" w14:textId="77777777" w:rsidR="00973AA3" w:rsidRPr="00B6793F" w:rsidRDefault="00973AA3" w:rsidP="00973AA3">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bl>
    <w:p w14:paraId="35555411" w14:textId="45FF9107" w:rsidR="003C1912" w:rsidRPr="00B6793F" w:rsidRDefault="003C1912" w:rsidP="00AC5BDD">
      <w:pPr>
        <w:spacing w:after="0" w:line="240" w:lineRule="auto"/>
        <w:ind w:firstLine="284"/>
        <w:jc w:val="center"/>
        <w:rPr>
          <w:rFonts w:ascii="Garamond" w:hAnsi="Garamond"/>
          <w:b/>
          <w:sz w:val="24"/>
        </w:rPr>
      </w:pPr>
    </w:p>
    <w:p w14:paraId="786BA2E4" w14:textId="5454ED81" w:rsidR="00E41B62" w:rsidRPr="00B6793F" w:rsidRDefault="00E41B62" w:rsidP="00AC5BDD">
      <w:pPr>
        <w:spacing w:after="0" w:line="240" w:lineRule="auto"/>
        <w:ind w:firstLine="284"/>
        <w:jc w:val="center"/>
        <w:rPr>
          <w:rFonts w:ascii="Garamond" w:hAnsi="Garamond"/>
          <w:b/>
          <w:sz w:val="24"/>
        </w:rPr>
      </w:pPr>
    </w:p>
    <w:p w14:paraId="59283E43" w14:textId="77E9665B" w:rsidR="00E41B62" w:rsidRPr="00B6793F" w:rsidRDefault="00E41B62" w:rsidP="00AC5BDD">
      <w:pPr>
        <w:spacing w:after="0" w:line="240" w:lineRule="auto"/>
        <w:ind w:firstLine="284"/>
        <w:jc w:val="center"/>
        <w:rPr>
          <w:rFonts w:ascii="Garamond" w:hAnsi="Garamond"/>
          <w:b/>
          <w:sz w:val="24"/>
        </w:rPr>
      </w:pPr>
    </w:p>
    <w:p w14:paraId="50089EFA" w14:textId="01AACEE9" w:rsidR="00E41B62" w:rsidRPr="00B6793F" w:rsidRDefault="00E41B62" w:rsidP="00AC5BDD">
      <w:pPr>
        <w:spacing w:after="0" w:line="240" w:lineRule="auto"/>
        <w:ind w:firstLine="284"/>
        <w:jc w:val="center"/>
        <w:rPr>
          <w:rFonts w:ascii="Garamond" w:hAnsi="Garamond"/>
          <w:b/>
          <w:sz w:val="24"/>
        </w:rPr>
      </w:pPr>
    </w:p>
    <w:p w14:paraId="10D0771F" w14:textId="287695C4" w:rsidR="00C87014" w:rsidRPr="00B6793F" w:rsidRDefault="00C87014" w:rsidP="00AC5BDD">
      <w:pPr>
        <w:spacing w:after="0" w:line="240" w:lineRule="auto"/>
        <w:ind w:firstLine="284"/>
        <w:jc w:val="center"/>
        <w:rPr>
          <w:rFonts w:ascii="Garamond" w:hAnsi="Garamond"/>
          <w:b/>
          <w:sz w:val="24"/>
        </w:rPr>
      </w:pPr>
    </w:p>
    <w:p w14:paraId="685C3ED7" w14:textId="35E3B89D" w:rsidR="00C87014" w:rsidRPr="00B6793F" w:rsidRDefault="00C87014" w:rsidP="00AC5BDD">
      <w:pPr>
        <w:spacing w:after="0" w:line="240" w:lineRule="auto"/>
        <w:ind w:firstLine="284"/>
        <w:jc w:val="center"/>
        <w:rPr>
          <w:rFonts w:ascii="Garamond" w:hAnsi="Garamond"/>
          <w:b/>
          <w:sz w:val="24"/>
        </w:rPr>
      </w:pPr>
    </w:p>
    <w:p w14:paraId="7C2E3832" w14:textId="142EDC37" w:rsidR="00C87014" w:rsidRPr="00B6793F" w:rsidRDefault="00C87014" w:rsidP="00AC5BDD">
      <w:pPr>
        <w:spacing w:after="0" w:line="240" w:lineRule="auto"/>
        <w:ind w:firstLine="284"/>
        <w:jc w:val="center"/>
        <w:rPr>
          <w:rFonts w:ascii="Garamond" w:hAnsi="Garamond"/>
          <w:b/>
          <w:sz w:val="24"/>
        </w:rPr>
      </w:pPr>
    </w:p>
    <w:p w14:paraId="64C2DBCE" w14:textId="22776606" w:rsidR="00C87014" w:rsidRPr="00B6793F" w:rsidRDefault="00C87014" w:rsidP="00AC5BDD">
      <w:pPr>
        <w:spacing w:after="0" w:line="240" w:lineRule="auto"/>
        <w:ind w:firstLine="284"/>
        <w:jc w:val="center"/>
        <w:rPr>
          <w:rFonts w:ascii="Garamond" w:hAnsi="Garamond"/>
          <w:b/>
          <w:sz w:val="24"/>
        </w:rPr>
      </w:pPr>
    </w:p>
    <w:p w14:paraId="5991B524" w14:textId="45DF126D" w:rsidR="00C87014" w:rsidRPr="00B6793F" w:rsidRDefault="00C87014" w:rsidP="00AC5BDD">
      <w:pPr>
        <w:spacing w:after="0" w:line="240" w:lineRule="auto"/>
        <w:ind w:firstLine="284"/>
        <w:jc w:val="center"/>
        <w:rPr>
          <w:rFonts w:ascii="Garamond" w:hAnsi="Garamond"/>
          <w:b/>
          <w:sz w:val="24"/>
        </w:rPr>
      </w:pPr>
    </w:p>
    <w:p w14:paraId="19D2AC1A" w14:textId="42212661" w:rsidR="00C87014" w:rsidRPr="00B6793F" w:rsidRDefault="00C87014" w:rsidP="00AC5BDD">
      <w:pPr>
        <w:spacing w:after="0" w:line="240" w:lineRule="auto"/>
        <w:ind w:firstLine="284"/>
        <w:jc w:val="center"/>
        <w:rPr>
          <w:rFonts w:ascii="Garamond" w:hAnsi="Garamond"/>
          <w:b/>
          <w:sz w:val="24"/>
        </w:rPr>
      </w:pPr>
    </w:p>
    <w:p w14:paraId="0CCA3547" w14:textId="446A96B2" w:rsidR="00C87014" w:rsidRPr="00B6793F" w:rsidRDefault="00C87014" w:rsidP="00AC5BDD">
      <w:pPr>
        <w:spacing w:after="0" w:line="240" w:lineRule="auto"/>
        <w:ind w:firstLine="284"/>
        <w:jc w:val="center"/>
        <w:rPr>
          <w:rFonts w:ascii="Garamond" w:hAnsi="Garamond"/>
          <w:b/>
          <w:sz w:val="24"/>
        </w:rPr>
      </w:pPr>
    </w:p>
    <w:p w14:paraId="48240374" w14:textId="28A55C59" w:rsidR="00C87014" w:rsidRPr="00B6793F" w:rsidRDefault="00C87014" w:rsidP="00AC5BDD">
      <w:pPr>
        <w:spacing w:after="0" w:line="240" w:lineRule="auto"/>
        <w:ind w:firstLine="284"/>
        <w:jc w:val="center"/>
        <w:rPr>
          <w:rFonts w:ascii="Garamond" w:hAnsi="Garamond"/>
          <w:b/>
          <w:sz w:val="24"/>
        </w:rPr>
      </w:pPr>
    </w:p>
    <w:p w14:paraId="6AD488B0" w14:textId="768CB747" w:rsidR="00C87014" w:rsidRPr="00B6793F" w:rsidRDefault="00C87014" w:rsidP="00AC5BDD">
      <w:pPr>
        <w:spacing w:after="0" w:line="240" w:lineRule="auto"/>
        <w:ind w:firstLine="284"/>
        <w:jc w:val="center"/>
        <w:rPr>
          <w:rFonts w:ascii="Garamond" w:hAnsi="Garamond"/>
          <w:b/>
          <w:sz w:val="24"/>
        </w:rPr>
      </w:pPr>
    </w:p>
    <w:p w14:paraId="0F601C00" w14:textId="751EF38E" w:rsidR="00C87014" w:rsidRPr="00B6793F" w:rsidRDefault="00C87014" w:rsidP="00AC5BDD">
      <w:pPr>
        <w:spacing w:after="0" w:line="240" w:lineRule="auto"/>
        <w:ind w:firstLine="284"/>
        <w:jc w:val="center"/>
        <w:rPr>
          <w:rFonts w:ascii="Garamond" w:hAnsi="Garamond"/>
          <w:b/>
          <w:sz w:val="24"/>
        </w:rPr>
      </w:pPr>
    </w:p>
    <w:p w14:paraId="3F727A55" w14:textId="25CBF083" w:rsidR="00C87014" w:rsidRPr="00B6793F" w:rsidRDefault="00C87014" w:rsidP="00AC5BDD">
      <w:pPr>
        <w:spacing w:after="0" w:line="240" w:lineRule="auto"/>
        <w:ind w:firstLine="284"/>
        <w:jc w:val="center"/>
        <w:rPr>
          <w:rFonts w:ascii="Garamond" w:hAnsi="Garamond"/>
          <w:b/>
          <w:sz w:val="24"/>
        </w:rPr>
      </w:pPr>
    </w:p>
    <w:p w14:paraId="1BD69F11" w14:textId="13A121F9" w:rsidR="00C87014" w:rsidRPr="00B6793F" w:rsidRDefault="00C87014" w:rsidP="00AC5BDD">
      <w:pPr>
        <w:spacing w:after="0" w:line="240" w:lineRule="auto"/>
        <w:ind w:firstLine="284"/>
        <w:jc w:val="center"/>
        <w:rPr>
          <w:rFonts w:ascii="Garamond" w:hAnsi="Garamond"/>
          <w:b/>
          <w:sz w:val="24"/>
        </w:rPr>
      </w:pPr>
    </w:p>
    <w:p w14:paraId="27A11C49" w14:textId="6AC6D34A" w:rsidR="00C87014" w:rsidRPr="00B6793F" w:rsidRDefault="00C87014" w:rsidP="00AC5BDD">
      <w:pPr>
        <w:spacing w:after="0" w:line="240" w:lineRule="auto"/>
        <w:ind w:firstLine="284"/>
        <w:jc w:val="center"/>
        <w:rPr>
          <w:rFonts w:ascii="Garamond" w:hAnsi="Garamond"/>
          <w:b/>
          <w:sz w:val="24"/>
        </w:rPr>
      </w:pPr>
    </w:p>
    <w:p w14:paraId="68A4B59E" w14:textId="11D8526E" w:rsidR="00C87014" w:rsidRPr="00B6793F" w:rsidRDefault="00C87014" w:rsidP="00AC5BDD">
      <w:pPr>
        <w:spacing w:after="0" w:line="240" w:lineRule="auto"/>
        <w:ind w:firstLine="284"/>
        <w:jc w:val="center"/>
        <w:rPr>
          <w:rFonts w:ascii="Garamond" w:hAnsi="Garamond"/>
          <w:b/>
          <w:sz w:val="24"/>
        </w:rPr>
      </w:pPr>
    </w:p>
    <w:p w14:paraId="32DF0C3F" w14:textId="31E58EE6" w:rsidR="00C87014" w:rsidRPr="00B6793F" w:rsidRDefault="00C87014" w:rsidP="00AC5BDD">
      <w:pPr>
        <w:spacing w:after="0" w:line="240" w:lineRule="auto"/>
        <w:ind w:firstLine="284"/>
        <w:jc w:val="center"/>
        <w:rPr>
          <w:rFonts w:ascii="Garamond" w:hAnsi="Garamond"/>
          <w:b/>
          <w:sz w:val="24"/>
        </w:rPr>
      </w:pPr>
    </w:p>
    <w:p w14:paraId="4EA7E85E" w14:textId="1A8A3DAF" w:rsidR="00C87014" w:rsidRPr="00B6793F" w:rsidRDefault="00C87014" w:rsidP="00AC5BDD">
      <w:pPr>
        <w:spacing w:after="0" w:line="240" w:lineRule="auto"/>
        <w:ind w:firstLine="284"/>
        <w:jc w:val="center"/>
        <w:rPr>
          <w:rFonts w:ascii="Garamond" w:hAnsi="Garamond"/>
          <w:b/>
          <w:sz w:val="24"/>
        </w:rPr>
      </w:pPr>
    </w:p>
    <w:tbl>
      <w:tblPr>
        <w:tblW w:w="5029" w:type="pct"/>
        <w:jc w:val="center"/>
        <w:tblLook w:val="04A0" w:firstRow="1" w:lastRow="0" w:firstColumn="1" w:lastColumn="0" w:noHBand="0" w:noVBand="1"/>
      </w:tblPr>
      <w:tblGrid>
        <w:gridCol w:w="397"/>
        <w:gridCol w:w="974"/>
        <w:gridCol w:w="884"/>
        <w:gridCol w:w="766"/>
        <w:gridCol w:w="814"/>
        <w:gridCol w:w="1240"/>
        <w:gridCol w:w="1510"/>
        <w:gridCol w:w="1159"/>
        <w:gridCol w:w="1243"/>
        <w:gridCol w:w="755"/>
        <w:gridCol w:w="2155"/>
        <w:gridCol w:w="2132"/>
      </w:tblGrid>
      <w:tr w:rsidR="006A7673" w:rsidRPr="00B6793F" w14:paraId="5CF1744B" w14:textId="77777777" w:rsidTr="00F930D8">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6F26AC2C" w14:textId="77777777" w:rsidR="006A7673" w:rsidRPr="00B6793F" w:rsidRDefault="006A7673" w:rsidP="00C87014">
            <w:pPr>
              <w:spacing w:after="0" w:line="240" w:lineRule="auto"/>
              <w:jc w:val="center"/>
              <w:rPr>
                <w:rFonts w:ascii="Arial" w:eastAsia="Times New Roman" w:hAnsi="Arial" w:cs="Arial"/>
                <w:b/>
                <w:bCs/>
                <w:color w:val="000000"/>
                <w:sz w:val="12"/>
                <w:szCs w:val="8"/>
                <w:lang w:eastAsia="sq-AL"/>
              </w:rPr>
            </w:pPr>
            <w:bookmarkStart w:id="1" w:name="RANGE!A1:L26"/>
            <w:r w:rsidRPr="00B6793F">
              <w:rPr>
                <w:rFonts w:ascii="Arial" w:eastAsia="Times New Roman" w:hAnsi="Arial" w:cs="Arial"/>
                <w:b/>
                <w:bCs/>
                <w:color w:val="000000"/>
                <w:sz w:val="12"/>
                <w:szCs w:val="8"/>
                <w:lang w:eastAsia="sq-AL"/>
              </w:rPr>
              <w:t>PROGRAMI I PËRGJITHSHËM ANALITIK I PROJEKTAKTEVE PËR VITIN 2026</w:t>
            </w:r>
          </w:p>
          <w:bookmarkEnd w:id="1"/>
          <w:p w14:paraId="669AD530" w14:textId="0C7B3ED8" w:rsidR="006A7673" w:rsidRPr="00B6793F" w:rsidRDefault="006A7673" w:rsidP="00C8701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r>
      <w:tr w:rsidR="006A7673" w:rsidRPr="00B6793F" w14:paraId="36E656AF" w14:textId="77777777" w:rsidTr="00F930D8">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5735FC5D" w14:textId="77777777" w:rsidR="006A7673" w:rsidRPr="00B6793F" w:rsidRDefault="006A7673" w:rsidP="00C87014">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PUNËVE TË BRENDSHME</w:t>
            </w:r>
          </w:p>
          <w:p w14:paraId="4FBA3DEC" w14:textId="3008A886" w:rsidR="006A7673" w:rsidRPr="00B6793F" w:rsidRDefault="006A7673" w:rsidP="00C8701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r>
      <w:tr w:rsidR="00C87014" w:rsidRPr="00B6793F" w14:paraId="24811D66"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C00000"/>
            <w:vAlign w:val="center"/>
            <w:hideMark/>
          </w:tcPr>
          <w:p w14:paraId="3D984A25"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347" w:type="pct"/>
            <w:tcBorders>
              <w:top w:val="nil"/>
              <w:left w:val="nil"/>
              <w:bottom w:val="single" w:sz="4" w:space="0" w:color="auto"/>
              <w:right w:val="single" w:sz="4" w:space="0" w:color="auto"/>
            </w:tcBorders>
            <w:shd w:val="clear" w:color="000000" w:fill="C00000"/>
            <w:vAlign w:val="center"/>
            <w:hideMark/>
          </w:tcPr>
          <w:p w14:paraId="16614DBA"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15" w:type="pct"/>
            <w:tcBorders>
              <w:top w:val="nil"/>
              <w:left w:val="nil"/>
              <w:bottom w:val="single" w:sz="4" w:space="0" w:color="auto"/>
              <w:right w:val="single" w:sz="4" w:space="0" w:color="auto"/>
            </w:tcBorders>
            <w:shd w:val="clear" w:color="000000" w:fill="C00000"/>
            <w:vAlign w:val="center"/>
            <w:hideMark/>
          </w:tcPr>
          <w:p w14:paraId="2DEF9BB5"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273" w:type="pct"/>
            <w:tcBorders>
              <w:top w:val="nil"/>
              <w:left w:val="nil"/>
              <w:bottom w:val="single" w:sz="4" w:space="0" w:color="auto"/>
              <w:right w:val="single" w:sz="4" w:space="0" w:color="auto"/>
            </w:tcBorders>
            <w:shd w:val="clear" w:color="000000" w:fill="C00000"/>
            <w:vAlign w:val="center"/>
            <w:hideMark/>
          </w:tcPr>
          <w:p w14:paraId="5C353F00"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290" w:type="pct"/>
            <w:tcBorders>
              <w:top w:val="nil"/>
              <w:left w:val="nil"/>
              <w:bottom w:val="single" w:sz="4" w:space="0" w:color="auto"/>
              <w:right w:val="single" w:sz="4" w:space="0" w:color="auto"/>
            </w:tcBorders>
            <w:shd w:val="clear" w:color="000000" w:fill="C00000"/>
            <w:vAlign w:val="center"/>
            <w:hideMark/>
          </w:tcPr>
          <w:p w14:paraId="01BED173"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442" w:type="pct"/>
            <w:tcBorders>
              <w:top w:val="nil"/>
              <w:left w:val="nil"/>
              <w:bottom w:val="single" w:sz="4" w:space="0" w:color="auto"/>
              <w:right w:val="single" w:sz="4" w:space="0" w:color="auto"/>
            </w:tcBorders>
            <w:shd w:val="clear" w:color="000000" w:fill="C00000"/>
            <w:vAlign w:val="center"/>
            <w:hideMark/>
          </w:tcPr>
          <w:p w14:paraId="1075D237"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38" w:type="pct"/>
            <w:tcBorders>
              <w:top w:val="nil"/>
              <w:left w:val="nil"/>
              <w:bottom w:val="single" w:sz="4" w:space="0" w:color="auto"/>
              <w:right w:val="single" w:sz="4" w:space="0" w:color="auto"/>
            </w:tcBorders>
            <w:shd w:val="clear" w:color="000000" w:fill="C00000"/>
            <w:vAlign w:val="center"/>
            <w:hideMark/>
          </w:tcPr>
          <w:p w14:paraId="130E4C9F"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413" w:type="pct"/>
            <w:tcBorders>
              <w:top w:val="nil"/>
              <w:left w:val="nil"/>
              <w:bottom w:val="single" w:sz="4" w:space="0" w:color="auto"/>
              <w:right w:val="single" w:sz="4" w:space="0" w:color="auto"/>
            </w:tcBorders>
            <w:shd w:val="clear" w:color="000000" w:fill="C00000"/>
            <w:vAlign w:val="center"/>
            <w:hideMark/>
          </w:tcPr>
          <w:p w14:paraId="269E2291"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443" w:type="pct"/>
            <w:tcBorders>
              <w:top w:val="nil"/>
              <w:left w:val="nil"/>
              <w:bottom w:val="single" w:sz="4" w:space="0" w:color="auto"/>
              <w:right w:val="single" w:sz="4" w:space="0" w:color="auto"/>
            </w:tcBorders>
            <w:shd w:val="clear" w:color="000000" w:fill="C00000"/>
            <w:vAlign w:val="center"/>
            <w:hideMark/>
          </w:tcPr>
          <w:p w14:paraId="1BA0CE00"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269" w:type="pct"/>
            <w:tcBorders>
              <w:top w:val="nil"/>
              <w:left w:val="nil"/>
              <w:bottom w:val="single" w:sz="4" w:space="0" w:color="auto"/>
              <w:right w:val="single" w:sz="4" w:space="0" w:color="auto"/>
            </w:tcBorders>
            <w:shd w:val="clear" w:color="000000" w:fill="C00000"/>
            <w:vAlign w:val="center"/>
            <w:hideMark/>
          </w:tcPr>
          <w:p w14:paraId="030B87C2"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768" w:type="pct"/>
            <w:tcBorders>
              <w:top w:val="nil"/>
              <w:left w:val="nil"/>
              <w:bottom w:val="single" w:sz="4" w:space="0" w:color="auto"/>
              <w:right w:val="single" w:sz="4" w:space="0" w:color="auto"/>
            </w:tcBorders>
            <w:shd w:val="clear" w:color="000000" w:fill="C00000"/>
            <w:vAlign w:val="center"/>
            <w:hideMark/>
          </w:tcPr>
          <w:p w14:paraId="6C63C1F7"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758" w:type="pct"/>
            <w:tcBorders>
              <w:top w:val="nil"/>
              <w:left w:val="nil"/>
              <w:bottom w:val="single" w:sz="4" w:space="0" w:color="auto"/>
              <w:right w:val="single" w:sz="4" w:space="0" w:color="auto"/>
            </w:tcBorders>
            <w:shd w:val="clear" w:color="000000" w:fill="C00000"/>
            <w:vAlign w:val="center"/>
            <w:hideMark/>
          </w:tcPr>
          <w:p w14:paraId="4A150C2E" w14:textId="77777777" w:rsidR="00C87014" w:rsidRPr="00B6793F" w:rsidRDefault="00C87014" w:rsidP="00C8701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C87014" w:rsidRPr="00B6793F" w14:paraId="20B772E2"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08519FF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w:t>
            </w:r>
          </w:p>
        </w:tc>
        <w:tc>
          <w:tcPr>
            <w:tcW w:w="347" w:type="pct"/>
            <w:tcBorders>
              <w:top w:val="nil"/>
              <w:left w:val="nil"/>
              <w:bottom w:val="single" w:sz="4" w:space="0" w:color="auto"/>
              <w:right w:val="single" w:sz="4" w:space="0" w:color="auto"/>
            </w:tcBorders>
            <w:shd w:val="clear" w:color="000000" w:fill="FFFFFF"/>
            <w:vAlign w:val="center"/>
            <w:hideMark/>
          </w:tcPr>
          <w:p w14:paraId="3E73366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ligjin Nr.8378, datë 22.7.1998 "Kodi rrugor i Republikës së Shqipërisë"</w:t>
            </w:r>
          </w:p>
        </w:tc>
        <w:tc>
          <w:tcPr>
            <w:tcW w:w="315" w:type="pct"/>
            <w:tcBorders>
              <w:top w:val="nil"/>
              <w:left w:val="nil"/>
              <w:bottom w:val="single" w:sz="4" w:space="0" w:color="auto"/>
              <w:right w:val="single" w:sz="4" w:space="0" w:color="auto"/>
            </w:tcBorders>
            <w:shd w:val="clear" w:color="000000" w:fill="FFFFFF"/>
            <w:vAlign w:val="center"/>
            <w:hideMark/>
          </w:tcPr>
          <w:p w14:paraId="64FBD00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273" w:type="pct"/>
            <w:tcBorders>
              <w:top w:val="nil"/>
              <w:left w:val="nil"/>
              <w:bottom w:val="single" w:sz="4" w:space="0" w:color="auto"/>
              <w:right w:val="single" w:sz="4" w:space="0" w:color="auto"/>
            </w:tcBorders>
            <w:shd w:val="clear" w:color="000000" w:fill="FFFFFF"/>
            <w:vAlign w:val="center"/>
            <w:hideMark/>
          </w:tcPr>
          <w:p w14:paraId="2B69AED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106503F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0E56B5E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projektligj ka për objektiv vlerësimin dhe reflektimin e kërkesës së përsëritur për marrjen në konsideratë të propozimit për ndryshimin e Kodit Rrugor, të Bashkisë Tiranë me nr. 36638 prot., datë 23.10.2023, drejtuar Ministrit të Brendshëm dhe Ministrit të Shtetit për Pushtetin Vendor, kërkesë e cila konsiston në dhënien e të drejtës së kryerjes së shërbimit të policisë rrugore, Policisë së Bashkisë, për disa dispozita të cilat lidhen me kapitullin e I-rë, ndërtimi dhe mbrojtja e rrugëve dhe zonave publike, si dhe kapitullin II, destinacioni dhe përdorimi i mjeteve. Krahas kërkesës së Bashkisë Tiranë, projektligji ka për qëllim rregullimin e disa gabimeve materiale të mbartura gjatë hartimit dhe miratimit të Ligjit Nr. 21/2023, “Për disa ndryshime dhe shtesa në Ligjin Nr.8378, datë 22.07.1998, “Kodi Rrugor i Republikës së Shqipërisë”, i ndryshuar, rritjen e sigurisë rrugore, nëpërmjet përshtatjes së sanksioneve ligjore me rrezikshmërinë që shkakton shkelja e disa rregullave të qarkullimit rrugor, si dhe rregullimi i procesit të kalimit të të ardhurave të përcaktuara tek autoritetet konstatuese, për përmirësimin e shërbimit në zbatim të këtij kodi.</w:t>
            </w:r>
          </w:p>
        </w:tc>
        <w:tc>
          <w:tcPr>
            <w:tcW w:w="538" w:type="pct"/>
            <w:tcBorders>
              <w:top w:val="nil"/>
              <w:left w:val="nil"/>
              <w:bottom w:val="single" w:sz="4" w:space="0" w:color="auto"/>
              <w:right w:val="single" w:sz="4" w:space="0" w:color="auto"/>
            </w:tcBorders>
            <w:shd w:val="clear" w:color="000000" w:fill="FFFFFF"/>
            <w:vAlign w:val="center"/>
            <w:hideMark/>
          </w:tcPr>
          <w:p w14:paraId="2F8C890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Projektligji synon të realizojë disa nga kërkesat e Bashkisë Tiranë, që lidhen kryesisht me dispozitat e përgjithshme, kapitullin I dhe II të Kodit Rrugor, por edhe disa ndryshime të tjera të rëndësishme, që lidhen me qasjen për të mundësuar forma të reja të rregullimit të trafikut rrugor në zonat urbane, larg prezencës së shtuar të policisë rrugore, e cila në kryeqytet, për shkak se është i vetmi autoritet, që në zbatim të nenit 11, pika 1, shkronja c, e ligjit nr .8378, datë 22.07.1998, “Kodi Rrugor i Republikës së Shqipërisë”, i ndryshuar, kryen shërbime të drejtpërdrejta për rregullimin e trafikut, duke humbur më shumë se 70 për qind të kohës së punës e angazhuar me këtë shërbim dhe për rrjedhojë, lë jashtë fokusit dhe prioritetit shërbimet e tjera që kanë të bëjnë me parandalimin, konstatimin dhe verifikimin e shkeljeve të rregullave të qarkullimit rrugor, konstatimin dhe verifikimin e aksidenteve rrugore, kujdesin dhe mënyrën e përdorimit të rrugës si dhe shoqërimin e mjeteve për sigurimin e qarkullimit, që në thelb janë edhe shërbimet më të rëndësishme të Policisë Rrugore.</w:t>
            </w:r>
          </w:p>
        </w:tc>
        <w:tc>
          <w:tcPr>
            <w:tcW w:w="413" w:type="pct"/>
            <w:tcBorders>
              <w:top w:val="nil"/>
              <w:left w:val="nil"/>
              <w:bottom w:val="single" w:sz="4" w:space="0" w:color="auto"/>
              <w:right w:val="single" w:sz="4" w:space="0" w:color="auto"/>
            </w:tcBorders>
            <w:shd w:val="clear" w:color="000000" w:fill="FFFFFF"/>
            <w:vAlign w:val="center"/>
            <w:hideMark/>
          </w:tcPr>
          <w:p w14:paraId="3D728B6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E5B5D9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42223BE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3660E2D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3DEBF8E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34499811"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38BF02D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w:t>
            </w:r>
          </w:p>
        </w:tc>
        <w:tc>
          <w:tcPr>
            <w:tcW w:w="347" w:type="pct"/>
            <w:tcBorders>
              <w:top w:val="nil"/>
              <w:left w:val="nil"/>
              <w:bottom w:val="single" w:sz="4" w:space="0" w:color="auto"/>
              <w:right w:val="single" w:sz="4" w:space="0" w:color="auto"/>
            </w:tcBorders>
            <w:shd w:val="clear" w:color="000000" w:fill="FFFFFF"/>
            <w:vAlign w:val="center"/>
            <w:hideMark/>
          </w:tcPr>
          <w:p w14:paraId="12DD01E5"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dhe shtesa në vendimin nr. 858, datë 29.12.2021 “Për përcaktimin e kritereve, të procedurave e të dokumentacionit për hyrjen, qëndrimin dhe trajtimin e të huajve në Republikën e Shqipërisë”, i ndryshuar"</w:t>
            </w:r>
          </w:p>
        </w:tc>
        <w:tc>
          <w:tcPr>
            <w:tcW w:w="315" w:type="pct"/>
            <w:tcBorders>
              <w:top w:val="nil"/>
              <w:left w:val="nil"/>
              <w:bottom w:val="single" w:sz="4" w:space="0" w:color="auto"/>
              <w:right w:val="single" w:sz="4" w:space="0" w:color="auto"/>
            </w:tcBorders>
            <w:shd w:val="clear" w:color="000000" w:fill="FFFFFF"/>
            <w:vAlign w:val="center"/>
            <w:hideMark/>
          </w:tcPr>
          <w:p w14:paraId="439E777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315A292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AE9D95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2842E6F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Përditësimi i kuadrit rregullator në përputhje me ndryshimet e ligjit nr. 79/2021 dhe nevojat për integrim në Bashkimin Evropian.</w:t>
            </w:r>
            <w:r w:rsidRPr="00B6793F">
              <w:rPr>
                <w:rFonts w:ascii="Arial" w:eastAsia="Times New Roman" w:hAnsi="Arial" w:cs="Arial"/>
                <w:sz w:val="8"/>
                <w:szCs w:val="8"/>
                <w:lang w:eastAsia="sq-AL"/>
              </w:rPr>
              <w:br/>
              <w:t>Thjeshtimi dhe përmirësimi i procedurave administrative për lejet e qëndrimit dhe pajisjen me viza, duke rritur transparencën dhe fleksibilitetin.</w:t>
            </w:r>
            <w:r w:rsidRPr="00B6793F">
              <w:rPr>
                <w:rFonts w:ascii="Arial" w:eastAsia="Times New Roman" w:hAnsi="Arial" w:cs="Arial"/>
                <w:sz w:val="8"/>
                <w:szCs w:val="8"/>
                <w:lang w:eastAsia="sq-AL"/>
              </w:rPr>
              <w:br/>
              <w:t>Forcimi i bashkëpunimit ndërinstitucional dhe përshtatja e praktikave me standardet dhe acquis-in e vendeve të BE-së.</w:t>
            </w:r>
          </w:p>
        </w:tc>
        <w:tc>
          <w:tcPr>
            <w:tcW w:w="538" w:type="pct"/>
            <w:tcBorders>
              <w:top w:val="nil"/>
              <w:left w:val="nil"/>
              <w:bottom w:val="single" w:sz="4" w:space="0" w:color="auto"/>
              <w:right w:val="single" w:sz="4" w:space="0" w:color="auto"/>
            </w:tcBorders>
            <w:shd w:val="clear" w:color="000000" w:fill="FFFFFF"/>
            <w:vAlign w:val="center"/>
            <w:hideMark/>
          </w:tcPr>
          <w:p w14:paraId="29A2A8C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 efikasitetit dhe dixhitalizimi i procedurave për hyrjen, qëndrimin dhe pajisjen me leje të reja qëndrimi.</w:t>
            </w:r>
            <w:r w:rsidRPr="00B6793F">
              <w:rPr>
                <w:rFonts w:ascii="Arial" w:eastAsia="Times New Roman" w:hAnsi="Arial" w:cs="Arial"/>
                <w:sz w:val="8"/>
                <w:szCs w:val="8"/>
                <w:lang w:eastAsia="sq-AL"/>
              </w:rPr>
              <w:br/>
              <w:t>Përmirësimi i mekanizmave të kontrollit dhe verifikimit për rritjen e sigurisë dhe parandalimin e migracionit të parregullt.</w:t>
            </w:r>
            <w:r w:rsidRPr="00B6793F">
              <w:rPr>
                <w:rFonts w:ascii="Arial" w:eastAsia="Times New Roman" w:hAnsi="Arial" w:cs="Arial"/>
                <w:sz w:val="8"/>
                <w:szCs w:val="8"/>
                <w:lang w:eastAsia="sq-AL"/>
              </w:rPr>
              <w:br/>
              <w:t>Unifikimi dhe lehtësimi i kritereve për lejet e qëndrimit për kategori të veçanta, si punonjësit me kualifikim të lartë, investitorët dhe kërkuesit shkencorë.</w:t>
            </w:r>
          </w:p>
        </w:tc>
        <w:tc>
          <w:tcPr>
            <w:tcW w:w="413" w:type="pct"/>
            <w:tcBorders>
              <w:top w:val="nil"/>
              <w:left w:val="nil"/>
              <w:bottom w:val="single" w:sz="4" w:space="0" w:color="auto"/>
              <w:right w:val="single" w:sz="4" w:space="0" w:color="auto"/>
            </w:tcBorders>
            <w:shd w:val="clear" w:color="000000" w:fill="FFFFFF"/>
            <w:vAlign w:val="center"/>
            <w:hideMark/>
          </w:tcPr>
          <w:p w14:paraId="6030E1F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4E5958C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Shoqeria Digjitale, Integrimi Evropian, Shqipëria e Ligjit.</w:t>
            </w:r>
          </w:p>
        </w:tc>
        <w:tc>
          <w:tcPr>
            <w:tcW w:w="269" w:type="pct"/>
            <w:tcBorders>
              <w:top w:val="nil"/>
              <w:left w:val="nil"/>
              <w:bottom w:val="single" w:sz="4" w:space="0" w:color="auto"/>
              <w:right w:val="single" w:sz="4" w:space="0" w:color="auto"/>
            </w:tcBorders>
            <w:shd w:val="clear" w:color="000000" w:fill="FFFFFF"/>
            <w:vAlign w:val="center"/>
            <w:hideMark/>
          </w:tcPr>
          <w:p w14:paraId="54AFD64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8BB878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 Nr. 271, Datë 2.5.2024 “Për Miratimin e Strategjisë Kombëtare për Migracionin 2024-2030 dhe të Planit të saj të Veprimit 2024–2026”;</w:t>
            </w:r>
          </w:p>
        </w:tc>
        <w:tc>
          <w:tcPr>
            <w:tcW w:w="758" w:type="pct"/>
            <w:tcBorders>
              <w:top w:val="nil"/>
              <w:left w:val="nil"/>
              <w:bottom w:val="single" w:sz="4" w:space="0" w:color="auto"/>
              <w:right w:val="single" w:sz="4" w:space="0" w:color="auto"/>
            </w:tcBorders>
            <w:shd w:val="clear" w:color="000000" w:fill="FFFFFF"/>
            <w:vAlign w:val="center"/>
            <w:hideMark/>
          </w:tcPr>
          <w:p w14:paraId="4D4A3E6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C87014" w:rsidRPr="00B6793F" w14:paraId="600199D8"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065B8E0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w:t>
            </w:r>
          </w:p>
        </w:tc>
        <w:tc>
          <w:tcPr>
            <w:tcW w:w="347" w:type="pct"/>
            <w:tcBorders>
              <w:top w:val="nil"/>
              <w:left w:val="nil"/>
              <w:bottom w:val="single" w:sz="4" w:space="0" w:color="auto"/>
              <w:right w:val="single" w:sz="4" w:space="0" w:color="auto"/>
            </w:tcBorders>
            <w:shd w:val="clear" w:color="000000" w:fill="FFFFFF"/>
            <w:vAlign w:val="center"/>
            <w:hideMark/>
          </w:tcPr>
          <w:p w14:paraId="01658CA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Planit të Veprimit Schengen dhe Kuadrit Ligjor të Mekanizmit Kombëtar të Koordinimit dhe Bashkëpunimit të Schengenit</w:t>
            </w:r>
          </w:p>
        </w:tc>
        <w:tc>
          <w:tcPr>
            <w:tcW w:w="315" w:type="pct"/>
            <w:tcBorders>
              <w:top w:val="nil"/>
              <w:left w:val="nil"/>
              <w:bottom w:val="single" w:sz="4" w:space="0" w:color="auto"/>
              <w:right w:val="single" w:sz="4" w:space="0" w:color="auto"/>
            </w:tcBorders>
            <w:shd w:val="clear" w:color="000000" w:fill="FFFFFF"/>
            <w:vAlign w:val="center"/>
            <w:hideMark/>
          </w:tcPr>
          <w:p w14:paraId="2FD2774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3837B67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4C60C5D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3793BFB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përmbushje të piketave të ndërmjetme të Kapitullit 24</w:t>
            </w:r>
          </w:p>
        </w:tc>
        <w:tc>
          <w:tcPr>
            <w:tcW w:w="538" w:type="pct"/>
            <w:tcBorders>
              <w:top w:val="nil"/>
              <w:left w:val="nil"/>
              <w:bottom w:val="single" w:sz="4" w:space="0" w:color="auto"/>
              <w:right w:val="single" w:sz="4" w:space="0" w:color="auto"/>
            </w:tcBorders>
            <w:shd w:val="clear" w:color="000000" w:fill="FFFFFF"/>
            <w:vAlign w:val="center"/>
            <w:hideMark/>
          </w:tcPr>
          <w:p w14:paraId="3A2FE40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Hartimi i planit të veprimit schengen dhe kuadrit ligjor të mekanizmit kombëtar të koordinimit dhe bashkëpunimit të schengenit</w:t>
            </w:r>
          </w:p>
        </w:tc>
        <w:tc>
          <w:tcPr>
            <w:tcW w:w="413" w:type="pct"/>
            <w:tcBorders>
              <w:top w:val="nil"/>
              <w:left w:val="nil"/>
              <w:bottom w:val="single" w:sz="4" w:space="0" w:color="auto"/>
              <w:right w:val="single" w:sz="4" w:space="0" w:color="auto"/>
            </w:tcBorders>
            <w:shd w:val="clear" w:color="000000" w:fill="FFFFFF"/>
            <w:vAlign w:val="center"/>
            <w:hideMark/>
          </w:tcPr>
          <w:p w14:paraId="5A4B614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18E04D0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6FF86DD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2899EE6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345C9D0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06C38E2A"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3877CE0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4</w:t>
            </w:r>
          </w:p>
        </w:tc>
        <w:tc>
          <w:tcPr>
            <w:tcW w:w="347" w:type="pct"/>
            <w:tcBorders>
              <w:top w:val="nil"/>
              <w:left w:val="nil"/>
              <w:bottom w:val="single" w:sz="4" w:space="0" w:color="auto"/>
              <w:right w:val="single" w:sz="4" w:space="0" w:color="auto"/>
            </w:tcBorders>
            <w:shd w:val="clear" w:color="000000" w:fill="FFFFFF"/>
            <w:vAlign w:val="center"/>
            <w:hideMark/>
          </w:tcPr>
          <w:p w14:paraId="6728E01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rregullave të verifikimit kufitar që zbatohen për kategori të caktuara të personave dhe mjeteve"</w:t>
            </w:r>
          </w:p>
        </w:tc>
        <w:tc>
          <w:tcPr>
            <w:tcW w:w="315" w:type="pct"/>
            <w:tcBorders>
              <w:top w:val="nil"/>
              <w:left w:val="nil"/>
              <w:bottom w:val="single" w:sz="4" w:space="0" w:color="auto"/>
              <w:right w:val="single" w:sz="4" w:space="0" w:color="auto"/>
            </w:tcBorders>
            <w:shd w:val="clear" w:color="000000" w:fill="FFFFFF"/>
            <w:vAlign w:val="center"/>
            <w:hideMark/>
          </w:tcPr>
          <w:p w14:paraId="262935C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1602182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9661EE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0DBBA836"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propozohet në zbatim të pikës 10, të nenit 15, të Ligjit nr. 39/2025, “Për kontrollin e kufirit shtetëror”</w:t>
            </w:r>
          </w:p>
        </w:tc>
        <w:tc>
          <w:tcPr>
            <w:tcW w:w="538" w:type="pct"/>
            <w:tcBorders>
              <w:top w:val="nil"/>
              <w:left w:val="nil"/>
              <w:bottom w:val="single" w:sz="4" w:space="0" w:color="auto"/>
              <w:right w:val="single" w:sz="4" w:space="0" w:color="auto"/>
            </w:tcBorders>
            <w:shd w:val="clear" w:color="000000" w:fill="FFFFFF"/>
            <w:vAlign w:val="center"/>
            <w:hideMark/>
          </w:tcPr>
          <w:p w14:paraId="7330C68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Ky projektvendim ka për qëllim të përcaktojë  rregullat e verifikimit kufitar që zbatohen për kategori të caktuara të personave dhe mjeteve </w:t>
            </w:r>
          </w:p>
        </w:tc>
        <w:tc>
          <w:tcPr>
            <w:tcW w:w="413" w:type="pct"/>
            <w:tcBorders>
              <w:top w:val="nil"/>
              <w:left w:val="nil"/>
              <w:bottom w:val="single" w:sz="4" w:space="0" w:color="auto"/>
              <w:right w:val="single" w:sz="4" w:space="0" w:color="auto"/>
            </w:tcBorders>
            <w:shd w:val="clear" w:color="000000" w:fill="FFFFFF"/>
            <w:vAlign w:val="center"/>
            <w:hideMark/>
          </w:tcPr>
          <w:p w14:paraId="313C271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6BB5853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2DC538B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021ECB3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vAlign w:val="center"/>
            <w:hideMark/>
          </w:tcPr>
          <w:p w14:paraId="72677A1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61D21001"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1731A88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5</w:t>
            </w:r>
          </w:p>
        </w:tc>
        <w:tc>
          <w:tcPr>
            <w:tcW w:w="347" w:type="pct"/>
            <w:tcBorders>
              <w:top w:val="nil"/>
              <w:left w:val="nil"/>
              <w:bottom w:val="single" w:sz="4" w:space="0" w:color="auto"/>
              <w:right w:val="single" w:sz="4" w:space="0" w:color="auto"/>
            </w:tcBorders>
            <w:shd w:val="clear" w:color="000000" w:fill="FFFFFF"/>
            <w:vAlign w:val="center"/>
            <w:hideMark/>
          </w:tcPr>
          <w:p w14:paraId="671A9FD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Rregullores  "Për Qarkullimin Lokal Kufitar"</w:t>
            </w:r>
          </w:p>
        </w:tc>
        <w:tc>
          <w:tcPr>
            <w:tcW w:w="315" w:type="pct"/>
            <w:tcBorders>
              <w:top w:val="nil"/>
              <w:left w:val="nil"/>
              <w:bottom w:val="single" w:sz="4" w:space="0" w:color="auto"/>
              <w:right w:val="single" w:sz="4" w:space="0" w:color="auto"/>
            </w:tcBorders>
            <w:shd w:val="clear" w:color="000000" w:fill="FFFFFF"/>
            <w:vAlign w:val="center"/>
            <w:hideMark/>
          </w:tcPr>
          <w:p w14:paraId="0372539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53FEB8C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E04799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3CB9B65A"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propozohet në zbatimt të pikës 3, të nenit 23 dhe pikës 2, të nenit 24, të Ligjit nr. 39/2025, “Për kontrollin e kufirit shtetëror”  </w:t>
            </w:r>
          </w:p>
        </w:tc>
        <w:tc>
          <w:tcPr>
            <w:tcW w:w="538" w:type="pct"/>
            <w:tcBorders>
              <w:top w:val="nil"/>
              <w:left w:val="nil"/>
              <w:bottom w:val="single" w:sz="4" w:space="0" w:color="auto"/>
              <w:right w:val="single" w:sz="4" w:space="0" w:color="auto"/>
            </w:tcBorders>
            <w:shd w:val="clear" w:color="000000" w:fill="FFFFFF"/>
            <w:vAlign w:val="center"/>
            <w:hideMark/>
          </w:tcPr>
          <w:p w14:paraId="3B95778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Qëllimi i kësaj rregulloreje është të përcaktojë parimet themelore të zbatimit të regjimit të qarkullimit lokal kufitar për banorët e zonave kufitare.   </w:t>
            </w:r>
          </w:p>
        </w:tc>
        <w:tc>
          <w:tcPr>
            <w:tcW w:w="413" w:type="pct"/>
            <w:tcBorders>
              <w:top w:val="nil"/>
              <w:left w:val="nil"/>
              <w:bottom w:val="single" w:sz="4" w:space="0" w:color="auto"/>
              <w:right w:val="single" w:sz="4" w:space="0" w:color="auto"/>
            </w:tcBorders>
            <w:shd w:val="clear" w:color="000000" w:fill="FFFFFF"/>
            <w:vAlign w:val="center"/>
            <w:hideMark/>
          </w:tcPr>
          <w:p w14:paraId="7017784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4F6DBD1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3FFB127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1E00182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vAlign w:val="center"/>
            <w:hideMark/>
          </w:tcPr>
          <w:p w14:paraId="04AC51F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Ndikimet financiare janë në proces vlerësimi nga strukturat teknike </w:t>
            </w:r>
          </w:p>
        </w:tc>
      </w:tr>
      <w:tr w:rsidR="00C87014" w:rsidRPr="00B6793F" w14:paraId="1AD80EA7"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52BCDFF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6</w:t>
            </w:r>
          </w:p>
        </w:tc>
        <w:tc>
          <w:tcPr>
            <w:tcW w:w="347" w:type="pct"/>
            <w:tcBorders>
              <w:top w:val="nil"/>
              <w:left w:val="nil"/>
              <w:bottom w:val="single" w:sz="4" w:space="0" w:color="auto"/>
              <w:right w:val="single" w:sz="4" w:space="0" w:color="auto"/>
            </w:tcBorders>
            <w:shd w:val="clear" w:color="000000" w:fill="FFFFFF"/>
            <w:vAlign w:val="center"/>
            <w:hideMark/>
          </w:tcPr>
          <w:p w14:paraId="32E7D168"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tabelave dhe simboleve në pikat e kalimit</w:t>
            </w:r>
            <w:r w:rsidRPr="00B6793F">
              <w:rPr>
                <w:rFonts w:ascii="Arial" w:eastAsia="Times New Roman" w:hAnsi="Arial" w:cs="Arial"/>
                <w:color w:val="000000"/>
                <w:sz w:val="8"/>
                <w:szCs w:val="8"/>
                <w:lang w:eastAsia="sq-AL"/>
              </w:rPr>
              <w:br/>
              <w:t>kufitar dhe zonat e verifikimit kufitar"</w:t>
            </w:r>
          </w:p>
        </w:tc>
        <w:tc>
          <w:tcPr>
            <w:tcW w:w="315" w:type="pct"/>
            <w:tcBorders>
              <w:top w:val="nil"/>
              <w:left w:val="nil"/>
              <w:bottom w:val="single" w:sz="4" w:space="0" w:color="auto"/>
              <w:right w:val="single" w:sz="4" w:space="0" w:color="auto"/>
            </w:tcBorders>
            <w:shd w:val="clear" w:color="000000" w:fill="FFFFFF"/>
            <w:vAlign w:val="center"/>
            <w:hideMark/>
          </w:tcPr>
          <w:p w14:paraId="025946B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35FBB73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14AFE0A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3A49DE8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propozohet në zbatimt të  pikës 6, të nenit 12, të Ligjit 39/2025, “Për kontrollin e kufirit shtetëror”</w:t>
            </w:r>
          </w:p>
        </w:tc>
        <w:tc>
          <w:tcPr>
            <w:tcW w:w="538" w:type="pct"/>
            <w:tcBorders>
              <w:top w:val="nil"/>
              <w:left w:val="nil"/>
              <w:bottom w:val="single" w:sz="4" w:space="0" w:color="auto"/>
              <w:right w:val="single" w:sz="4" w:space="0" w:color="auto"/>
            </w:tcBorders>
            <w:shd w:val="clear" w:color="000000" w:fill="FFFFFF"/>
            <w:vAlign w:val="center"/>
            <w:hideMark/>
          </w:tcPr>
          <w:p w14:paraId="3EE9B60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projektvendim ka për qëllim të përcaktojë me tabela simbolet në pikat e kalimit kufitar dhe zonat e verifikimit kufitar</w:t>
            </w:r>
          </w:p>
        </w:tc>
        <w:tc>
          <w:tcPr>
            <w:tcW w:w="413" w:type="pct"/>
            <w:tcBorders>
              <w:top w:val="nil"/>
              <w:left w:val="nil"/>
              <w:bottom w:val="single" w:sz="4" w:space="0" w:color="auto"/>
              <w:right w:val="single" w:sz="4" w:space="0" w:color="auto"/>
            </w:tcBorders>
            <w:shd w:val="clear" w:color="000000" w:fill="FFFFFF"/>
            <w:vAlign w:val="center"/>
            <w:hideMark/>
          </w:tcPr>
          <w:p w14:paraId="26FA23F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654244E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3A5AE02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4B574BB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vAlign w:val="center"/>
            <w:hideMark/>
          </w:tcPr>
          <w:p w14:paraId="6F012AE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4D2836DD"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6DB6E69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7</w:t>
            </w:r>
          </w:p>
        </w:tc>
        <w:tc>
          <w:tcPr>
            <w:tcW w:w="347" w:type="pct"/>
            <w:tcBorders>
              <w:top w:val="nil"/>
              <w:left w:val="nil"/>
              <w:bottom w:val="single" w:sz="4" w:space="0" w:color="auto"/>
              <w:right w:val="single" w:sz="4" w:space="0" w:color="auto"/>
            </w:tcBorders>
            <w:shd w:val="clear" w:color="000000" w:fill="FFFFFF"/>
            <w:vAlign w:val="center"/>
            <w:hideMark/>
          </w:tcPr>
          <w:p w14:paraId="1CBA4651"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Rregullores së Sistemit të  Mbikëqyrjes së Kufirit</w:t>
            </w:r>
          </w:p>
        </w:tc>
        <w:tc>
          <w:tcPr>
            <w:tcW w:w="315" w:type="pct"/>
            <w:tcBorders>
              <w:top w:val="nil"/>
              <w:left w:val="nil"/>
              <w:bottom w:val="single" w:sz="4" w:space="0" w:color="auto"/>
              <w:right w:val="single" w:sz="4" w:space="0" w:color="auto"/>
            </w:tcBorders>
            <w:shd w:val="clear" w:color="000000" w:fill="FFFFFF"/>
            <w:vAlign w:val="center"/>
            <w:hideMark/>
          </w:tcPr>
          <w:p w14:paraId="3128624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754EF0E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707C566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6D0ADBA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propozohet në zbatimt të pikës 2, të nenit 27, të Ligjit 39/2025, “Për kontrollin e kufirit shtetëror”</w:t>
            </w:r>
          </w:p>
        </w:tc>
        <w:tc>
          <w:tcPr>
            <w:tcW w:w="538" w:type="pct"/>
            <w:tcBorders>
              <w:top w:val="nil"/>
              <w:left w:val="nil"/>
              <w:bottom w:val="single" w:sz="4" w:space="0" w:color="auto"/>
              <w:right w:val="single" w:sz="4" w:space="0" w:color="auto"/>
            </w:tcBorders>
            <w:shd w:val="clear" w:color="000000" w:fill="FFFFFF"/>
            <w:vAlign w:val="center"/>
            <w:hideMark/>
          </w:tcPr>
          <w:p w14:paraId="549A28E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Kjo Rregullore zbatohet për shkëmbimin e informacionit dhe bashkëpunimin për qëllimet e Sistemit të Mbikqyrjes së Kufirit, duke përfshirë informimin dhe ndërgjegjësimin për situatën, analizën e riskut, si dhe për mbështetjen e planifikimit dhe zhvillimit të operacioneve të kontrollit kufitar.</w:t>
            </w:r>
          </w:p>
        </w:tc>
        <w:tc>
          <w:tcPr>
            <w:tcW w:w="413" w:type="pct"/>
            <w:tcBorders>
              <w:top w:val="nil"/>
              <w:left w:val="nil"/>
              <w:bottom w:val="single" w:sz="4" w:space="0" w:color="auto"/>
              <w:right w:val="single" w:sz="4" w:space="0" w:color="auto"/>
            </w:tcBorders>
            <w:shd w:val="clear" w:color="000000" w:fill="FFFFFF"/>
            <w:vAlign w:val="center"/>
            <w:hideMark/>
          </w:tcPr>
          <w:p w14:paraId="391F200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7A1C495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2A3578A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60634D0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vAlign w:val="center"/>
            <w:hideMark/>
          </w:tcPr>
          <w:p w14:paraId="5C8DF62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Ndikimet financiare për ngritjen dhe funksionimin e Qendrës Kombëtare të Koordinimit të Integruar të Kufirit janë në proces vlerësimi nga strukturat teknike </w:t>
            </w:r>
          </w:p>
        </w:tc>
      </w:tr>
      <w:tr w:rsidR="00C87014" w:rsidRPr="00B6793F" w14:paraId="171C9BC5"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1ACDA53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8</w:t>
            </w:r>
          </w:p>
        </w:tc>
        <w:tc>
          <w:tcPr>
            <w:tcW w:w="347" w:type="pct"/>
            <w:tcBorders>
              <w:top w:val="nil"/>
              <w:left w:val="nil"/>
              <w:bottom w:val="single" w:sz="4" w:space="0" w:color="auto"/>
              <w:right w:val="single" w:sz="4" w:space="0" w:color="auto"/>
            </w:tcBorders>
            <w:shd w:val="clear" w:color="000000" w:fill="FFFFFF"/>
            <w:vAlign w:val="center"/>
            <w:hideMark/>
          </w:tcPr>
          <w:p w14:paraId="5E46E14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kryerjen e verifikimeve të përbashkëta kufitare"</w:t>
            </w:r>
          </w:p>
        </w:tc>
        <w:tc>
          <w:tcPr>
            <w:tcW w:w="315" w:type="pct"/>
            <w:tcBorders>
              <w:top w:val="nil"/>
              <w:left w:val="nil"/>
              <w:bottom w:val="single" w:sz="4" w:space="0" w:color="auto"/>
              <w:right w:val="single" w:sz="4" w:space="0" w:color="auto"/>
            </w:tcBorders>
            <w:shd w:val="clear" w:color="000000" w:fill="FFFFFF"/>
            <w:noWrap/>
            <w:vAlign w:val="center"/>
            <w:hideMark/>
          </w:tcPr>
          <w:p w14:paraId="603E3005"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4CC522F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41DBD7F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29F9F8D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propozohet në zbatimt të pikës 2, të nenit 6, të Ligjit 39/2025, “Për kontrollin e kufirit shtetëror” </w:t>
            </w:r>
          </w:p>
        </w:tc>
        <w:tc>
          <w:tcPr>
            <w:tcW w:w="538" w:type="pct"/>
            <w:tcBorders>
              <w:top w:val="nil"/>
              <w:left w:val="nil"/>
              <w:bottom w:val="single" w:sz="4" w:space="0" w:color="auto"/>
              <w:right w:val="single" w:sz="4" w:space="0" w:color="auto"/>
            </w:tcBorders>
            <w:shd w:val="clear" w:color="000000" w:fill="FFFFFF"/>
            <w:vAlign w:val="center"/>
            <w:hideMark/>
          </w:tcPr>
          <w:p w14:paraId="75CB906A"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projektvendim përcakton rregullat dhe procedurat që rojat kufitare, në kuadër të verifikimit kufitar, duhet t’u japin nëpunësve të doganave apo</w:t>
            </w:r>
            <w:r w:rsidRPr="00B6793F">
              <w:rPr>
                <w:rFonts w:ascii="Arial" w:eastAsia="Times New Roman" w:hAnsi="Arial" w:cs="Arial"/>
                <w:color w:val="000000"/>
                <w:sz w:val="8"/>
                <w:szCs w:val="8"/>
                <w:lang w:eastAsia="sq-AL"/>
              </w:rPr>
              <w:br/>
              <w:t>nëpunësve të çdo autoriteti tjetër përgjegjës që operon në kufirin shtetëror mundësinë e kryerjes së</w:t>
            </w:r>
            <w:r w:rsidRPr="00B6793F">
              <w:rPr>
                <w:rFonts w:ascii="Arial" w:eastAsia="Times New Roman" w:hAnsi="Arial" w:cs="Arial"/>
                <w:color w:val="000000"/>
                <w:sz w:val="8"/>
                <w:szCs w:val="8"/>
                <w:lang w:eastAsia="sq-AL"/>
              </w:rPr>
              <w:br/>
              <w:t>verifikimeve të përbashkëta me ta, kur këta janë të pranishëm gjatë verifikimit kufitar.</w:t>
            </w:r>
          </w:p>
        </w:tc>
        <w:tc>
          <w:tcPr>
            <w:tcW w:w="413" w:type="pct"/>
            <w:tcBorders>
              <w:top w:val="nil"/>
              <w:left w:val="nil"/>
              <w:bottom w:val="single" w:sz="4" w:space="0" w:color="auto"/>
              <w:right w:val="single" w:sz="4" w:space="0" w:color="auto"/>
            </w:tcBorders>
            <w:shd w:val="clear" w:color="000000" w:fill="FFFFFF"/>
            <w:vAlign w:val="center"/>
            <w:hideMark/>
          </w:tcPr>
          <w:p w14:paraId="1D70239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72119BF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289A0DB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390D8A16"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noWrap/>
            <w:vAlign w:val="center"/>
            <w:hideMark/>
          </w:tcPr>
          <w:p w14:paraId="57774EF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C87014" w:rsidRPr="00B6793F" w14:paraId="4CCB5680"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3F907FB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9</w:t>
            </w:r>
          </w:p>
        </w:tc>
        <w:tc>
          <w:tcPr>
            <w:tcW w:w="347" w:type="pct"/>
            <w:tcBorders>
              <w:top w:val="nil"/>
              <w:left w:val="nil"/>
              <w:bottom w:val="single" w:sz="4" w:space="0" w:color="auto"/>
              <w:right w:val="single" w:sz="4" w:space="0" w:color="auto"/>
            </w:tcBorders>
            <w:shd w:val="clear" w:color="000000" w:fill="FFFFFF"/>
            <w:vAlign w:val="center"/>
            <w:hideMark/>
          </w:tcPr>
          <w:p w14:paraId="2580CE06"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trajtimin e familjarëve të punonjësve të Agjencisë, që humbin jetën për shkak të detyrës.  </w:t>
            </w:r>
          </w:p>
        </w:tc>
        <w:tc>
          <w:tcPr>
            <w:tcW w:w="315" w:type="pct"/>
            <w:tcBorders>
              <w:top w:val="nil"/>
              <w:left w:val="nil"/>
              <w:bottom w:val="single" w:sz="4" w:space="0" w:color="auto"/>
              <w:right w:val="single" w:sz="4" w:space="0" w:color="auto"/>
            </w:tcBorders>
            <w:shd w:val="clear" w:color="000000" w:fill="FFFFFF"/>
            <w:vAlign w:val="center"/>
            <w:hideMark/>
          </w:tcPr>
          <w:p w14:paraId="596C92A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3542B54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5B326AB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3834F89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Ligji nr. 128/2021 “Për Agjencinë e Mbikëqyrjes Policore”, neni  77 pika 2</w:t>
            </w:r>
          </w:p>
        </w:tc>
        <w:tc>
          <w:tcPr>
            <w:tcW w:w="538" w:type="pct"/>
            <w:tcBorders>
              <w:top w:val="nil"/>
              <w:left w:val="nil"/>
              <w:bottom w:val="single" w:sz="4" w:space="0" w:color="auto"/>
              <w:right w:val="single" w:sz="4" w:space="0" w:color="auto"/>
            </w:tcBorders>
            <w:shd w:val="clear" w:color="000000" w:fill="FFFFFF"/>
            <w:vAlign w:val="center"/>
            <w:hideMark/>
          </w:tcPr>
          <w:p w14:paraId="6330F02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Pjesëtarët e familjes, që bashkëjetonin me punonjësin e Agjencisë së Mbikëqyrjes Policore që ka humbur jetën, gjatë kryerjes ose për shkak të detyrës, I paguhet ndihme e menjehershme , femijeve ju paguhet burse per shkollimin ne universitete shteterore, iu sigurohet banese kur jane pa strehim, iu sigurohet pension suplementar, Institucioni organizon dhe perballon shpenzimet mortore, </w:t>
            </w:r>
          </w:p>
        </w:tc>
        <w:tc>
          <w:tcPr>
            <w:tcW w:w="413" w:type="pct"/>
            <w:tcBorders>
              <w:top w:val="nil"/>
              <w:left w:val="nil"/>
              <w:bottom w:val="single" w:sz="4" w:space="0" w:color="auto"/>
              <w:right w:val="single" w:sz="4" w:space="0" w:color="auto"/>
            </w:tcBorders>
            <w:shd w:val="clear" w:color="000000" w:fill="FFFFFF"/>
            <w:vAlign w:val="center"/>
            <w:hideMark/>
          </w:tcPr>
          <w:p w14:paraId="677AC0D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B44F7C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4FE2A14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4451F0B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168D7B9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C87014" w:rsidRPr="00B6793F" w14:paraId="626BB659"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2FC2560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10</w:t>
            </w:r>
          </w:p>
        </w:tc>
        <w:tc>
          <w:tcPr>
            <w:tcW w:w="347" w:type="pct"/>
            <w:tcBorders>
              <w:top w:val="nil"/>
              <w:left w:val="nil"/>
              <w:bottom w:val="single" w:sz="4" w:space="0" w:color="auto"/>
              <w:right w:val="single" w:sz="4" w:space="0" w:color="auto"/>
            </w:tcBorders>
            <w:shd w:val="clear" w:color="000000" w:fill="FFFFFF"/>
            <w:vAlign w:val="center"/>
            <w:hideMark/>
          </w:tcPr>
          <w:p w14:paraId="4D6A0E3F"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formatit e të specifikimeve teknike të vulave të verifikimit kufitar dhe të rregullave të vendosjes së tyre në dokumentet e udhëtimit gjatë hyrje daljeve në kufirin shtetëror"</w:t>
            </w:r>
          </w:p>
        </w:tc>
        <w:tc>
          <w:tcPr>
            <w:tcW w:w="315" w:type="pct"/>
            <w:tcBorders>
              <w:top w:val="nil"/>
              <w:left w:val="nil"/>
              <w:bottom w:val="single" w:sz="4" w:space="0" w:color="auto"/>
              <w:right w:val="single" w:sz="4" w:space="0" w:color="auto"/>
            </w:tcBorders>
            <w:shd w:val="clear" w:color="000000" w:fill="FFFFFF"/>
            <w:noWrap/>
            <w:vAlign w:val="center"/>
            <w:hideMark/>
          </w:tcPr>
          <w:p w14:paraId="78B17554"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4AEF0DA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4FEC90E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418076D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propozohet në zbatimt të pikës 5, të nenit 17, të Ligjit 39/2025, “Për kontrollin e kufirit shtetëror”</w:t>
            </w:r>
          </w:p>
        </w:tc>
        <w:tc>
          <w:tcPr>
            <w:tcW w:w="538" w:type="pct"/>
            <w:tcBorders>
              <w:top w:val="nil"/>
              <w:left w:val="nil"/>
              <w:bottom w:val="single" w:sz="4" w:space="0" w:color="auto"/>
              <w:right w:val="single" w:sz="4" w:space="0" w:color="auto"/>
            </w:tcBorders>
            <w:shd w:val="clear" w:color="000000" w:fill="FFFFFF"/>
            <w:vAlign w:val="center"/>
            <w:hideMark/>
          </w:tcPr>
          <w:p w14:paraId="785CE0E9"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projektvendim përcakton  formatin dhe specifikimet teknike të vulave, si dhe rregullat praktike për vulosjen </w:t>
            </w:r>
          </w:p>
        </w:tc>
        <w:tc>
          <w:tcPr>
            <w:tcW w:w="413" w:type="pct"/>
            <w:tcBorders>
              <w:top w:val="nil"/>
              <w:left w:val="nil"/>
              <w:bottom w:val="single" w:sz="4" w:space="0" w:color="auto"/>
              <w:right w:val="single" w:sz="4" w:space="0" w:color="auto"/>
            </w:tcBorders>
            <w:shd w:val="clear" w:color="000000" w:fill="FFFFFF"/>
            <w:vAlign w:val="center"/>
            <w:hideMark/>
          </w:tcPr>
          <w:p w14:paraId="1E2D48A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Kapitulli 24 "Drejtësia, Liria dhe Siguria"                    </w:t>
            </w:r>
          </w:p>
        </w:tc>
        <w:tc>
          <w:tcPr>
            <w:tcW w:w="443" w:type="pct"/>
            <w:tcBorders>
              <w:top w:val="nil"/>
              <w:left w:val="nil"/>
              <w:bottom w:val="single" w:sz="4" w:space="0" w:color="auto"/>
              <w:right w:val="single" w:sz="4" w:space="0" w:color="auto"/>
            </w:tcBorders>
            <w:shd w:val="clear" w:color="000000" w:fill="FFFFFF"/>
            <w:vAlign w:val="center"/>
            <w:hideMark/>
          </w:tcPr>
          <w:p w14:paraId="4A49DC6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0E99472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294BF7BE"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noWrap/>
            <w:vAlign w:val="center"/>
            <w:hideMark/>
          </w:tcPr>
          <w:p w14:paraId="626BF390"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C87014" w:rsidRPr="00B6793F" w14:paraId="1CDEB393"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593F68C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11</w:t>
            </w:r>
          </w:p>
        </w:tc>
        <w:tc>
          <w:tcPr>
            <w:tcW w:w="347" w:type="pct"/>
            <w:tcBorders>
              <w:top w:val="nil"/>
              <w:left w:val="nil"/>
              <w:bottom w:val="single" w:sz="4" w:space="0" w:color="auto"/>
              <w:right w:val="single" w:sz="4" w:space="0" w:color="auto"/>
            </w:tcBorders>
            <w:shd w:val="clear" w:color="000000" w:fill="FFFFFF"/>
            <w:vAlign w:val="center"/>
            <w:hideMark/>
          </w:tcPr>
          <w:p w14:paraId="70A331BE"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 në VKM nr.203, datë 10.4.2019 “Për përcaktimin e kritereve, të masës së përfitimit dhe llojeve të pushimeve të tjera, me apo pa pagesë, në shërbimin e mbrojtjes nga zjarri dhe shpëtimin”,</w:t>
            </w:r>
          </w:p>
        </w:tc>
        <w:tc>
          <w:tcPr>
            <w:tcW w:w="315" w:type="pct"/>
            <w:tcBorders>
              <w:top w:val="nil"/>
              <w:left w:val="nil"/>
              <w:bottom w:val="single" w:sz="4" w:space="0" w:color="auto"/>
              <w:right w:val="single" w:sz="4" w:space="0" w:color="auto"/>
            </w:tcBorders>
            <w:shd w:val="clear" w:color="000000" w:fill="FFFFFF"/>
            <w:noWrap/>
            <w:vAlign w:val="center"/>
            <w:hideMark/>
          </w:tcPr>
          <w:p w14:paraId="3FB8409B"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1A935A7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22017C9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2E166B8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Akti  ekzistues nuk parashikon trajtimin e punonjësve të planifikuar në shërbim, për ditët e pushimit dhe të festave zyrtare.</w:t>
            </w:r>
          </w:p>
        </w:tc>
        <w:tc>
          <w:tcPr>
            <w:tcW w:w="538" w:type="pct"/>
            <w:tcBorders>
              <w:top w:val="nil"/>
              <w:left w:val="nil"/>
              <w:bottom w:val="single" w:sz="4" w:space="0" w:color="auto"/>
              <w:right w:val="single" w:sz="4" w:space="0" w:color="auto"/>
            </w:tcBorders>
            <w:shd w:val="clear" w:color="000000" w:fill="FFFFFF"/>
            <w:vAlign w:val="center"/>
            <w:hideMark/>
          </w:tcPr>
          <w:p w14:paraId="2D27E160"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VKM nr.203, datë 10.04.2019 “Për përcaktimin e kritereve, të masës së përfitimit dhe llojeve të pushimeve të tjera, me apo pa pagesë, në shërbimin e mbrojtjes nga zjarri dhe shpëtimin”, përcakton rastet se si trajtohet punonjësi i shërbimit të MZSH-së për orët shtesë të punës/shërbimit, në pamundësi të kompensimit me pushim.</w:t>
            </w:r>
          </w:p>
        </w:tc>
        <w:tc>
          <w:tcPr>
            <w:tcW w:w="413" w:type="pct"/>
            <w:tcBorders>
              <w:top w:val="nil"/>
              <w:left w:val="nil"/>
              <w:bottom w:val="single" w:sz="4" w:space="0" w:color="auto"/>
              <w:right w:val="single" w:sz="4" w:space="0" w:color="auto"/>
            </w:tcBorders>
            <w:shd w:val="clear" w:color="000000" w:fill="FFFFFF"/>
            <w:vAlign w:val="center"/>
            <w:hideMark/>
          </w:tcPr>
          <w:p w14:paraId="6DFDF6B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42EEB85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5B222D1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49284BC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29F0FB2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28E9ED95"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269BC3A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12</w:t>
            </w:r>
          </w:p>
        </w:tc>
        <w:tc>
          <w:tcPr>
            <w:tcW w:w="347" w:type="pct"/>
            <w:tcBorders>
              <w:top w:val="nil"/>
              <w:left w:val="nil"/>
              <w:bottom w:val="single" w:sz="4" w:space="0" w:color="auto"/>
              <w:right w:val="single" w:sz="4" w:space="0" w:color="auto"/>
            </w:tcBorders>
            <w:shd w:val="clear" w:color="000000" w:fill="FFFFFF"/>
            <w:vAlign w:val="center"/>
            <w:hideMark/>
          </w:tcPr>
          <w:p w14:paraId="40AEA34E"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vendimin e Këshillit të Ministrave nr.895, datë 21.12.2016 “Për kriteret e ecurisë dhe fitimit të gradave, njësimin e funksioneve korresponduese për çdo gradë, paraqitjen, formën dhe specifikimet teknike të gradave të shërbimit të mbrojtjes nga zjarri dhe shpëtimin</w:t>
            </w:r>
          </w:p>
        </w:tc>
        <w:tc>
          <w:tcPr>
            <w:tcW w:w="315" w:type="pct"/>
            <w:tcBorders>
              <w:top w:val="nil"/>
              <w:left w:val="nil"/>
              <w:bottom w:val="single" w:sz="4" w:space="0" w:color="auto"/>
              <w:right w:val="single" w:sz="4" w:space="0" w:color="auto"/>
            </w:tcBorders>
            <w:shd w:val="clear" w:color="000000" w:fill="FFFFFF"/>
            <w:noWrap/>
            <w:vAlign w:val="center"/>
            <w:hideMark/>
          </w:tcPr>
          <w:p w14:paraId="06BBD0EA"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6E4A51D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34334F3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442" w:type="pct"/>
            <w:tcBorders>
              <w:top w:val="nil"/>
              <w:left w:val="nil"/>
              <w:bottom w:val="single" w:sz="4" w:space="0" w:color="auto"/>
              <w:right w:val="single" w:sz="4" w:space="0" w:color="auto"/>
            </w:tcBorders>
            <w:shd w:val="clear" w:color="000000" w:fill="FFFFFF"/>
            <w:vAlign w:val="center"/>
            <w:hideMark/>
          </w:tcPr>
          <w:p w14:paraId="2F73F42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projektvendim ka për qëllim ndryshimin e disa kritereve për ekuivalentimin e gradave, të marra sipas ligjit nr.8643, datë 20.7.2000 “Për gradat në Policinë e Shtetit, me gradat e përcaktuara në ligjin nr.152/2015 “Për Shërbimin e Mbrojtjes nga Zjarri dhe Shpëtimin” dhe njësimin e funksioneve korresponduese për çdo gradë, në zbatim të pikës 2 të nenit 22 të këtij ligji.</w:t>
            </w:r>
          </w:p>
        </w:tc>
        <w:tc>
          <w:tcPr>
            <w:tcW w:w="538" w:type="pct"/>
            <w:tcBorders>
              <w:top w:val="nil"/>
              <w:left w:val="nil"/>
              <w:bottom w:val="single" w:sz="4" w:space="0" w:color="auto"/>
              <w:right w:val="single" w:sz="4" w:space="0" w:color="auto"/>
            </w:tcBorders>
            <w:shd w:val="clear" w:color="000000" w:fill="FFFFFF"/>
            <w:vAlign w:val="center"/>
            <w:hideMark/>
          </w:tcPr>
          <w:p w14:paraId="0E69AAC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Vendimi i Këshillit të Ministrave nr.895, datë 21.12.2016 “Për kriteret e ecurisë dhe fitimit të gradave, njësimin e funksioneve korresponduese për çdo gradë, paraqitjen, formën dhe specifikimet teknike të gradave të shërbimit të mbrojtjes nga zjarri dhe shpëtimin” gjatë zbatimit të tij të ekujvalentimit të gradave policore në grada të shërbimit zjarrfikës ka krijuar problematik, kryesisht lidhur me funksionet korrenponduese në bashkitë qendër qarku me funksionet korrensponduse në bashkitë jo qendër qarku, trajtim i cili rezulton në kundërshtim me parimin e proporcionalitetit, ndryshe VKM trajton me gradë disa funksione në bashkitë qendër qarku dhe në bashkitë jo qendër qarku.</w:t>
            </w:r>
            <w:r w:rsidRPr="00B6793F">
              <w:rPr>
                <w:rFonts w:ascii="Arial" w:eastAsia="Times New Roman" w:hAnsi="Arial" w:cs="Arial"/>
                <w:color w:val="000000"/>
                <w:sz w:val="8"/>
                <w:szCs w:val="8"/>
                <w:lang w:eastAsia="sq-AL"/>
              </w:rPr>
              <w:br/>
              <w:t>Gjetjet dhe vështirësitë e implementimit të Vendimit të Këshillit të Ministrave nr.895, datë 21.12.2016 diktuan nevojën për disa ndryshime në të vendim, dhe kryesisht ndryshime që kanë të bëjnë  me lidhjen nr.1 bashkëlidhur vendimit.</w:t>
            </w:r>
          </w:p>
        </w:tc>
        <w:tc>
          <w:tcPr>
            <w:tcW w:w="413" w:type="pct"/>
            <w:tcBorders>
              <w:top w:val="nil"/>
              <w:left w:val="nil"/>
              <w:bottom w:val="single" w:sz="4" w:space="0" w:color="auto"/>
              <w:right w:val="single" w:sz="4" w:space="0" w:color="auto"/>
            </w:tcBorders>
            <w:shd w:val="clear" w:color="000000" w:fill="FFFFFF"/>
            <w:vAlign w:val="center"/>
            <w:hideMark/>
          </w:tcPr>
          <w:p w14:paraId="06CA23E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13D0664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3CF09A5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55CFE2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0B8FDBA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4448F3CD"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314C402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13</w:t>
            </w:r>
          </w:p>
        </w:tc>
        <w:tc>
          <w:tcPr>
            <w:tcW w:w="347" w:type="pct"/>
            <w:tcBorders>
              <w:top w:val="nil"/>
              <w:left w:val="nil"/>
              <w:bottom w:val="single" w:sz="4" w:space="0" w:color="auto"/>
              <w:right w:val="single" w:sz="4" w:space="0" w:color="auto"/>
            </w:tcBorders>
            <w:shd w:val="clear" w:color="000000" w:fill="FFFFFF"/>
            <w:vAlign w:val="center"/>
            <w:hideMark/>
          </w:tcPr>
          <w:p w14:paraId="5545D589"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policinë bashkiake</w:t>
            </w:r>
          </w:p>
        </w:tc>
        <w:tc>
          <w:tcPr>
            <w:tcW w:w="315" w:type="pct"/>
            <w:tcBorders>
              <w:top w:val="nil"/>
              <w:left w:val="nil"/>
              <w:bottom w:val="single" w:sz="4" w:space="0" w:color="auto"/>
              <w:right w:val="single" w:sz="4" w:space="0" w:color="auto"/>
            </w:tcBorders>
            <w:shd w:val="clear" w:color="000000" w:fill="FFFFFF"/>
            <w:noWrap/>
            <w:vAlign w:val="center"/>
            <w:hideMark/>
          </w:tcPr>
          <w:p w14:paraId="731DB98A"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273" w:type="pct"/>
            <w:tcBorders>
              <w:top w:val="nil"/>
              <w:left w:val="nil"/>
              <w:bottom w:val="single" w:sz="4" w:space="0" w:color="auto"/>
              <w:right w:val="single" w:sz="4" w:space="0" w:color="auto"/>
            </w:tcBorders>
            <w:shd w:val="clear" w:color="000000" w:fill="FFFFFF"/>
            <w:vAlign w:val="center"/>
            <w:hideMark/>
          </w:tcPr>
          <w:p w14:paraId="5663DBF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 dhe Ministri i Shtetit për Pushtetin Vendor</w:t>
            </w:r>
          </w:p>
        </w:tc>
        <w:tc>
          <w:tcPr>
            <w:tcW w:w="290" w:type="pct"/>
            <w:tcBorders>
              <w:top w:val="nil"/>
              <w:left w:val="nil"/>
              <w:bottom w:val="single" w:sz="4" w:space="0" w:color="auto"/>
              <w:right w:val="single" w:sz="4" w:space="0" w:color="auto"/>
            </w:tcBorders>
            <w:shd w:val="clear" w:color="000000" w:fill="FFFFFF"/>
            <w:vAlign w:val="center"/>
            <w:hideMark/>
          </w:tcPr>
          <w:p w14:paraId="4FFB78A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7D50DFF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Qëllimi i projektligjit është të reformojë kuadrin aktual rregullator në lidhje me misionin, organizimin, funksionimin dhe kompetencat e Policisë Bashkiake, me qëllim ruajtjen e qetësisë, rendit dhe sigurisë në komunitet, mbarëvajtjes së punëve publike, mirëadministrimit të hapësirave publike dhe mbrojtjes së mjedisit në territor, në bashkëpunim me agjencitë dhe institucionet e tjera shtetërore.</w:t>
            </w:r>
          </w:p>
        </w:tc>
        <w:tc>
          <w:tcPr>
            <w:tcW w:w="538" w:type="pct"/>
            <w:tcBorders>
              <w:top w:val="nil"/>
              <w:left w:val="nil"/>
              <w:bottom w:val="single" w:sz="4" w:space="0" w:color="auto"/>
              <w:right w:val="single" w:sz="4" w:space="0" w:color="auto"/>
            </w:tcBorders>
            <w:shd w:val="clear" w:color="000000" w:fill="FFFFFF"/>
            <w:vAlign w:val="center"/>
            <w:hideMark/>
          </w:tcPr>
          <w:p w14:paraId="22AD924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Objektivat e synuara janë:</w:t>
            </w:r>
            <w:r w:rsidRPr="00B6793F">
              <w:rPr>
                <w:rFonts w:ascii="Arial" w:eastAsia="Times New Roman" w:hAnsi="Arial" w:cs="Arial"/>
                <w:color w:val="000000"/>
                <w:sz w:val="8"/>
                <w:szCs w:val="8"/>
                <w:lang w:eastAsia="sq-AL"/>
              </w:rPr>
              <w:br/>
              <w:t>a) Reformimin e mëtejshëm të Policisë Bashkiake, si nga ana strukturore dhe të sistemit të përgjedhjes së punonjësve,</w:t>
            </w:r>
            <w:r w:rsidRPr="00B6793F">
              <w:rPr>
                <w:rFonts w:ascii="Arial" w:eastAsia="Times New Roman" w:hAnsi="Arial" w:cs="Arial"/>
                <w:color w:val="000000"/>
                <w:sz w:val="8"/>
                <w:szCs w:val="8"/>
                <w:lang w:eastAsia="sq-AL"/>
              </w:rPr>
              <w:br/>
              <w:t>b) Garantimin e zbatimit të unifikuar të legjislacionit në fuqi nga Policia Bashkiake,</w:t>
            </w:r>
            <w:r w:rsidRPr="00B6793F">
              <w:rPr>
                <w:rFonts w:ascii="Arial" w:eastAsia="Times New Roman" w:hAnsi="Arial" w:cs="Arial"/>
                <w:color w:val="000000"/>
                <w:sz w:val="8"/>
                <w:szCs w:val="8"/>
                <w:lang w:eastAsia="sq-AL"/>
              </w:rPr>
              <w:br/>
              <w:t>c) Përcaktimi i qartë i kompetencave dhe funksioneve në raport me agjenci dhe institucione të tjera, dhe ushtrimi i tyre në bashkëpunim, koordinim dhe ndërveprim me aktorët e tjerë. ç) Trajnim i vazhdueshëm i punonjësve të Policisë Bashkiake.</w:t>
            </w:r>
          </w:p>
        </w:tc>
        <w:tc>
          <w:tcPr>
            <w:tcW w:w="413" w:type="pct"/>
            <w:tcBorders>
              <w:top w:val="nil"/>
              <w:left w:val="nil"/>
              <w:bottom w:val="single" w:sz="4" w:space="0" w:color="auto"/>
              <w:right w:val="single" w:sz="4" w:space="0" w:color="auto"/>
            </w:tcBorders>
            <w:shd w:val="clear" w:color="000000" w:fill="FFFFFF"/>
            <w:vAlign w:val="center"/>
            <w:hideMark/>
          </w:tcPr>
          <w:p w14:paraId="77D2600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5CBAAE0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00B3397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6AFFB1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5840AD6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3AC04740"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3DBDDFD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14</w:t>
            </w:r>
          </w:p>
        </w:tc>
        <w:tc>
          <w:tcPr>
            <w:tcW w:w="347" w:type="pct"/>
            <w:tcBorders>
              <w:top w:val="nil"/>
              <w:left w:val="nil"/>
              <w:bottom w:val="single" w:sz="4" w:space="0" w:color="auto"/>
              <w:right w:val="single" w:sz="4" w:space="0" w:color="auto"/>
            </w:tcBorders>
            <w:shd w:val="clear" w:color="000000" w:fill="FFFFFF"/>
            <w:vAlign w:val="center"/>
            <w:hideMark/>
          </w:tcPr>
          <w:p w14:paraId="3840B87C"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dhe shtesa në ligjin nr. 107/2016 “Për Prefektin e qarkut”</w:t>
            </w:r>
          </w:p>
        </w:tc>
        <w:tc>
          <w:tcPr>
            <w:tcW w:w="315" w:type="pct"/>
            <w:tcBorders>
              <w:top w:val="nil"/>
              <w:left w:val="nil"/>
              <w:bottom w:val="single" w:sz="4" w:space="0" w:color="auto"/>
              <w:right w:val="single" w:sz="4" w:space="0" w:color="auto"/>
            </w:tcBorders>
            <w:shd w:val="clear" w:color="000000" w:fill="FFFFFF"/>
            <w:noWrap/>
            <w:vAlign w:val="center"/>
            <w:hideMark/>
          </w:tcPr>
          <w:p w14:paraId="25F2392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273" w:type="pct"/>
            <w:tcBorders>
              <w:top w:val="nil"/>
              <w:left w:val="nil"/>
              <w:bottom w:val="single" w:sz="4" w:space="0" w:color="auto"/>
              <w:right w:val="single" w:sz="4" w:space="0" w:color="auto"/>
            </w:tcBorders>
            <w:shd w:val="clear" w:color="000000" w:fill="FFFFFF"/>
            <w:vAlign w:val="center"/>
            <w:hideMark/>
          </w:tcPr>
          <w:p w14:paraId="58883BC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7D6B1A1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10D5A0E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Projekligji “Për disa ndryshime dhe shtesa në ligjin nr. 107/2016 “Për Prefektin e qarkut”, të ndryshuar, ka si qëllim forcimin e rolit të prefektit të qarkut, si përfaqësues i Këshillit të Ministrave në territor, përfshirjen e tij aktive në koordinimin dhe ndërlidhjen e veprimtarisë së organeve qendrore në kuadër të ushtrimit të detyrave dhe kompetencave të tyre në nivel vendor. Prefekti i qarkut merr një rol gjithëpërfshirës edhe për bashkërendimin me njësitë e vetëqeverisjes vendore mbi problematikat në lidhje me emergjencat civile.</w:t>
            </w:r>
          </w:p>
        </w:tc>
        <w:tc>
          <w:tcPr>
            <w:tcW w:w="538" w:type="pct"/>
            <w:tcBorders>
              <w:top w:val="nil"/>
              <w:left w:val="nil"/>
              <w:bottom w:val="single" w:sz="4" w:space="0" w:color="auto"/>
              <w:right w:val="single" w:sz="4" w:space="0" w:color="auto"/>
            </w:tcBorders>
            <w:shd w:val="clear" w:color="000000" w:fill="FFFFFF"/>
            <w:vAlign w:val="center"/>
            <w:hideMark/>
          </w:tcPr>
          <w:p w14:paraId="6E8B8E91"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ndryshimet e propozuara, forcohet roli i Prefektit të Qarkut edhe në Këshillat Vendor të Sigurisë Publike dhe Këshillin Kombëtar të Sigurinë në Komunitet, përmes bashkërendimit dhe koordinimit me përfaqësuesit e njësive të vetëqeverisjes, si dhe institucioneve në nivel qendror.</w:t>
            </w:r>
            <w:r w:rsidRPr="00B6793F">
              <w:rPr>
                <w:rFonts w:ascii="Arial" w:eastAsia="Times New Roman" w:hAnsi="Arial" w:cs="Arial"/>
                <w:color w:val="000000"/>
                <w:sz w:val="8"/>
                <w:szCs w:val="8"/>
                <w:lang w:eastAsia="sq-AL"/>
              </w:rPr>
              <w:br/>
              <w:t>Projektligji ka si objektiv përmirësimin e bashkëpunimin midis Prefektit të qarkut, Policisë së Shtetit dhe Policisë Bashkiake dhe njësive të vetëqeverisjes vendore, me qëllim rritjen e sigurisë publike dhe qetësisë në komunitet.</w:t>
            </w:r>
          </w:p>
        </w:tc>
        <w:tc>
          <w:tcPr>
            <w:tcW w:w="413" w:type="pct"/>
            <w:tcBorders>
              <w:top w:val="nil"/>
              <w:left w:val="nil"/>
              <w:bottom w:val="single" w:sz="4" w:space="0" w:color="auto"/>
              <w:right w:val="single" w:sz="4" w:space="0" w:color="auto"/>
            </w:tcBorders>
            <w:shd w:val="clear" w:color="000000" w:fill="FFFFFF"/>
            <w:vAlign w:val="center"/>
            <w:hideMark/>
          </w:tcPr>
          <w:p w14:paraId="7AE9552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474720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6247BE6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55F536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65103B5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7412F3E3"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7D7A3E4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15</w:t>
            </w:r>
          </w:p>
        </w:tc>
        <w:tc>
          <w:tcPr>
            <w:tcW w:w="347" w:type="pct"/>
            <w:tcBorders>
              <w:top w:val="nil"/>
              <w:left w:val="nil"/>
              <w:bottom w:val="single" w:sz="4" w:space="0" w:color="auto"/>
              <w:right w:val="single" w:sz="4" w:space="0" w:color="auto"/>
            </w:tcBorders>
            <w:shd w:val="clear" w:color="000000" w:fill="FFFFFF"/>
            <w:vAlign w:val="center"/>
            <w:hideMark/>
          </w:tcPr>
          <w:p w14:paraId="55B36C4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dhe shtesa në ligjin nr. 9780, datë 16.7.2007, “Për inspektimin dhe mbrojtjen e territorit nga ndërtimet e kundërligjshme” të ndryshuar</w:t>
            </w:r>
          </w:p>
        </w:tc>
        <w:tc>
          <w:tcPr>
            <w:tcW w:w="315" w:type="pct"/>
            <w:tcBorders>
              <w:top w:val="nil"/>
              <w:left w:val="nil"/>
              <w:bottom w:val="single" w:sz="4" w:space="0" w:color="auto"/>
              <w:right w:val="single" w:sz="4" w:space="0" w:color="auto"/>
            </w:tcBorders>
            <w:shd w:val="clear" w:color="000000" w:fill="FFFFFF"/>
            <w:noWrap/>
            <w:vAlign w:val="center"/>
            <w:hideMark/>
          </w:tcPr>
          <w:p w14:paraId="5F4DB4D6"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273" w:type="pct"/>
            <w:tcBorders>
              <w:top w:val="nil"/>
              <w:left w:val="nil"/>
              <w:bottom w:val="single" w:sz="4" w:space="0" w:color="auto"/>
              <w:right w:val="single" w:sz="4" w:space="0" w:color="auto"/>
            </w:tcBorders>
            <w:shd w:val="clear" w:color="000000" w:fill="FFFFFF"/>
            <w:vAlign w:val="center"/>
            <w:hideMark/>
          </w:tcPr>
          <w:p w14:paraId="431F55C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242B6E1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312A5EC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Qëllimi i projektligjit lidhet me përfundimin e reformës së nisur në fushën e planifikimit dhe zhvillimit të territorit, si dhe me forcimin e mekanizmave të kontrollit, disiplinimit të punimeve të ndërtimit dhe inspektimit të mbrojtjes së territorit nga ndërtime të kundërligjshme. Në këtë kuadër, projektligji synon të garantojë ushtrimin e veprimtarive ndërtimore dhe të aktiviteteve të tjera territoriale në përputhje me lejet e miratuara dhe me kërkesat e legjislacionit në fuqi.</w:t>
            </w:r>
          </w:p>
        </w:tc>
        <w:tc>
          <w:tcPr>
            <w:tcW w:w="538" w:type="pct"/>
            <w:tcBorders>
              <w:top w:val="nil"/>
              <w:left w:val="nil"/>
              <w:bottom w:val="single" w:sz="4" w:space="0" w:color="auto"/>
              <w:right w:val="single" w:sz="4" w:space="0" w:color="auto"/>
            </w:tcBorders>
            <w:shd w:val="clear" w:color="000000" w:fill="FFFFFF"/>
            <w:vAlign w:val="center"/>
            <w:hideMark/>
          </w:tcPr>
          <w:p w14:paraId="4183325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Nëpërmjet ndryshimeve të propozuara synohet arritja e disa objektivave kryesore:</w:t>
            </w:r>
            <w:r w:rsidRPr="00B6793F">
              <w:rPr>
                <w:rFonts w:ascii="Arial" w:eastAsia="Times New Roman" w:hAnsi="Arial" w:cs="Arial"/>
                <w:color w:val="000000"/>
                <w:sz w:val="8"/>
                <w:szCs w:val="8"/>
                <w:lang w:eastAsia="sq-AL"/>
              </w:rPr>
              <w:br/>
              <w:t>- Riorganizimi i strukturave vendore të mbikëqyrjes së territorit dhe krijimi i një strukture të vetme për inspektimin, me qëllim rritjen e koherencës institucionale dhe shmangien e fragmentimit të kompetencave;</w:t>
            </w:r>
            <w:r w:rsidRPr="00B6793F">
              <w:rPr>
                <w:rFonts w:ascii="Arial" w:eastAsia="Times New Roman" w:hAnsi="Arial" w:cs="Arial"/>
                <w:color w:val="000000"/>
                <w:sz w:val="8"/>
                <w:szCs w:val="8"/>
                <w:lang w:eastAsia="sq-AL"/>
              </w:rPr>
              <w:br/>
              <w:t>Relacion për projektligjin “Për disa ndryshime dhe shtesa në ligjin nr. 9780, datë 16.7.2007, “Për inspektimin dhe</w:t>
            </w:r>
            <w:r w:rsidRPr="00B6793F">
              <w:rPr>
                <w:rFonts w:ascii="Arial" w:eastAsia="Times New Roman" w:hAnsi="Arial" w:cs="Arial"/>
                <w:color w:val="000000"/>
                <w:sz w:val="8"/>
                <w:szCs w:val="8"/>
                <w:lang w:eastAsia="sq-AL"/>
              </w:rPr>
              <w:br/>
              <w:t>mbrojtjen e territorit nga ndërtimet e kundërligjshme” të ndryshuar””</w:t>
            </w:r>
            <w:r w:rsidRPr="00B6793F">
              <w:rPr>
                <w:rFonts w:ascii="Arial" w:eastAsia="Times New Roman" w:hAnsi="Arial" w:cs="Arial"/>
                <w:color w:val="000000"/>
                <w:sz w:val="8"/>
                <w:szCs w:val="8"/>
                <w:lang w:eastAsia="sq-AL"/>
              </w:rPr>
              <w:br/>
              <w:t>- Rritja e efikasitetit, llogaridhënies dhe transparencës së proceseve inspektuese, në funksion të forcimit të shtetit ligjor dhe mbrojtjes së interesit publik;</w:t>
            </w:r>
            <w:r w:rsidRPr="00B6793F">
              <w:rPr>
                <w:rFonts w:ascii="Arial" w:eastAsia="Times New Roman" w:hAnsi="Arial" w:cs="Arial"/>
                <w:color w:val="000000"/>
                <w:sz w:val="8"/>
                <w:szCs w:val="8"/>
                <w:lang w:eastAsia="sq-AL"/>
              </w:rPr>
              <w:br/>
              <w:t>- Harmonizimi i kuadrit ligjor me legjislacionin në fuqi për inspektimin dhe me praktikat bashkëkohore të administrimit publik;</w:t>
            </w:r>
            <w:r w:rsidRPr="00B6793F">
              <w:rPr>
                <w:rFonts w:ascii="Arial" w:eastAsia="Times New Roman" w:hAnsi="Arial" w:cs="Arial"/>
                <w:color w:val="000000"/>
                <w:sz w:val="8"/>
                <w:szCs w:val="8"/>
                <w:lang w:eastAsia="sq-AL"/>
              </w:rPr>
              <w:br/>
              <w:t>- Garantimi i vazhdimësisë operacionale, nëpërmjet përcaktimit të mekanizmave të qartë organizativë, funksionalë dhe proceduralë.</w:t>
            </w:r>
          </w:p>
        </w:tc>
        <w:tc>
          <w:tcPr>
            <w:tcW w:w="413" w:type="pct"/>
            <w:tcBorders>
              <w:top w:val="nil"/>
              <w:left w:val="nil"/>
              <w:bottom w:val="single" w:sz="4" w:space="0" w:color="auto"/>
              <w:right w:val="single" w:sz="4" w:space="0" w:color="auto"/>
            </w:tcBorders>
            <w:shd w:val="clear" w:color="000000" w:fill="FFFFFF"/>
            <w:vAlign w:val="center"/>
            <w:hideMark/>
          </w:tcPr>
          <w:p w14:paraId="612F0DF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537BF2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26AE2A9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02A5C04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2BCD0A5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180B5BC6"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1623507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16</w:t>
            </w:r>
          </w:p>
        </w:tc>
        <w:tc>
          <w:tcPr>
            <w:tcW w:w="347" w:type="pct"/>
            <w:tcBorders>
              <w:top w:val="nil"/>
              <w:left w:val="nil"/>
              <w:bottom w:val="single" w:sz="4" w:space="0" w:color="auto"/>
              <w:right w:val="single" w:sz="4" w:space="0" w:color="auto"/>
            </w:tcBorders>
            <w:shd w:val="clear" w:color="000000" w:fill="FFFFFF"/>
            <w:vAlign w:val="center"/>
            <w:hideMark/>
          </w:tcPr>
          <w:p w14:paraId="63D2A89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mënyrë së shpërndarjes së Letërnjoftimit elektronik"</w:t>
            </w:r>
          </w:p>
        </w:tc>
        <w:tc>
          <w:tcPr>
            <w:tcW w:w="315" w:type="pct"/>
            <w:tcBorders>
              <w:top w:val="nil"/>
              <w:left w:val="nil"/>
              <w:bottom w:val="single" w:sz="4" w:space="0" w:color="auto"/>
              <w:right w:val="single" w:sz="4" w:space="0" w:color="auto"/>
            </w:tcBorders>
            <w:shd w:val="clear" w:color="000000" w:fill="FFFFFF"/>
            <w:vAlign w:val="center"/>
            <w:hideMark/>
          </w:tcPr>
          <w:p w14:paraId="239A8E0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7B46C4C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4F90A1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410627B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Ligji nr. 8952, datë10.10.2002, "Për letërnjoftimin elektronik të shtetasve shqiptarë", i ndryshuar, parashikon ne nenin 8 se rregullat mbi shperndarjen e Leternjoftimit Elektronik miratohet me VKM. Aktualisht nuk ka nje akt nenligjor qe trajton kete ceshtje. </w:t>
            </w:r>
          </w:p>
        </w:tc>
        <w:tc>
          <w:tcPr>
            <w:tcW w:w="538" w:type="pct"/>
            <w:tcBorders>
              <w:top w:val="nil"/>
              <w:left w:val="nil"/>
              <w:bottom w:val="single" w:sz="4" w:space="0" w:color="auto"/>
              <w:right w:val="single" w:sz="4" w:space="0" w:color="auto"/>
            </w:tcBorders>
            <w:shd w:val="clear" w:color="000000" w:fill="FFFFFF"/>
            <w:vAlign w:val="center"/>
            <w:hideMark/>
          </w:tcPr>
          <w:p w14:paraId="242DA8B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parashikon te rregulloje menyren, kriteret, dokumentacionin qe duhet te paraqisin shtetasit per terheqjen/shperndarjen e leternjoftimit elektronik. Nderkohe qe faza paraprake, ajo e aplikimit dhe perpunimit/investigimit te informacionit eshte percaktuar me te njejtin ligj qe miratohet me udhezim te Ministrit te Puneve te Brendshme</w:t>
            </w:r>
          </w:p>
        </w:tc>
        <w:tc>
          <w:tcPr>
            <w:tcW w:w="413" w:type="pct"/>
            <w:tcBorders>
              <w:top w:val="nil"/>
              <w:left w:val="nil"/>
              <w:bottom w:val="single" w:sz="4" w:space="0" w:color="auto"/>
              <w:right w:val="single" w:sz="4" w:space="0" w:color="auto"/>
            </w:tcBorders>
            <w:shd w:val="clear" w:color="000000" w:fill="FFFFFF"/>
            <w:vAlign w:val="center"/>
            <w:hideMark/>
          </w:tcPr>
          <w:p w14:paraId="06AF22A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07D1C2F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1530D36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0D2AB1D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39F5716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5BA54E64"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06CC83F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17</w:t>
            </w:r>
          </w:p>
        </w:tc>
        <w:tc>
          <w:tcPr>
            <w:tcW w:w="347" w:type="pct"/>
            <w:tcBorders>
              <w:top w:val="nil"/>
              <w:left w:val="nil"/>
              <w:bottom w:val="single" w:sz="4" w:space="0" w:color="auto"/>
              <w:right w:val="single" w:sz="4" w:space="0" w:color="auto"/>
            </w:tcBorders>
            <w:shd w:val="clear" w:color="000000" w:fill="FFFFFF"/>
            <w:vAlign w:val="center"/>
            <w:hideMark/>
          </w:tcPr>
          <w:p w14:paraId="6EF03834"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një ndryshim në Vendimin  nr.  1117,  datë  16.12.2020,  të Këshillit  të  Ministrave “Për  miratimin  e Strategjisë   Ndërsektoriale   të   Menaxhimit   të Integruar të  Kufirit  2021–2027  dhe  të  Planit  të Veprimit 2021–2023”, i ndryshuar.</w:t>
            </w:r>
          </w:p>
        </w:tc>
        <w:tc>
          <w:tcPr>
            <w:tcW w:w="315" w:type="pct"/>
            <w:tcBorders>
              <w:top w:val="nil"/>
              <w:left w:val="nil"/>
              <w:bottom w:val="single" w:sz="4" w:space="0" w:color="auto"/>
              <w:right w:val="single" w:sz="4" w:space="0" w:color="auto"/>
            </w:tcBorders>
            <w:shd w:val="clear" w:color="000000" w:fill="FFFFFF"/>
            <w:vAlign w:val="center"/>
            <w:hideMark/>
          </w:tcPr>
          <w:p w14:paraId="10A9250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43FEDE1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239B73B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1DB43A3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Përfundimi i afatit të Planit të Veprimit 2024-2025 dhe nevoja për një Plan të ri Veprimi për periudhën vijuese 2026-2027, në zbatim të Strategjisë Ndërsektoriale të Menaxhimit të Integruar të Kufirit 2021-2027</w:t>
            </w:r>
          </w:p>
        </w:tc>
        <w:tc>
          <w:tcPr>
            <w:tcW w:w="538" w:type="pct"/>
            <w:tcBorders>
              <w:top w:val="nil"/>
              <w:left w:val="nil"/>
              <w:bottom w:val="single" w:sz="4" w:space="0" w:color="auto"/>
              <w:right w:val="single" w:sz="4" w:space="0" w:color="auto"/>
            </w:tcBorders>
            <w:shd w:val="clear" w:color="000000" w:fill="FFFFFF"/>
            <w:vAlign w:val="center"/>
            <w:hideMark/>
          </w:tcPr>
          <w:p w14:paraId="262ACD1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Mbrojtja e sigurisë së brendshme dhe menaxhimi i flukseve migratore, me qëllim parandalimin e migracionit të parregullt, si dhe parandalimin dhe goditjen e krimit ndërkufitar;2. Lehtësimi i qarkullimit legal të shtetasve dhe mallrave;                                              3. Respektimi i plotë i të drejtave themelore, përfshirë trajtimin e çdo individi me respekt të plotë për dinjitetin dhe mundësimin e qasjes në mbrojtjen ndërkombëtare të atyre që kanë nevojë.</w:t>
            </w:r>
          </w:p>
        </w:tc>
        <w:tc>
          <w:tcPr>
            <w:tcW w:w="413" w:type="pct"/>
            <w:tcBorders>
              <w:top w:val="nil"/>
              <w:left w:val="nil"/>
              <w:bottom w:val="single" w:sz="4" w:space="0" w:color="auto"/>
              <w:right w:val="single" w:sz="4" w:space="0" w:color="auto"/>
            </w:tcBorders>
            <w:shd w:val="clear" w:color="000000" w:fill="FFFFFF"/>
            <w:vAlign w:val="center"/>
            <w:hideMark/>
          </w:tcPr>
          <w:p w14:paraId="530AB529"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Mbrojtja e sigurisë së brendshme dhe menaxhimi i flukseve migratore, me qëllim parandalimin e migracionit të parregullt, si dhe parandalimin dhe goditjen e krimit ndërkufitar2. Lehtësimi i qarkullimit legal të shtetasve dhe mallrave; 3. Respektimi i plotë i të drejtave themelore, përfshirë trajtimin e çdo individi me respekt të plotë për dinjitetin dhe mundësimin e qasjes në mbrojtjen ndërkombëtare të atyre që kanë nevojë.</w:t>
            </w:r>
          </w:p>
        </w:tc>
        <w:tc>
          <w:tcPr>
            <w:tcW w:w="443" w:type="pct"/>
            <w:tcBorders>
              <w:top w:val="nil"/>
              <w:left w:val="nil"/>
              <w:bottom w:val="single" w:sz="4" w:space="0" w:color="auto"/>
              <w:right w:val="single" w:sz="4" w:space="0" w:color="auto"/>
            </w:tcBorders>
            <w:shd w:val="clear" w:color="000000" w:fill="FFFFFF"/>
            <w:vAlign w:val="center"/>
            <w:hideMark/>
          </w:tcPr>
          <w:p w14:paraId="5CD4BC8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mbështet Programin Politik të Qeverisë 2025-2029, për një Shqipëri më të sigurtë, institucione të forta, ekonomi konkurruese dhe shoqëri të drejtë, më shumë mundësi dhe siguri për qytetarët.</w:t>
            </w:r>
          </w:p>
        </w:tc>
        <w:tc>
          <w:tcPr>
            <w:tcW w:w="269" w:type="pct"/>
            <w:tcBorders>
              <w:top w:val="nil"/>
              <w:left w:val="nil"/>
              <w:bottom w:val="single" w:sz="4" w:space="0" w:color="auto"/>
              <w:right w:val="single" w:sz="4" w:space="0" w:color="auto"/>
            </w:tcBorders>
            <w:shd w:val="clear" w:color="000000" w:fill="FFFFFF"/>
            <w:vAlign w:val="center"/>
            <w:hideMark/>
          </w:tcPr>
          <w:p w14:paraId="6850C68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DDD1A2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Ndërsektoriale e Menaxhimit të Integruar të Kufirit 2021-2027</w:t>
            </w:r>
          </w:p>
        </w:tc>
        <w:tc>
          <w:tcPr>
            <w:tcW w:w="758" w:type="pct"/>
            <w:tcBorders>
              <w:top w:val="nil"/>
              <w:left w:val="nil"/>
              <w:bottom w:val="single" w:sz="4" w:space="0" w:color="auto"/>
              <w:right w:val="single" w:sz="4" w:space="0" w:color="auto"/>
            </w:tcBorders>
            <w:shd w:val="clear" w:color="000000" w:fill="FFFFFF"/>
            <w:vAlign w:val="center"/>
            <w:hideMark/>
          </w:tcPr>
          <w:p w14:paraId="2642618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Ndikimet e mundshme lidhen me rritjen e sigurisë publike (forcimin e kontrollit të kufirit, rritjen e bashkëpunimit institucional dhe atij ndërkombëtar, uljen e krimit ndërkufitar dhe trafiqeve), lehtësimin e levizjes së qytetarëve, rritjen e besimit tek institucionet etj. </w:t>
            </w:r>
            <w:r w:rsidRPr="00B6793F">
              <w:rPr>
                <w:rFonts w:ascii="Arial" w:eastAsia="Times New Roman" w:hAnsi="Arial" w:cs="Arial"/>
                <w:sz w:val="8"/>
                <w:szCs w:val="8"/>
                <w:lang w:eastAsia="sq-AL"/>
              </w:rPr>
              <w:br/>
              <w:t>Në Planin e ri të Veprimit do të planifikohen kostot finaciare për çdo qëllim politik/objektiv/masë</w:t>
            </w:r>
          </w:p>
        </w:tc>
      </w:tr>
      <w:tr w:rsidR="00C87014" w:rsidRPr="00B6793F" w14:paraId="058045AF"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6FBD28F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18</w:t>
            </w:r>
          </w:p>
        </w:tc>
        <w:tc>
          <w:tcPr>
            <w:tcW w:w="347" w:type="pct"/>
            <w:tcBorders>
              <w:top w:val="nil"/>
              <w:left w:val="nil"/>
              <w:bottom w:val="single" w:sz="4" w:space="0" w:color="auto"/>
              <w:right w:val="single" w:sz="4" w:space="0" w:color="auto"/>
            </w:tcBorders>
            <w:shd w:val="clear" w:color="000000" w:fill="FFFFFF"/>
            <w:vAlign w:val="center"/>
            <w:hideMark/>
          </w:tcPr>
          <w:p w14:paraId="46D8A4DB"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VKM Nr. 894 datë 4.11.2015 "Për unifikimin e procedurave të kontrollit të territorit nga Inspektorati Kombëtar i Mbrojtjes së Territorit dhe ai i njësisë vendore"</w:t>
            </w:r>
          </w:p>
        </w:tc>
        <w:tc>
          <w:tcPr>
            <w:tcW w:w="315" w:type="pct"/>
            <w:tcBorders>
              <w:top w:val="nil"/>
              <w:left w:val="nil"/>
              <w:bottom w:val="single" w:sz="4" w:space="0" w:color="auto"/>
              <w:right w:val="single" w:sz="4" w:space="0" w:color="auto"/>
            </w:tcBorders>
            <w:shd w:val="clear" w:color="000000" w:fill="FFFFFF"/>
            <w:vAlign w:val="center"/>
            <w:hideMark/>
          </w:tcPr>
          <w:p w14:paraId="0039306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2D03179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AACE7D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06468E6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Si rrjedhoje e ndryshimit te Ligjit "Per inspektimin" si dhe Ligjeve sektoriale ne fushen e planifikimit zhvillimit dhe kontrollit te territorit: 107/2014 I ndryshuar, 8402/1998 I ndryshuar, 9780/2007 I ndryshuar.</w:t>
            </w:r>
          </w:p>
        </w:tc>
        <w:tc>
          <w:tcPr>
            <w:tcW w:w="538" w:type="pct"/>
            <w:tcBorders>
              <w:top w:val="nil"/>
              <w:left w:val="nil"/>
              <w:bottom w:val="single" w:sz="4" w:space="0" w:color="auto"/>
              <w:right w:val="single" w:sz="4" w:space="0" w:color="auto"/>
            </w:tcBorders>
            <w:shd w:val="clear" w:color="000000" w:fill="FFFFFF"/>
            <w:vAlign w:val="center"/>
            <w:hideMark/>
          </w:tcPr>
          <w:p w14:paraId="5BD2C05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Si rrjedhoje e ndryshimit te Ligjit "Per inspektimin" si dhe Ligjeve sektoriale ne fushen e planifikimit zhvillimit dhe kontrollit te territorit: 107/2014 I ndryshuar, 8402/1998 I ndryshuar, 9780/2007 I ndryshuar.</w:t>
            </w:r>
          </w:p>
        </w:tc>
        <w:tc>
          <w:tcPr>
            <w:tcW w:w="413" w:type="pct"/>
            <w:tcBorders>
              <w:top w:val="nil"/>
              <w:left w:val="nil"/>
              <w:bottom w:val="single" w:sz="4" w:space="0" w:color="auto"/>
              <w:right w:val="single" w:sz="4" w:space="0" w:color="auto"/>
            </w:tcBorders>
            <w:shd w:val="clear" w:color="000000" w:fill="FFFFFF"/>
            <w:vAlign w:val="center"/>
            <w:hideMark/>
          </w:tcPr>
          <w:p w14:paraId="3F29B42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3DF1213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 Reforma e ndermarre ne fushen e mbrojtjes dhe kontrollit te territorit nga nderhyrjet dhe ndertimet e paligjshme me synim zhvillimin e kontrolluar te territorit ne zbatim te planeve kombetare dhe atyre te detajuara vendore, perben nje nga synimet kryesore te Qeverise, duke pasur parasysh edhe detyrimet qe duhet te permbushe Shqiperia ne kuader te procesit te antaresimit ne Bashkimin Europian . Nga ana tjeter harmonizimi i legjislacionit ne fushen e planifikimit zhvillimit dhe kontrollit te territorit me Ligjin per Inspektimin perben nje nga detyrimet e ketij ligji, ne drejtim te garantimit te transparences, efektivitetit  dhe ligjshmerise gjate procesit te inspektimit</w:t>
            </w:r>
          </w:p>
        </w:tc>
        <w:tc>
          <w:tcPr>
            <w:tcW w:w="269" w:type="pct"/>
            <w:tcBorders>
              <w:top w:val="nil"/>
              <w:left w:val="nil"/>
              <w:bottom w:val="single" w:sz="4" w:space="0" w:color="auto"/>
              <w:right w:val="single" w:sz="4" w:space="0" w:color="auto"/>
            </w:tcBorders>
            <w:shd w:val="clear" w:color="000000" w:fill="FFFFFF"/>
            <w:vAlign w:val="center"/>
            <w:hideMark/>
          </w:tcPr>
          <w:p w14:paraId="669548F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081E5A0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 akt pervec detyrimit per amendim ne zbatim te Ligjit Per inspektimin, lidhet edhe me strategjine per luften ndaj nderhyrjeve te paligjshme dhe zhvillimin e kontrolluar te territorit.</w:t>
            </w:r>
          </w:p>
        </w:tc>
        <w:tc>
          <w:tcPr>
            <w:tcW w:w="758" w:type="pct"/>
            <w:tcBorders>
              <w:top w:val="nil"/>
              <w:left w:val="nil"/>
              <w:bottom w:val="single" w:sz="4" w:space="0" w:color="auto"/>
              <w:right w:val="single" w:sz="4" w:space="0" w:color="auto"/>
            </w:tcBorders>
            <w:shd w:val="clear" w:color="000000" w:fill="FFFFFF"/>
            <w:vAlign w:val="center"/>
            <w:hideMark/>
          </w:tcPr>
          <w:p w14:paraId="0F71380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Nje nga ndryshimet kryesore ne Ligjin per inspektimin si dhe ligjet sektoriale ne fushen e kontrollit, planifikimit dhe zhvillimit te territorit, eshte implementimi dhe perdorimi I teknologjive te avancuara gjate procesit te monitorimit dhe kontrollit te territorit, sic jane perdorimi i imazheve satelitore, gps, droneve si dhe nderlidhja e sistemeve qeveritare per marrjen dhe shkembimin e te dhenave paresore e dytesore, dhe realizimi i inspektimeve elektronike, ndryshime te cilat sjellin ndikime financiare dhe kerkojne investime per realizimin dhe optimizimin e proceseve.</w:t>
            </w:r>
          </w:p>
        </w:tc>
      </w:tr>
      <w:tr w:rsidR="00C87014" w:rsidRPr="00B6793F" w14:paraId="0F056BEB"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24FE00D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19</w:t>
            </w:r>
          </w:p>
        </w:tc>
        <w:tc>
          <w:tcPr>
            <w:tcW w:w="347" w:type="pct"/>
            <w:tcBorders>
              <w:top w:val="nil"/>
              <w:left w:val="nil"/>
              <w:bottom w:val="single" w:sz="4" w:space="0" w:color="auto"/>
              <w:right w:val="single" w:sz="4" w:space="0" w:color="auto"/>
            </w:tcBorders>
            <w:shd w:val="clear" w:color="000000" w:fill="FFFFFF"/>
            <w:vAlign w:val="center"/>
            <w:hideMark/>
          </w:tcPr>
          <w:p w14:paraId="3F72659C"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ngritjen dhe funksionimin e Qendrës Kombëtare të Koordinimit të Integruar të Kufirit</w:t>
            </w:r>
          </w:p>
        </w:tc>
        <w:tc>
          <w:tcPr>
            <w:tcW w:w="315" w:type="pct"/>
            <w:tcBorders>
              <w:top w:val="nil"/>
              <w:left w:val="nil"/>
              <w:bottom w:val="single" w:sz="4" w:space="0" w:color="auto"/>
              <w:right w:val="single" w:sz="4" w:space="0" w:color="auto"/>
            </w:tcBorders>
            <w:shd w:val="clear" w:color="000000" w:fill="FFFFFF"/>
            <w:vAlign w:val="center"/>
            <w:hideMark/>
          </w:tcPr>
          <w:p w14:paraId="22B0EC0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785BF15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7A4712F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13AF5E95"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Ngritja e Qendrës Kombëtare të Koordinimit të Integruar të Kufirit është masë prioritare e planifikuar në Strategjinë Ndërsektoriale të Menaxhimit të Integruar të Kufirit 2021-2027 dhe në Planin e Veprimit 2024-2025, e konceptuar për të përmirësuar koordinimin dhe bashkëpunimin ndërmjet agjencive dhe institucioneve që operojnë  në këtë fushë</w:t>
            </w:r>
          </w:p>
        </w:tc>
        <w:tc>
          <w:tcPr>
            <w:tcW w:w="538" w:type="pct"/>
            <w:tcBorders>
              <w:top w:val="nil"/>
              <w:left w:val="nil"/>
              <w:bottom w:val="single" w:sz="4" w:space="0" w:color="auto"/>
              <w:right w:val="single" w:sz="4" w:space="0" w:color="auto"/>
            </w:tcBorders>
            <w:shd w:val="clear" w:color="000000" w:fill="FFFFFF"/>
            <w:vAlign w:val="center"/>
            <w:hideMark/>
          </w:tcPr>
          <w:p w14:paraId="49CC2D4E"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përcakton modalitet e funksionimit të qendrës si strukturë kombëtare ndërinstitucionale në fushën e menaxhimit të integruar të kufirit, mënyrat e bashkëpunimit, koordinimit ndërinstitucional dhe shkëmbimit të informacionit ndërmjet agjencive vendase dhe atyre partnere rajonale dhe evropiane që operojnë në këtë fushë </w:t>
            </w:r>
          </w:p>
        </w:tc>
        <w:tc>
          <w:tcPr>
            <w:tcW w:w="413" w:type="pct"/>
            <w:tcBorders>
              <w:top w:val="nil"/>
              <w:left w:val="nil"/>
              <w:bottom w:val="single" w:sz="4" w:space="0" w:color="auto"/>
              <w:right w:val="single" w:sz="4" w:space="0" w:color="auto"/>
            </w:tcBorders>
            <w:shd w:val="clear" w:color="000000" w:fill="FFFFFF"/>
            <w:vAlign w:val="center"/>
            <w:hideMark/>
          </w:tcPr>
          <w:p w14:paraId="38F2E580"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595B2302"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mbështet programin politik të qeverisë 2021-2025 për një Shqipëri më të sigurtë</w:t>
            </w:r>
          </w:p>
        </w:tc>
        <w:tc>
          <w:tcPr>
            <w:tcW w:w="269" w:type="pct"/>
            <w:tcBorders>
              <w:top w:val="nil"/>
              <w:left w:val="nil"/>
              <w:bottom w:val="single" w:sz="4" w:space="0" w:color="auto"/>
              <w:right w:val="single" w:sz="4" w:space="0" w:color="auto"/>
            </w:tcBorders>
            <w:shd w:val="clear" w:color="000000" w:fill="FFFFFF"/>
            <w:vAlign w:val="center"/>
            <w:hideMark/>
          </w:tcPr>
          <w:p w14:paraId="185AF6D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4BB89C3"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projektakti është i parashikuar në Strategjinë Ndërsektoriale të Menaxhimit të Integruar të Kufirit 2021-2027 dhe në Planin e Veprimit 2024-2025 </w:t>
            </w:r>
          </w:p>
        </w:tc>
        <w:tc>
          <w:tcPr>
            <w:tcW w:w="758" w:type="pct"/>
            <w:tcBorders>
              <w:top w:val="nil"/>
              <w:left w:val="nil"/>
              <w:bottom w:val="single" w:sz="4" w:space="0" w:color="auto"/>
              <w:right w:val="single" w:sz="4" w:space="0" w:color="auto"/>
            </w:tcBorders>
            <w:shd w:val="clear" w:color="000000" w:fill="FFFFFF"/>
            <w:vAlign w:val="center"/>
            <w:hideMark/>
          </w:tcPr>
          <w:p w14:paraId="59A0F5E0"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Ndikimet financiare për ngritjen dhe funksionimin e Qendrës Kombëtare të Koordinimit të Integruar të Kufirit janë në proces vlerësimi nga strukturat teknike </w:t>
            </w:r>
          </w:p>
        </w:tc>
      </w:tr>
      <w:tr w:rsidR="00C87014" w:rsidRPr="00B6793F" w14:paraId="6616A847"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5E09CC2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20</w:t>
            </w:r>
          </w:p>
        </w:tc>
        <w:tc>
          <w:tcPr>
            <w:tcW w:w="347" w:type="pct"/>
            <w:tcBorders>
              <w:top w:val="nil"/>
              <w:left w:val="nil"/>
              <w:bottom w:val="single" w:sz="4" w:space="0" w:color="auto"/>
              <w:right w:val="single" w:sz="4" w:space="0" w:color="auto"/>
            </w:tcBorders>
            <w:shd w:val="clear" w:color="000000" w:fill="FFFFFF"/>
            <w:vAlign w:val="center"/>
            <w:hideMark/>
          </w:tcPr>
          <w:p w14:paraId="38EA777F"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VKM Nr. 893, datë 4.11.2015 "Për organizimin dhe funksionimin e Inspektoratit Kombëtar të Mbrojtjes së Territorit”</w:t>
            </w:r>
          </w:p>
        </w:tc>
        <w:tc>
          <w:tcPr>
            <w:tcW w:w="315" w:type="pct"/>
            <w:tcBorders>
              <w:top w:val="nil"/>
              <w:left w:val="nil"/>
              <w:bottom w:val="single" w:sz="4" w:space="0" w:color="auto"/>
              <w:right w:val="single" w:sz="4" w:space="0" w:color="auto"/>
            </w:tcBorders>
            <w:shd w:val="clear" w:color="000000" w:fill="FFFFFF"/>
            <w:vAlign w:val="center"/>
            <w:hideMark/>
          </w:tcPr>
          <w:p w14:paraId="15F70FD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42286B2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23A27C4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442" w:type="pct"/>
            <w:tcBorders>
              <w:top w:val="nil"/>
              <w:left w:val="nil"/>
              <w:bottom w:val="single" w:sz="4" w:space="0" w:color="auto"/>
              <w:right w:val="single" w:sz="4" w:space="0" w:color="auto"/>
            </w:tcBorders>
            <w:shd w:val="clear" w:color="000000" w:fill="FFFFFF"/>
            <w:vAlign w:val="center"/>
            <w:hideMark/>
          </w:tcPr>
          <w:p w14:paraId="2B87490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Si rrjedhoje e ndryshimit te Ligjit "Për inspektimin" si dhe Ligjit sektorial ne fushen e kontrollit te territorit  9780/2007 I ndryshuar.</w:t>
            </w:r>
          </w:p>
        </w:tc>
        <w:tc>
          <w:tcPr>
            <w:tcW w:w="538" w:type="pct"/>
            <w:tcBorders>
              <w:top w:val="nil"/>
              <w:left w:val="nil"/>
              <w:bottom w:val="single" w:sz="4" w:space="0" w:color="auto"/>
              <w:right w:val="single" w:sz="4" w:space="0" w:color="auto"/>
            </w:tcBorders>
            <w:shd w:val="clear" w:color="000000" w:fill="FFFFFF"/>
            <w:vAlign w:val="center"/>
            <w:hideMark/>
          </w:tcPr>
          <w:p w14:paraId="0008533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Si rrjedhoje e ndryshimit te Ligjit "Per inspektimin" si dhe Ligjit sektorial ne fushen e kontrollit te territorit  9780/2007 I ndryshuar.</w:t>
            </w:r>
          </w:p>
        </w:tc>
        <w:tc>
          <w:tcPr>
            <w:tcW w:w="413" w:type="pct"/>
            <w:tcBorders>
              <w:top w:val="nil"/>
              <w:left w:val="nil"/>
              <w:bottom w:val="single" w:sz="4" w:space="0" w:color="auto"/>
              <w:right w:val="single" w:sz="4" w:space="0" w:color="auto"/>
            </w:tcBorders>
            <w:shd w:val="clear" w:color="000000" w:fill="FFFFFF"/>
            <w:vAlign w:val="center"/>
            <w:hideMark/>
          </w:tcPr>
          <w:p w14:paraId="5A6DA3D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3B32A1A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 Reforma e ndermarre ne fushen e mbrojtjes dhe kontrollit te territorit nga nderhyrjet dhe ndertimet e paligjshme me synim zhvillimin e kontrolluar te territorit ne zbatim te planeve kombetare dhe atyre te detajuara vendore, perben nje nga synimet kryesore te Qeverise, duke pasur parasysh edhe detyrimet qe duhet te permbushe Shqiperia ne kuader te procesit te antaresimit ne Bashkimin Europian . Nga ana tjeter harmonizimi i legjislacionit ne fushen e planifikimit zhvillimit dhe kontrollit te territorit me Ligjin per Inspektimin perben nje nga detyrimet e ketij ligji, ne drejtim te garantimit te transparences, efektivitetit  dhe ligjshmerise gjate procesit te inspektimit</w:t>
            </w:r>
          </w:p>
        </w:tc>
        <w:tc>
          <w:tcPr>
            <w:tcW w:w="269" w:type="pct"/>
            <w:tcBorders>
              <w:top w:val="nil"/>
              <w:left w:val="nil"/>
              <w:bottom w:val="single" w:sz="4" w:space="0" w:color="auto"/>
              <w:right w:val="single" w:sz="4" w:space="0" w:color="auto"/>
            </w:tcBorders>
            <w:shd w:val="clear" w:color="000000" w:fill="FFFFFF"/>
            <w:vAlign w:val="center"/>
            <w:hideMark/>
          </w:tcPr>
          <w:p w14:paraId="206F8C02"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25AFF7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 akt pervec detyrimit per amendim ne zbatim te Ligjit Per inspektimin, lidhet edhe me strategjine per luften ndaj nderhyrjeve te paligjshme ne mjedis, ujera, pyje dhe zhvillimin e kontrolluar te territorit.</w:t>
            </w:r>
          </w:p>
        </w:tc>
        <w:tc>
          <w:tcPr>
            <w:tcW w:w="758" w:type="pct"/>
            <w:tcBorders>
              <w:top w:val="nil"/>
              <w:left w:val="nil"/>
              <w:bottom w:val="single" w:sz="4" w:space="0" w:color="auto"/>
              <w:right w:val="single" w:sz="4" w:space="0" w:color="auto"/>
            </w:tcBorders>
            <w:shd w:val="clear" w:color="000000" w:fill="FFFFFF"/>
            <w:vAlign w:val="center"/>
            <w:hideMark/>
          </w:tcPr>
          <w:p w14:paraId="28086BA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Nje nga ndryshimet kryesore ne Ligjin per inspektimin si dhe ligjet sektoriale ne fushen e kontrollit, planifikimit dhe zhvillimit te territorit, eshte  shtimi i kompetencave ne fushen e inspekimit ne mjedis dhe pyje duke bere te domosdoshme riogranizimmin dhe shtimin e burimeve njerezore te institucionit, ne perputhje me detyrat e reja qe i ngarkon ligji kuader dhe ai sektorial, ndryshime te cilat sjellin ndikime financiare dhe kerkojne investime per realizimin dhe optimizimin e proceseve.</w:t>
            </w:r>
          </w:p>
        </w:tc>
      </w:tr>
      <w:tr w:rsidR="00C87014" w:rsidRPr="00B6793F" w14:paraId="554ABF5F"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0E4297F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21</w:t>
            </w:r>
          </w:p>
        </w:tc>
        <w:tc>
          <w:tcPr>
            <w:tcW w:w="347" w:type="pct"/>
            <w:tcBorders>
              <w:top w:val="nil"/>
              <w:left w:val="nil"/>
              <w:bottom w:val="single" w:sz="4" w:space="0" w:color="auto"/>
              <w:right w:val="single" w:sz="4" w:space="0" w:color="auto"/>
            </w:tcBorders>
            <w:shd w:val="clear" w:color="000000" w:fill="FFFFFF"/>
            <w:vAlign w:val="center"/>
            <w:hideMark/>
          </w:tcPr>
          <w:p w14:paraId="2BCDA9D7"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nr.152/2015 "Për Shërbimin e mbrojtjes nga zjarri dhe shpëtimin" i ndryshuar</w:t>
            </w:r>
          </w:p>
        </w:tc>
        <w:tc>
          <w:tcPr>
            <w:tcW w:w="315" w:type="pct"/>
            <w:tcBorders>
              <w:top w:val="nil"/>
              <w:left w:val="nil"/>
              <w:bottom w:val="single" w:sz="4" w:space="0" w:color="auto"/>
              <w:right w:val="single" w:sz="4" w:space="0" w:color="auto"/>
            </w:tcBorders>
            <w:shd w:val="clear" w:color="000000" w:fill="FFFFFF"/>
            <w:vAlign w:val="center"/>
            <w:hideMark/>
          </w:tcPr>
          <w:p w14:paraId="0BF96A4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273" w:type="pct"/>
            <w:tcBorders>
              <w:top w:val="nil"/>
              <w:left w:val="nil"/>
              <w:bottom w:val="single" w:sz="4" w:space="0" w:color="auto"/>
              <w:right w:val="single" w:sz="4" w:space="0" w:color="auto"/>
            </w:tcBorders>
            <w:shd w:val="clear" w:color="000000" w:fill="FFFFFF"/>
            <w:vAlign w:val="center"/>
            <w:hideMark/>
          </w:tcPr>
          <w:p w14:paraId="7A6F2970"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1595B35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442" w:type="pct"/>
            <w:tcBorders>
              <w:top w:val="nil"/>
              <w:left w:val="nil"/>
              <w:bottom w:val="single" w:sz="4" w:space="0" w:color="auto"/>
              <w:right w:val="single" w:sz="4" w:space="0" w:color="auto"/>
            </w:tcBorders>
            <w:shd w:val="clear" w:color="000000" w:fill="FFFFFF"/>
            <w:vAlign w:val="center"/>
            <w:hideMark/>
          </w:tcPr>
          <w:p w14:paraId="2B0EAC10"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projektligj ka për qëllim përmirësimin e ligjit nr.152/2015 “Për Shërbimin e Mbrojtjes nga Zjarri dhe Shpëtimin”, duke plotësuar disa mangësi që janë evidentuar, gjatë zbatimit të tij.</w:t>
            </w:r>
          </w:p>
        </w:tc>
        <w:tc>
          <w:tcPr>
            <w:tcW w:w="538" w:type="pct"/>
            <w:tcBorders>
              <w:top w:val="nil"/>
              <w:left w:val="nil"/>
              <w:bottom w:val="single" w:sz="4" w:space="0" w:color="auto"/>
              <w:right w:val="single" w:sz="4" w:space="0" w:color="auto"/>
            </w:tcBorders>
            <w:shd w:val="clear" w:color="000000" w:fill="FFFFFF"/>
            <w:vAlign w:val="center"/>
            <w:hideMark/>
          </w:tcPr>
          <w:p w14:paraId="6CEB9AE8"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Ndryshimet e pritshme të ligjit nr.152/2015 synojnë të arrijnë objektivat për një menaxhim sa më të suksesshëm të burimeve njerëzore në strukturën e shërbimit të MZSH-së, si dhe vlerësohet se duhet të zhvillohen e përmirësohen duke u përqendruar në objektiva kryesorë te pasqyruara në projekt.</w:t>
            </w:r>
          </w:p>
        </w:tc>
        <w:tc>
          <w:tcPr>
            <w:tcW w:w="413" w:type="pct"/>
            <w:tcBorders>
              <w:top w:val="nil"/>
              <w:left w:val="nil"/>
              <w:bottom w:val="single" w:sz="4" w:space="0" w:color="auto"/>
              <w:right w:val="single" w:sz="4" w:space="0" w:color="auto"/>
            </w:tcBorders>
            <w:shd w:val="clear" w:color="000000" w:fill="FFFFFF"/>
            <w:vAlign w:val="center"/>
            <w:hideMark/>
          </w:tcPr>
          <w:p w14:paraId="25A29FDB"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ADB6BD9"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w:t>
            </w:r>
          </w:p>
        </w:tc>
        <w:tc>
          <w:tcPr>
            <w:tcW w:w="269" w:type="pct"/>
            <w:tcBorders>
              <w:top w:val="nil"/>
              <w:left w:val="nil"/>
              <w:bottom w:val="single" w:sz="4" w:space="0" w:color="auto"/>
              <w:right w:val="single" w:sz="4" w:space="0" w:color="auto"/>
            </w:tcBorders>
            <w:shd w:val="clear" w:color="000000" w:fill="FFFFFF"/>
            <w:vAlign w:val="center"/>
            <w:hideMark/>
          </w:tcPr>
          <w:p w14:paraId="7EC5551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35F78AD"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30A56CC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C87014" w:rsidRPr="00B6793F" w14:paraId="754CA20A"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2F9C786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22</w:t>
            </w:r>
          </w:p>
        </w:tc>
        <w:tc>
          <w:tcPr>
            <w:tcW w:w="347" w:type="pct"/>
            <w:tcBorders>
              <w:top w:val="nil"/>
              <w:left w:val="nil"/>
              <w:bottom w:val="single" w:sz="4" w:space="0" w:color="auto"/>
              <w:right w:val="single" w:sz="4" w:space="0" w:color="auto"/>
            </w:tcBorders>
            <w:shd w:val="clear" w:color="000000" w:fill="FFFFFF"/>
            <w:vAlign w:val="center"/>
            <w:hideMark/>
          </w:tcPr>
          <w:p w14:paraId="20C2E50D"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miratimin e Strategjisë Kombëtare për Luftën kundër Trafikimit të Personave dhe Planit të Veprimit"</w:t>
            </w:r>
          </w:p>
        </w:tc>
        <w:tc>
          <w:tcPr>
            <w:tcW w:w="315" w:type="pct"/>
            <w:tcBorders>
              <w:top w:val="nil"/>
              <w:left w:val="nil"/>
              <w:bottom w:val="single" w:sz="4" w:space="0" w:color="auto"/>
              <w:right w:val="single" w:sz="4" w:space="0" w:color="auto"/>
            </w:tcBorders>
            <w:shd w:val="clear" w:color="000000" w:fill="FFFFFF"/>
            <w:vAlign w:val="center"/>
            <w:hideMark/>
          </w:tcPr>
          <w:p w14:paraId="6FD9E5F5"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1557D7B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65FBA77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442" w:type="pct"/>
            <w:tcBorders>
              <w:top w:val="nil"/>
              <w:left w:val="nil"/>
              <w:bottom w:val="single" w:sz="4" w:space="0" w:color="auto"/>
              <w:right w:val="single" w:sz="4" w:space="0" w:color="auto"/>
            </w:tcBorders>
            <w:shd w:val="clear" w:color="000000" w:fill="FFFFFF"/>
            <w:vAlign w:val="center"/>
            <w:hideMark/>
          </w:tcPr>
          <w:p w14:paraId="0253DF6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kuadër të anëtarësimit në BE, Shqipëria ka marrë angazhimin të forcojë më tej mbrojtjen e të drejtave të njeriut, të luftojë në mënyrë të pandalshme kriminalitetin dhe, veçanërisht, të japë një përgjigje të fortë, të organizuar dhe të ndjeshme kundër trafikimit të qenieve njerëzore.   Në këtë drejtim, miratimi i një Strategjie Kombëtare të dedikuar për Luftën kundër Trafikimit të Personave  nuk është thjesht një veprim teknik, por </w:t>
            </w:r>
            <w:r w:rsidRPr="00B6793F">
              <w:rPr>
                <w:rFonts w:ascii="Arial" w:eastAsia="Times New Roman" w:hAnsi="Arial" w:cs="Arial"/>
                <w:sz w:val="8"/>
                <w:szCs w:val="8"/>
                <w:lang w:eastAsia="sq-AL"/>
              </w:rPr>
              <w:lastRenderedPageBreak/>
              <w:t>është një domosdoshmëri politike dhe shtetërore,  është një dëshmi konkrete e vullnetit për të ndërtuar një Shqipëri që respekton dhe mbron dinjitetin njerëzor, një Shqipëri që ecën krah për krah me familjen evropiane të shteteve demokratike.</w:t>
            </w:r>
          </w:p>
        </w:tc>
        <w:tc>
          <w:tcPr>
            <w:tcW w:w="538" w:type="pct"/>
            <w:tcBorders>
              <w:top w:val="nil"/>
              <w:left w:val="nil"/>
              <w:bottom w:val="single" w:sz="4" w:space="0" w:color="auto"/>
              <w:right w:val="single" w:sz="4" w:space="0" w:color="auto"/>
            </w:tcBorders>
            <w:shd w:val="clear" w:color="000000" w:fill="FFFFFF"/>
            <w:vAlign w:val="center"/>
            <w:hideMark/>
          </w:tcPr>
          <w:p w14:paraId="66AEA9EA"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 xml:space="preserve">Parandalimin e trafikimit të qenieve njerëzore, ku asnjë individ, veçanërisht gratë, fëmijët dhe grupet vulnerabël, të mos jenë të ekspozuar ndaj trafikimit të qenieve njerëzore;Mbrojtjen e viktimave të jetë parësore;   Ndëshkimin e autorëve dhe shpërbërjen e rrjeteve kriminale; Krijimin e një strukturë të koordinimit kombëtar kundër trafikimit, të përcaktuar qartë me bazë ligjore, e pajisur me burime të mjaftueshme;Ngritjen e një mekanizmi të pavarur monitorimi dhe raportimi, që do të vlerësojë pavarësisht zbatimin dhe impaktin e </w:t>
            </w:r>
            <w:r w:rsidRPr="00B6793F">
              <w:rPr>
                <w:rFonts w:ascii="Arial" w:eastAsia="Times New Roman" w:hAnsi="Arial" w:cs="Arial"/>
                <w:sz w:val="8"/>
                <w:szCs w:val="8"/>
                <w:lang w:eastAsia="sq-AL"/>
              </w:rPr>
              <w:lastRenderedPageBreak/>
              <w:t xml:space="preserve">masave; Krijimin e një sistem të unifikuar kombëtar për mbledhjen dhe administrimin e të dhënave për viktimat dhe viktimat e mundshme të trafikimit, që garanton si konfidencialitetin, ashtu edhe përdorimin e duhur të të dhënave për ndërtimin e politikave publike; Përafrimin me acquis communitaire </w:t>
            </w:r>
          </w:p>
        </w:tc>
        <w:tc>
          <w:tcPr>
            <w:tcW w:w="413" w:type="pct"/>
            <w:tcBorders>
              <w:top w:val="nil"/>
              <w:left w:val="nil"/>
              <w:bottom w:val="single" w:sz="4" w:space="0" w:color="auto"/>
              <w:right w:val="single" w:sz="4" w:space="0" w:color="auto"/>
            </w:tcBorders>
            <w:shd w:val="clear" w:color="000000" w:fill="FFFFFF"/>
            <w:vAlign w:val="center"/>
            <w:hideMark/>
          </w:tcPr>
          <w:p w14:paraId="55B96FFE"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Jo</w:t>
            </w:r>
          </w:p>
        </w:tc>
        <w:tc>
          <w:tcPr>
            <w:tcW w:w="443" w:type="pct"/>
            <w:tcBorders>
              <w:top w:val="nil"/>
              <w:left w:val="nil"/>
              <w:bottom w:val="single" w:sz="4" w:space="0" w:color="auto"/>
              <w:right w:val="single" w:sz="4" w:space="0" w:color="auto"/>
            </w:tcBorders>
            <w:shd w:val="clear" w:color="000000" w:fill="FFFFFF"/>
            <w:vAlign w:val="center"/>
            <w:hideMark/>
          </w:tcPr>
          <w:p w14:paraId="460A490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SHQIPËRIA E SIGURTË </w:t>
            </w:r>
            <w:r w:rsidRPr="00B6793F">
              <w:rPr>
                <w:rFonts w:ascii="Arial" w:eastAsia="Times New Roman" w:hAnsi="Arial" w:cs="Arial"/>
                <w:sz w:val="8"/>
                <w:szCs w:val="8"/>
                <w:lang w:eastAsia="sq-AL"/>
              </w:rPr>
              <w:br/>
              <w:t xml:space="preserve"> Ashpërsojmë betejën në luftën kundër krimit në përgjithësi dhe krimit të organizuar në veçanti, në hetimin dhe ndjekjen e aseteve dhe pasurive të paligjshme të lidhura me krimin, duke rritur kapacitetet e strukturave dhe duke filluar punën brenda shtatorit 2021 për miratimin e Kodit të ri Penal.</w:t>
            </w:r>
          </w:p>
        </w:tc>
        <w:tc>
          <w:tcPr>
            <w:tcW w:w="269" w:type="pct"/>
            <w:tcBorders>
              <w:top w:val="nil"/>
              <w:left w:val="nil"/>
              <w:bottom w:val="single" w:sz="4" w:space="0" w:color="auto"/>
              <w:right w:val="single" w:sz="4" w:space="0" w:color="auto"/>
            </w:tcBorders>
            <w:shd w:val="clear" w:color="000000" w:fill="FFFFFF"/>
            <w:vAlign w:val="center"/>
            <w:hideMark/>
          </w:tcPr>
          <w:p w14:paraId="13A05EA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0A5BB643"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8" w:type="pct"/>
            <w:tcBorders>
              <w:top w:val="nil"/>
              <w:left w:val="nil"/>
              <w:bottom w:val="single" w:sz="4" w:space="0" w:color="auto"/>
              <w:right w:val="single" w:sz="4" w:space="0" w:color="auto"/>
            </w:tcBorders>
            <w:shd w:val="clear" w:color="000000" w:fill="FFFFFF"/>
            <w:vAlign w:val="center"/>
            <w:hideMark/>
          </w:tcPr>
          <w:p w14:paraId="7B6BE56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C87014" w:rsidRPr="00B6793F" w14:paraId="7AD03B1B" w14:textId="77777777" w:rsidTr="00F930D8">
        <w:trPr>
          <w:trHeight w:val="180"/>
          <w:jc w:val="center"/>
        </w:trPr>
        <w:tc>
          <w:tcPr>
            <w:tcW w:w="142" w:type="pct"/>
            <w:tcBorders>
              <w:top w:val="nil"/>
              <w:left w:val="single" w:sz="4" w:space="0" w:color="auto"/>
              <w:bottom w:val="single" w:sz="4" w:space="0" w:color="auto"/>
              <w:right w:val="single" w:sz="4" w:space="0" w:color="auto"/>
            </w:tcBorders>
            <w:shd w:val="clear" w:color="000000" w:fill="FFFFFF"/>
            <w:vAlign w:val="center"/>
            <w:hideMark/>
          </w:tcPr>
          <w:p w14:paraId="17F1632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23</w:t>
            </w:r>
          </w:p>
        </w:tc>
        <w:tc>
          <w:tcPr>
            <w:tcW w:w="347" w:type="pct"/>
            <w:tcBorders>
              <w:top w:val="nil"/>
              <w:left w:val="nil"/>
              <w:bottom w:val="single" w:sz="4" w:space="0" w:color="auto"/>
              <w:right w:val="single" w:sz="4" w:space="0" w:color="auto"/>
            </w:tcBorders>
            <w:shd w:val="clear" w:color="000000" w:fill="FFFFFF"/>
            <w:vAlign w:val="center"/>
            <w:hideMark/>
          </w:tcPr>
          <w:p w14:paraId="2274A874"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miratimin e Strategjisë Kombëtare të Parandalimit të  Ekstremizmit të Dhunshëm dhe Luftës kundër Terrorizmit 2026 – 2031 dhe të Planeve të saj të Veprimit 2026-2028”</w:t>
            </w:r>
          </w:p>
        </w:tc>
        <w:tc>
          <w:tcPr>
            <w:tcW w:w="315" w:type="pct"/>
            <w:tcBorders>
              <w:top w:val="nil"/>
              <w:left w:val="nil"/>
              <w:bottom w:val="single" w:sz="4" w:space="0" w:color="auto"/>
              <w:right w:val="single" w:sz="4" w:space="0" w:color="auto"/>
            </w:tcBorders>
            <w:shd w:val="clear" w:color="000000" w:fill="FFFFFF"/>
            <w:noWrap/>
            <w:vAlign w:val="center"/>
            <w:hideMark/>
          </w:tcPr>
          <w:p w14:paraId="706F3E35" w14:textId="77777777" w:rsidR="00C87014" w:rsidRPr="00B6793F" w:rsidRDefault="00C87014" w:rsidP="00C8701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273" w:type="pct"/>
            <w:tcBorders>
              <w:top w:val="nil"/>
              <w:left w:val="nil"/>
              <w:bottom w:val="single" w:sz="4" w:space="0" w:color="auto"/>
              <w:right w:val="single" w:sz="4" w:space="0" w:color="auto"/>
            </w:tcBorders>
            <w:shd w:val="clear" w:color="000000" w:fill="FFFFFF"/>
            <w:vAlign w:val="center"/>
            <w:hideMark/>
          </w:tcPr>
          <w:p w14:paraId="76B26FC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Punëve të Brendshme</w:t>
            </w:r>
          </w:p>
        </w:tc>
        <w:tc>
          <w:tcPr>
            <w:tcW w:w="290" w:type="pct"/>
            <w:tcBorders>
              <w:top w:val="nil"/>
              <w:left w:val="nil"/>
              <w:bottom w:val="single" w:sz="4" w:space="0" w:color="auto"/>
              <w:right w:val="single" w:sz="4" w:space="0" w:color="auto"/>
            </w:tcBorders>
            <w:shd w:val="clear" w:color="000000" w:fill="FFFFFF"/>
            <w:vAlign w:val="center"/>
            <w:hideMark/>
          </w:tcPr>
          <w:p w14:paraId="3678627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442" w:type="pct"/>
            <w:tcBorders>
              <w:top w:val="nil"/>
              <w:left w:val="nil"/>
              <w:bottom w:val="single" w:sz="4" w:space="0" w:color="auto"/>
              <w:right w:val="single" w:sz="4" w:space="0" w:color="auto"/>
            </w:tcBorders>
            <w:shd w:val="clear" w:color="000000" w:fill="FFFFFF"/>
            <w:vAlign w:val="center"/>
            <w:hideMark/>
          </w:tcPr>
          <w:p w14:paraId="436567D6"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Përcaktimi i kuadrit strategjik kombëtar për parandalimin e ekstremizmit të dhunshëm dhe luftën kundër terrorizmit, vizionit afatmesëm (2026–2031), qëllimeve të politikave dhe objektivave specifikë për krijimin e një shoqërie pa kërcënime terroriste, me imazhin e një vendi të sigurt dhe me standarde evropiane të respektimit të të drejtave dhe lirive themelore të njeriut.</w:t>
            </w:r>
          </w:p>
        </w:tc>
        <w:tc>
          <w:tcPr>
            <w:tcW w:w="538" w:type="pct"/>
            <w:tcBorders>
              <w:top w:val="nil"/>
              <w:left w:val="nil"/>
              <w:bottom w:val="single" w:sz="4" w:space="0" w:color="auto"/>
              <w:right w:val="single" w:sz="4" w:space="0" w:color="auto"/>
            </w:tcBorders>
            <w:shd w:val="clear" w:color="000000" w:fill="FFFFFF"/>
            <w:vAlign w:val="center"/>
            <w:hideMark/>
          </w:tcPr>
          <w:p w14:paraId="244D4DF7"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 stategjia kundër terrorizmit 2026–2031 do të rregullojë në mënyrë të integruar të gjitha aspektet që lidhen me parandalimin, zbulimin, mbrojtjen, reagimin nga aktet terroriste, mbrojtjen e infrastrukturë kritike duke siguruar bashkërendim ndërinstitucional dhe përputhje me standardet ndërkombëtare. Gjithashtu synohet rikthimi, rehabilitimi dhe riintegrimi i individëve të përfshirë apo të ndikuar nga terrorizmi dhe radikalizimi i dhunshëm, përmes programeve gjithëpërfshirëse të parandalimit dhe riintegrimit në shoqëri.</w:t>
            </w:r>
            <w:r w:rsidRPr="00B6793F">
              <w:rPr>
                <w:rFonts w:ascii="Arial" w:eastAsia="Times New Roman" w:hAnsi="Arial" w:cs="Arial"/>
                <w:sz w:val="8"/>
                <w:szCs w:val="8"/>
                <w:lang w:eastAsia="sq-AL"/>
              </w:rPr>
              <w:br/>
              <w:t xml:space="preserve">Më specifikisht: </w:t>
            </w:r>
            <w:r w:rsidRPr="00B6793F">
              <w:rPr>
                <w:rFonts w:ascii="Arial" w:eastAsia="Times New Roman" w:hAnsi="Arial" w:cs="Arial"/>
                <w:sz w:val="8"/>
                <w:szCs w:val="8"/>
                <w:lang w:eastAsia="sq-AL"/>
              </w:rPr>
              <w:br/>
              <w:t>•Parandalimi i terrorizmit dhe radikalizimit në internet;</w:t>
            </w:r>
            <w:r w:rsidRPr="00B6793F">
              <w:rPr>
                <w:rFonts w:ascii="Arial" w:eastAsia="Times New Roman" w:hAnsi="Arial" w:cs="Arial"/>
                <w:sz w:val="8"/>
                <w:szCs w:val="8"/>
                <w:lang w:eastAsia="sq-AL"/>
              </w:rPr>
              <w:br/>
              <w:t>•Analiza dhe vlerësimi i faktorëve të radikalizimit;</w:t>
            </w:r>
            <w:r w:rsidRPr="00B6793F">
              <w:rPr>
                <w:rFonts w:ascii="Arial" w:eastAsia="Times New Roman" w:hAnsi="Arial" w:cs="Arial"/>
                <w:sz w:val="8"/>
                <w:szCs w:val="8"/>
                <w:lang w:eastAsia="sq-AL"/>
              </w:rPr>
              <w:br/>
              <w:t>•Forcimi i bashkëpunimit ndërkombëtar dhe ndërinstitucional;</w:t>
            </w:r>
            <w:r w:rsidRPr="00B6793F">
              <w:rPr>
                <w:rFonts w:ascii="Arial" w:eastAsia="Times New Roman" w:hAnsi="Arial" w:cs="Arial"/>
                <w:sz w:val="8"/>
                <w:szCs w:val="8"/>
                <w:lang w:eastAsia="sq-AL"/>
              </w:rPr>
              <w:br/>
              <w:t>•Lufta kundër financimit të terrorizmit;</w:t>
            </w:r>
            <w:r w:rsidRPr="00B6793F">
              <w:rPr>
                <w:rFonts w:ascii="Arial" w:eastAsia="Times New Roman" w:hAnsi="Arial" w:cs="Arial"/>
                <w:sz w:val="8"/>
                <w:szCs w:val="8"/>
                <w:lang w:eastAsia="sq-AL"/>
              </w:rPr>
              <w:br/>
              <w:t xml:space="preserve">•Konsolidimi i kapaciteteve institucionale. </w:t>
            </w:r>
          </w:p>
        </w:tc>
        <w:tc>
          <w:tcPr>
            <w:tcW w:w="413" w:type="pct"/>
            <w:tcBorders>
              <w:top w:val="nil"/>
              <w:left w:val="nil"/>
              <w:bottom w:val="single" w:sz="4" w:space="0" w:color="auto"/>
              <w:right w:val="single" w:sz="4" w:space="0" w:color="auto"/>
            </w:tcBorders>
            <w:shd w:val="clear" w:color="000000" w:fill="FFFFFF"/>
            <w:vAlign w:val="center"/>
            <w:hideMark/>
          </w:tcPr>
          <w:p w14:paraId="44B4D2AC"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43" w:type="pct"/>
            <w:tcBorders>
              <w:top w:val="nil"/>
              <w:left w:val="nil"/>
              <w:bottom w:val="single" w:sz="4" w:space="0" w:color="auto"/>
              <w:right w:val="single" w:sz="4" w:space="0" w:color="auto"/>
            </w:tcBorders>
            <w:shd w:val="clear" w:color="000000" w:fill="FFFFFF"/>
            <w:vAlign w:val="center"/>
            <w:hideMark/>
          </w:tcPr>
          <w:p w14:paraId="6802F76F"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shtylla "Shqipëria e fortë", fusha "Shqipëria e Sigurtë" dhe me programin qeverisës "Shqipëria 2030".</w:t>
            </w:r>
          </w:p>
        </w:tc>
        <w:tc>
          <w:tcPr>
            <w:tcW w:w="269" w:type="pct"/>
            <w:tcBorders>
              <w:top w:val="nil"/>
              <w:left w:val="nil"/>
              <w:bottom w:val="single" w:sz="4" w:space="0" w:color="auto"/>
              <w:right w:val="single" w:sz="4" w:space="0" w:color="auto"/>
            </w:tcBorders>
            <w:shd w:val="clear" w:color="000000" w:fill="FFFFFF"/>
            <w:vAlign w:val="center"/>
            <w:hideMark/>
          </w:tcPr>
          <w:p w14:paraId="54DB4D31"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68" w:type="pct"/>
            <w:tcBorders>
              <w:top w:val="nil"/>
              <w:left w:val="nil"/>
              <w:bottom w:val="single" w:sz="4" w:space="0" w:color="auto"/>
              <w:right w:val="single" w:sz="4" w:space="0" w:color="auto"/>
            </w:tcBorders>
            <w:shd w:val="clear" w:color="000000" w:fill="FFFFFF"/>
            <w:vAlign w:val="center"/>
            <w:hideMark/>
          </w:tcPr>
          <w:p w14:paraId="7C2D31E8"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Kombëtare e Sigurisë 2021–2030; •Strategjia Kombëtare për Zhvillim dhe Integrim Evropian (SKZHIE) 2022-2030; •Strategjia Kombëtare për Sigurinë Kibernetike dhe Plani i  Veprimit 2020–2025;</w:t>
            </w:r>
          </w:p>
        </w:tc>
        <w:tc>
          <w:tcPr>
            <w:tcW w:w="758" w:type="pct"/>
            <w:tcBorders>
              <w:top w:val="nil"/>
              <w:left w:val="nil"/>
              <w:bottom w:val="single" w:sz="4" w:space="0" w:color="auto"/>
              <w:right w:val="single" w:sz="4" w:space="0" w:color="auto"/>
            </w:tcBorders>
            <w:shd w:val="clear" w:color="000000" w:fill="FFFFFF"/>
            <w:vAlign w:val="center"/>
            <w:hideMark/>
          </w:tcPr>
          <w:p w14:paraId="6CE07AB4" w14:textId="77777777" w:rsidR="00C87014" w:rsidRPr="00B6793F" w:rsidRDefault="00C87014" w:rsidP="00C8701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bl>
    <w:p w14:paraId="446D2CC1" w14:textId="2B5ABB36" w:rsidR="00C87014" w:rsidRPr="00B6793F" w:rsidRDefault="00C87014" w:rsidP="00AC5BDD">
      <w:pPr>
        <w:spacing w:after="0" w:line="240" w:lineRule="auto"/>
        <w:ind w:firstLine="284"/>
        <w:jc w:val="center"/>
        <w:rPr>
          <w:rFonts w:ascii="Garamond" w:hAnsi="Garamond"/>
          <w:b/>
          <w:sz w:val="24"/>
        </w:rPr>
      </w:pPr>
    </w:p>
    <w:p w14:paraId="52CCCAF3" w14:textId="1DE93CD7" w:rsidR="00C87014" w:rsidRPr="00B6793F" w:rsidRDefault="00C87014" w:rsidP="00AC5BDD">
      <w:pPr>
        <w:spacing w:after="0" w:line="240" w:lineRule="auto"/>
        <w:ind w:firstLine="284"/>
        <w:jc w:val="center"/>
        <w:rPr>
          <w:rFonts w:ascii="Garamond" w:hAnsi="Garamond"/>
          <w:b/>
          <w:sz w:val="24"/>
        </w:rPr>
      </w:pPr>
    </w:p>
    <w:p w14:paraId="17CFB749" w14:textId="16B72152" w:rsidR="00B219B3" w:rsidRPr="00B6793F" w:rsidRDefault="00B219B3" w:rsidP="00AC5BDD">
      <w:pPr>
        <w:spacing w:after="0" w:line="240" w:lineRule="auto"/>
        <w:ind w:firstLine="284"/>
        <w:jc w:val="center"/>
        <w:rPr>
          <w:rFonts w:ascii="Garamond" w:hAnsi="Garamond"/>
          <w:b/>
          <w:sz w:val="24"/>
        </w:rPr>
      </w:pPr>
    </w:p>
    <w:p w14:paraId="0A860A4E" w14:textId="5345F8B3" w:rsidR="00B219B3" w:rsidRPr="00B6793F" w:rsidRDefault="00B219B3" w:rsidP="00AC5BDD">
      <w:pPr>
        <w:spacing w:after="0" w:line="240" w:lineRule="auto"/>
        <w:ind w:firstLine="284"/>
        <w:jc w:val="center"/>
        <w:rPr>
          <w:rFonts w:ascii="Garamond" w:hAnsi="Garamond"/>
          <w:b/>
          <w:sz w:val="24"/>
        </w:rPr>
      </w:pPr>
    </w:p>
    <w:p w14:paraId="3E62C4DE" w14:textId="6E274A51" w:rsidR="00B219B3" w:rsidRPr="00B6793F" w:rsidRDefault="00B219B3" w:rsidP="00AC5BDD">
      <w:pPr>
        <w:spacing w:after="0" w:line="240" w:lineRule="auto"/>
        <w:ind w:firstLine="284"/>
        <w:jc w:val="center"/>
        <w:rPr>
          <w:rFonts w:ascii="Garamond" w:hAnsi="Garamond"/>
          <w:b/>
          <w:sz w:val="24"/>
        </w:rPr>
      </w:pPr>
    </w:p>
    <w:p w14:paraId="745B052D" w14:textId="62E28402" w:rsidR="00B219B3" w:rsidRPr="00B6793F" w:rsidRDefault="00B219B3" w:rsidP="00AC5BDD">
      <w:pPr>
        <w:spacing w:after="0" w:line="240" w:lineRule="auto"/>
        <w:ind w:firstLine="284"/>
        <w:jc w:val="center"/>
        <w:rPr>
          <w:rFonts w:ascii="Garamond" w:hAnsi="Garamond"/>
          <w:b/>
          <w:sz w:val="24"/>
        </w:rPr>
      </w:pPr>
    </w:p>
    <w:p w14:paraId="26EF39E3" w14:textId="428C884A" w:rsidR="00B219B3" w:rsidRPr="00B6793F" w:rsidRDefault="00B219B3" w:rsidP="00AC5BDD">
      <w:pPr>
        <w:spacing w:after="0" w:line="240" w:lineRule="auto"/>
        <w:ind w:firstLine="284"/>
        <w:jc w:val="center"/>
        <w:rPr>
          <w:rFonts w:ascii="Garamond" w:hAnsi="Garamond"/>
          <w:b/>
          <w:sz w:val="24"/>
        </w:rPr>
      </w:pPr>
    </w:p>
    <w:p w14:paraId="24555C05" w14:textId="79B7FD2F" w:rsidR="00B219B3" w:rsidRPr="00B6793F" w:rsidRDefault="00B219B3" w:rsidP="00AC5BDD">
      <w:pPr>
        <w:spacing w:after="0" w:line="240" w:lineRule="auto"/>
        <w:ind w:firstLine="284"/>
        <w:jc w:val="center"/>
        <w:rPr>
          <w:rFonts w:ascii="Garamond" w:hAnsi="Garamond"/>
          <w:b/>
          <w:sz w:val="24"/>
        </w:rPr>
      </w:pPr>
    </w:p>
    <w:p w14:paraId="2278FE52" w14:textId="16C14837" w:rsidR="00B219B3" w:rsidRPr="00B6793F" w:rsidRDefault="00B219B3" w:rsidP="00AC5BDD">
      <w:pPr>
        <w:spacing w:after="0" w:line="240" w:lineRule="auto"/>
        <w:ind w:firstLine="284"/>
        <w:jc w:val="center"/>
        <w:rPr>
          <w:rFonts w:ascii="Garamond" w:hAnsi="Garamond"/>
          <w:b/>
          <w:sz w:val="24"/>
        </w:rPr>
      </w:pPr>
    </w:p>
    <w:p w14:paraId="0FFC10D8" w14:textId="541EDE0C" w:rsidR="00B219B3" w:rsidRPr="00B6793F" w:rsidRDefault="00B219B3" w:rsidP="00AC5BDD">
      <w:pPr>
        <w:spacing w:after="0" w:line="240" w:lineRule="auto"/>
        <w:ind w:firstLine="284"/>
        <w:jc w:val="center"/>
        <w:rPr>
          <w:rFonts w:ascii="Garamond" w:hAnsi="Garamond"/>
          <w:b/>
          <w:sz w:val="24"/>
        </w:rPr>
      </w:pPr>
    </w:p>
    <w:p w14:paraId="3F395950" w14:textId="16241B92" w:rsidR="00B219B3" w:rsidRPr="00B6793F" w:rsidRDefault="00B219B3" w:rsidP="00AC5BDD">
      <w:pPr>
        <w:spacing w:after="0" w:line="240" w:lineRule="auto"/>
        <w:ind w:firstLine="284"/>
        <w:jc w:val="center"/>
        <w:rPr>
          <w:rFonts w:ascii="Garamond" w:hAnsi="Garamond"/>
          <w:b/>
          <w:sz w:val="24"/>
        </w:rPr>
      </w:pPr>
    </w:p>
    <w:p w14:paraId="02426AC9" w14:textId="49076415" w:rsidR="00B219B3" w:rsidRPr="00B6793F" w:rsidRDefault="00B219B3" w:rsidP="00AC5BDD">
      <w:pPr>
        <w:spacing w:after="0" w:line="240" w:lineRule="auto"/>
        <w:ind w:firstLine="284"/>
        <w:jc w:val="center"/>
        <w:rPr>
          <w:rFonts w:ascii="Garamond" w:hAnsi="Garamond"/>
          <w:b/>
          <w:sz w:val="24"/>
        </w:rPr>
      </w:pPr>
    </w:p>
    <w:p w14:paraId="3B9742E9" w14:textId="34EEC7DA" w:rsidR="00B219B3" w:rsidRPr="00B6793F" w:rsidRDefault="00B219B3" w:rsidP="00AC5BDD">
      <w:pPr>
        <w:spacing w:after="0" w:line="240" w:lineRule="auto"/>
        <w:ind w:firstLine="284"/>
        <w:jc w:val="center"/>
        <w:rPr>
          <w:rFonts w:ascii="Garamond" w:hAnsi="Garamond"/>
          <w:b/>
          <w:sz w:val="24"/>
        </w:rPr>
      </w:pPr>
    </w:p>
    <w:p w14:paraId="4775BC8E" w14:textId="0ACF5C92" w:rsidR="00B219B3" w:rsidRPr="00B6793F" w:rsidRDefault="00B219B3" w:rsidP="00AC5BDD">
      <w:pPr>
        <w:spacing w:after="0" w:line="240" w:lineRule="auto"/>
        <w:ind w:firstLine="284"/>
        <w:jc w:val="center"/>
        <w:rPr>
          <w:rFonts w:ascii="Garamond" w:hAnsi="Garamond"/>
          <w:b/>
          <w:sz w:val="24"/>
        </w:rPr>
      </w:pPr>
    </w:p>
    <w:p w14:paraId="501EFD5E" w14:textId="4FEADF0E" w:rsidR="00B219B3" w:rsidRPr="00B6793F" w:rsidRDefault="00B219B3" w:rsidP="00AC5BDD">
      <w:pPr>
        <w:spacing w:after="0" w:line="240" w:lineRule="auto"/>
        <w:ind w:firstLine="284"/>
        <w:jc w:val="center"/>
        <w:rPr>
          <w:rFonts w:ascii="Garamond" w:hAnsi="Garamond"/>
          <w:b/>
          <w:sz w:val="24"/>
        </w:rPr>
      </w:pPr>
    </w:p>
    <w:p w14:paraId="007C091C" w14:textId="317635AA" w:rsidR="00B219B3" w:rsidRPr="00B6793F" w:rsidRDefault="00B219B3" w:rsidP="00AC5BDD">
      <w:pPr>
        <w:spacing w:after="0" w:line="240" w:lineRule="auto"/>
        <w:ind w:firstLine="284"/>
        <w:jc w:val="center"/>
        <w:rPr>
          <w:rFonts w:ascii="Garamond" w:hAnsi="Garamond"/>
          <w:b/>
          <w:sz w:val="24"/>
        </w:rPr>
      </w:pPr>
    </w:p>
    <w:p w14:paraId="1EF580F8" w14:textId="4B6170A3" w:rsidR="00B219B3" w:rsidRPr="00B6793F" w:rsidRDefault="00B219B3" w:rsidP="00AC5BDD">
      <w:pPr>
        <w:spacing w:after="0" w:line="240" w:lineRule="auto"/>
        <w:ind w:firstLine="284"/>
        <w:jc w:val="center"/>
        <w:rPr>
          <w:rFonts w:ascii="Garamond" w:hAnsi="Garamond"/>
          <w:b/>
          <w:sz w:val="24"/>
        </w:rPr>
      </w:pPr>
    </w:p>
    <w:p w14:paraId="742B0ACB" w14:textId="324A13B8" w:rsidR="00B219B3" w:rsidRPr="00B6793F" w:rsidRDefault="00B219B3" w:rsidP="00AC5BDD">
      <w:pPr>
        <w:spacing w:after="0" w:line="240" w:lineRule="auto"/>
        <w:ind w:firstLine="284"/>
        <w:jc w:val="center"/>
        <w:rPr>
          <w:rFonts w:ascii="Garamond" w:hAnsi="Garamond"/>
          <w:b/>
          <w:sz w:val="24"/>
        </w:rPr>
      </w:pPr>
    </w:p>
    <w:p w14:paraId="5EE34AFD" w14:textId="50C0C13F" w:rsidR="00B219B3" w:rsidRPr="00B6793F" w:rsidRDefault="00B219B3" w:rsidP="00AC5BDD">
      <w:pPr>
        <w:spacing w:after="0" w:line="240" w:lineRule="auto"/>
        <w:ind w:firstLine="284"/>
        <w:jc w:val="center"/>
        <w:rPr>
          <w:rFonts w:ascii="Garamond" w:hAnsi="Garamond"/>
          <w:b/>
          <w:sz w:val="24"/>
        </w:rPr>
      </w:pPr>
    </w:p>
    <w:p w14:paraId="0DC278F6" w14:textId="5A0AEBC1" w:rsidR="00B219B3" w:rsidRPr="00B6793F" w:rsidRDefault="00B219B3" w:rsidP="00AC5BDD">
      <w:pPr>
        <w:spacing w:after="0" w:line="240" w:lineRule="auto"/>
        <w:ind w:firstLine="284"/>
        <w:jc w:val="center"/>
        <w:rPr>
          <w:rFonts w:ascii="Garamond" w:hAnsi="Garamond"/>
          <w:b/>
          <w:sz w:val="24"/>
        </w:rPr>
      </w:pPr>
    </w:p>
    <w:p w14:paraId="70034385" w14:textId="77777777" w:rsidR="00F930D8" w:rsidRPr="00B6793F" w:rsidRDefault="00F930D8" w:rsidP="00AC5BDD">
      <w:pPr>
        <w:spacing w:after="0" w:line="240" w:lineRule="auto"/>
        <w:ind w:firstLine="284"/>
        <w:jc w:val="center"/>
        <w:rPr>
          <w:rFonts w:ascii="Garamond" w:hAnsi="Garamond"/>
          <w:b/>
          <w:sz w:val="24"/>
        </w:rPr>
      </w:pPr>
    </w:p>
    <w:p w14:paraId="431572C4" w14:textId="26CFD0AB" w:rsidR="00B219B3" w:rsidRPr="00B6793F" w:rsidRDefault="00B219B3" w:rsidP="00AC5BDD">
      <w:pPr>
        <w:spacing w:after="0" w:line="240" w:lineRule="auto"/>
        <w:ind w:firstLine="284"/>
        <w:jc w:val="center"/>
        <w:rPr>
          <w:rFonts w:ascii="Garamond" w:hAnsi="Garamond"/>
          <w:b/>
          <w:sz w:val="24"/>
        </w:rPr>
      </w:pPr>
    </w:p>
    <w:p w14:paraId="0D84EE51" w14:textId="77777777" w:rsidR="00AD1976" w:rsidRPr="00B6793F" w:rsidRDefault="00AD1976" w:rsidP="00AC5BDD">
      <w:pPr>
        <w:spacing w:after="0" w:line="240" w:lineRule="auto"/>
        <w:ind w:firstLine="284"/>
        <w:jc w:val="center"/>
        <w:rPr>
          <w:rFonts w:ascii="Garamond" w:hAnsi="Garamond"/>
          <w:b/>
          <w:sz w:val="24"/>
        </w:rPr>
      </w:pPr>
    </w:p>
    <w:tbl>
      <w:tblPr>
        <w:tblW w:w="5181" w:type="pct"/>
        <w:jc w:val="center"/>
        <w:tblLook w:val="04A0" w:firstRow="1" w:lastRow="0" w:firstColumn="1" w:lastColumn="0" w:noHBand="0" w:noVBand="1"/>
      </w:tblPr>
      <w:tblGrid>
        <w:gridCol w:w="505"/>
        <w:gridCol w:w="1318"/>
        <w:gridCol w:w="1119"/>
        <w:gridCol w:w="968"/>
        <w:gridCol w:w="968"/>
        <w:gridCol w:w="1703"/>
        <w:gridCol w:w="1552"/>
        <w:gridCol w:w="1084"/>
        <w:gridCol w:w="1561"/>
        <w:gridCol w:w="960"/>
        <w:gridCol w:w="1093"/>
        <w:gridCol w:w="1622"/>
      </w:tblGrid>
      <w:tr w:rsidR="00AD1976" w:rsidRPr="00B6793F" w14:paraId="650CA94E" w14:textId="77777777" w:rsidTr="00AD1976">
        <w:trPr>
          <w:trHeight w:val="180"/>
          <w:jc w:val="center"/>
        </w:trPr>
        <w:tc>
          <w:tcPr>
            <w:tcW w:w="5000" w:type="pct"/>
            <w:gridSpan w:val="12"/>
            <w:tcBorders>
              <w:top w:val="single" w:sz="4" w:space="0" w:color="auto"/>
              <w:left w:val="single" w:sz="4" w:space="0" w:color="auto"/>
              <w:bottom w:val="single" w:sz="4" w:space="0" w:color="auto"/>
              <w:right w:val="single" w:sz="4" w:space="0" w:color="000000"/>
            </w:tcBorders>
            <w:shd w:val="clear" w:color="000000" w:fill="F2F2F2"/>
            <w:vAlign w:val="center"/>
            <w:hideMark/>
          </w:tcPr>
          <w:p w14:paraId="0A33172C" w14:textId="77777777" w:rsidR="00AD1976" w:rsidRPr="00B6793F" w:rsidRDefault="00AD1976" w:rsidP="00AD1976">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PROJEKTPROGRAMI I PËRGJITHSHËM ANALITIK I PROJEKTAKTEVE PËR VITIN 2026</w:t>
            </w:r>
          </w:p>
        </w:tc>
      </w:tr>
      <w:tr w:rsidR="00AD1976" w:rsidRPr="00B6793F" w14:paraId="6226155E" w14:textId="77777777" w:rsidTr="00AD1976">
        <w:trPr>
          <w:trHeight w:val="180"/>
          <w:jc w:val="center"/>
        </w:trPr>
        <w:tc>
          <w:tcPr>
            <w:tcW w:w="5000" w:type="pct"/>
            <w:gridSpan w:val="12"/>
            <w:tcBorders>
              <w:top w:val="single" w:sz="4" w:space="0" w:color="auto"/>
              <w:left w:val="single" w:sz="4" w:space="0" w:color="auto"/>
              <w:bottom w:val="single" w:sz="4" w:space="0" w:color="auto"/>
              <w:right w:val="single" w:sz="4" w:space="0" w:color="000000"/>
            </w:tcBorders>
            <w:shd w:val="clear" w:color="000000" w:fill="F2F2F2"/>
            <w:vAlign w:val="center"/>
            <w:hideMark/>
          </w:tcPr>
          <w:p w14:paraId="31C809A0" w14:textId="77777777" w:rsidR="00AD1976" w:rsidRPr="00B6793F" w:rsidRDefault="00AD1976" w:rsidP="00AD1976">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PËR EVROPËN DHE PUNËT E JASHTME</w:t>
            </w:r>
          </w:p>
        </w:tc>
      </w:tr>
      <w:tr w:rsidR="00AD1976" w:rsidRPr="00B6793F" w14:paraId="20FDB5D7"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000000" w:fill="C00000"/>
            <w:vAlign w:val="center"/>
            <w:hideMark/>
          </w:tcPr>
          <w:p w14:paraId="6A0E939C"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456" w:type="pct"/>
            <w:tcBorders>
              <w:top w:val="nil"/>
              <w:left w:val="nil"/>
              <w:bottom w:val="single" w:sz="4" w:space="0" w:color="auto"/>
              <w:right w:val="single" w:sz="4" w:space="0" w:color="auto"/>
            </w:tcBorders>
            <w:shd w:val="clear" w:color="000000" w:fill="C00000"/>
            <w:vAlign w:val="center"/>
            <w:hideMark/>
          </w:tcPr>
          <w:p w14:paraId="4C41A70E"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87" w:type="pct"/>
            <w:tcBorders>
              <w:top w:val="nil"/>
              <w:left w:val="nil"/>
              <w:bottom w:val="single" w:sz="4" w:space="0" w:color="auto"/>
              <w:right w:val="single" w:sz="4" w:space="0" w:color="auto"/>
            </w:tcBorders>
            <w:shd w:val="clear" w:color="000000" w:fill="C00000"/>
            <w:vAlign w:val="center"/>
            <w:hideMark/>
          </w:tcPr>
          <w:p w14:paraId="0DB2A6B2"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35" w:type="pct"/>
            <w:tcBorders>
              <w:top w:val="nil"/>
              <w:left w:val="nil"/>
              <w:bottom w:val="single" w:sz="4" w:space="0" w:color="auto"/>
              <w:right w:val="single" w:sz="4" w:space="0" w:color="auto"/>
            </w:tcBorders>
            <w:shd w:val="clear" w:color="000000" w:fill="C00000"/>
            <w:vAlign w:val="center"/>
            <w:hideMark/>
          </w:tcPr>
          <w:p w14:paraId="19B1AFA4"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335" w:type="pct"/>
            <w:tcBorders>
              <w:top w:val="nil"/>
              <w:left w:val="nil"/>
              <w:bottom w:val="single" w:sz="4" w:space="0" w:color="auto"/>
              <w:right w:val="single" w:sz="4" w:space="0" w:color="auto"/>
            </w:tcBorders>
            <w:shd w:val="clear" w:color="000000" w:fill="C00000"/>
            <w:vAlign w:val="center"/>
            <w:hideMark/>
          </w:tcPr>
          <w:p w14:paraId="50ABEA2A"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 mujori</w:t>
            </w:r>
          </w:p>
        </w:tc>
        <w:tc>
          <w:tcPr>
            <w:tcW w:w="589" w:type="pct"/>
            <w:tcBorders>
              <w:top w:val="nil"/>
              <w:left w:val="nil"/>
              <w:bottom w:val="single" w:sz="4" w:space="0" w:color="auto"/>
              <w:right w:val="single" w:sz="4" w:space="0" w:color="auto"/>
            </w:tcBorders>
            <w:shd w:val="clear" w:color="000000" w:fill="C00000"/>
            <w:vAlign w:val="center"/>
            <w:hideMark/>
          </w:tcPr>
          <w:p w14:paraId="6E4320F3"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37" w:type="pct"/>
            <w:tcBorders>
              <w:top w:val="nil"/>
              <w:left w:val="nil"/>
              <w:bottom w:val="single" w:sz="4" w:space="0" w:color="auto"/>
              <w:right w:val="single" w:sz="4" w:space="0" w:color="auto"/>
            </w:tcBorders>
            <w:shd w:val="clear" w:color="000000" w:fill="C00000"/>
            <w:vAlign w:val="center"/>
            <w:hideMark/>
          </w:tcPr>
          <w:p w14:paraId="2054065C"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375" w:type="pct"/>
            <w:tcBorders>
              <w:top w:val="nil"/>
              <w:left w:val="nil"/>
              <w:bottom w:val="single" w:sz="4" w:space="0" w:color="auto"/>
              <w:right w:val="single" w:sz="4" w:space="0" w:color="auto"/>
            </w:tcBorders>
            <w:shd w:val="clear" w:color="000000" w:fill="C00000"/>
            <w:vAlign w:val="center"/>
            <w:hideMark/>
          </w:tcPr>
          <w:p w14:paraId="5284C978"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540" w:type="pct"/>
            <w:tcBorders>
              <w:top w:val="nil"/>
              <w:left w:val="nil"/>
              <w:bottom w:val="single" w:sz="4" w:space="0" w:color="auto"/>
              <w:right w:val="single" w:sz="4" w:space="0" w:color="auto"/>
            </w:tcBorders>
            <w:shd w:val="clear" w:color="000000" w:fill="C00000"/>
            <w:vAlign w:val="center"/>
            <w:hideMark/>
          </w:tcPr>
          <w:p w14:paraId="4B31D676"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332" w:type="pct"/>
            <w:tcBorders>
              <w:top w:val="nil"/>
              <w:left w:val="nil"/>
              <w:bottom w:val="single" w:sz="4" w:space="0" w:color="auto"/>
              <w:right w:val="single" w:sz="4" w:space="0" w:color="auto"/>
            </w:tcBorders>
            <w:shd w:val="clear" w:color="000000" w:fill="C00000"/>
            <w:vAlign w:val="center"/>
            <w:hideMark/>
          </w:tcPr>
          <w:p w14:paraId="51FD4CD9"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378" w:type="pct"/>
            <w:tcBorders>
              <w:top w:val="nil"/>
              <w:left w:val="nil"/>
              <w:bottom w:val="single" w:sz="4" w:space="0" w:color="auto"/>
              <w:right w:val="single" w:sz="4" w:space="0" w:color="auto"/>
            </w:tcBorders>
            <w:shd w:val="clear" w:color="000000" w:fill="C00000"/>
            <w:vAlign w:val="center"/>
            <w:hideMark/>
          </w:tcPr>
          <w:p w14:paraId="7D7A14D1"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561" w:type="pct"/>
            <w:tcBorders>
              <w:top w:val="nil"/>
              <w:left w:val="nil"/>
              <w:bottom w:val="single" w:sz="4" w:space="0" w:color="auto"/>
              <w:right w:val="single" w:sz="4" w:space="0" w:color="auto"/>
            </w:tcBorders>
            <w:shd w:val="clear" w:color="000000" w:fill="C00000"/>
            <w:vAlign w:val="center"/>
            <w:hideMark/>
          </w:tcPr>
          <w:p w14:paraId="4F7D9D05" w14:textId="77777777" w:rsidR="00AD1976" w:rsidRPr="00B6793F" w:rsidRDefault="00AD1976" w:rsidP="00AD1976">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AD1976" w:rsidRPr="00B6793F" w14:paraId="276E983E"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035B799"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w:t>
            </w:r>
          </w:p>
        </w:tc>
        <w:tc>
          <w:tcPr>
            <w:tcW w:w="456" w:type="pct"/>
            <w:tcBorders>
              <w:top w:val="nil"/>
              <w:left w:val="nil"/>
              <w:bottom w:val="single" w:sz="4" w:space="0" w:color="auto"/>
              <w:right w:val="single" w:sz="4" w:space="0" w:color="auto"/>
            </w:tcBorders>
            <w:shd w:val="clear" w:color="auto" w:fill="auto"/>
            <w:vAlign w:val="center"/>
            <w:hideMark/>
          </w:tcPr>
          <w:p w14:paraId="67D12EC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hapjen dhe mbylljen e misioneve diplomatike apo posteve konsullore të Republikës së Shqipërisë</w:t>
            </w:r>
          </w:p>
        </w:tc>
        <w:tc>
          <w:tcPr>
            <w:tcW w:w="387" w:type="pct"/>
            <w:tcBorders>
              <w:top w:val="nil"/>
              <w:left w:val="nil"/>
              <w:bottom w:val="single" w:sz="4" w:space="0" w:color="auto"/>
              <w:right w:val="single" w:sz="4" w:space="0" w:color="auto"/>
            </w:tcBorders>
            <w:shd w:val="clear" w:color="auto" w:fill="auto"/>
            <w:vAlign w:val="center"/>
            <w:hideMark/>
          </w:tcPr>
          <w:p w14:paraId="5EFCDCC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25AF105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4811D296"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6EC89231"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Nisur nga nevoja e e zhvillimit të marrëdhienieve diplomatike mes  shtetit shqiptar dhe  shteteve; organizatave ndërkombetare; mbrojtja e interesave të shtetasve shqiptar, bazuar neë pikën 1, neni 21 I ligjit 23/2015.</w:t>
            </w:r>
          </w:p>
        </w:tc>
        <w:tc>
          <w:tcPr>
            <w:tcW w:w="537" w:type="pct"/>
            <w:tcBorders>
              <w:top w:val="nil"/>
              <w:left w:val="nil"/>
              <w:bottom w:val="single" w:sz="4" w:space="0" w:color="auto"/>
              <w:right w:val="single" w:sz="4" w:space="0" w:color="auto"/>
            </w:tcBorders>
            <w:shd w:val="clear" w:color="auto" w:fill="auto"/>
            <w:vAlign w:val="center"/>
            <w:hideMark/>
          </w:tcPr>
          <w:p w14:paraId="1F9D4981"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Zhvillimi i marrëdhënieve diplomatike mes shtetit shqiptar dhe shteteve  apo organizatave ndërkombetare,  mbrojtja e interesave të shtetasve shqiptar</w:t>
            </w:r>
          </w:p>
        </w:tc>
        <w:tc>
          <w:tcPr>
            <w:tcW w:w="375" w:type="pct"/>
            <w:tcBorders>
              <w:top w:val="nil"/>
              <w:left w:val="nil"/>
              <w:bottom w:val="single" w:sz="4" w:space="0" w:color="auto"/>
              <w:right w:val="single" w:sz="4" w:space="0" w:color="auto"/>
            </w:tcBorders>
            <w:shd w:val="clear" w:color="auto" w:fill="auto"/>
            <w:vAlign w:val="center"/>
            <w:hideMark/>
          </w:tcPr>
          <w:p w14:paraId="70199C5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218EFA6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05297B78"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23725E99"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61" w:type="pct"/>
            <w:tcBorders>
              <w:top w:val="nil"/>
              <w:left w:val="nil"/>
              <w:bottom w:val="single" w:sz="4" w:space="0" w:color="auto"/>
              <w:right w:val="single" w:sz="4" w:space="0" w:color="auto"/>
            </w:tcBorders>
            <w:shd w:val="clear" w:color="auto" w:fill="auto"/>
            <w:vAlign w:val="center"/>
            <w:hideMark/>
          </w:tcPr>
          <w:p w14:paraId="75A3C94D"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47B5E8C6"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58D3535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56" w:type="pct"/>
            <w:tcBorders>
              <w:top w:val="nil"/>
              <w:left w:val="nil"/>
              <w:bottom w:val="single" w:sz="4" w:space="0" w:color="auto"/>
              <w:right w:val="single" w:sz="4" w:space="0" w:color="auto"/>
            </w:tcBorders>
            <w:shd w:val="clear" w:color="auto" w:fill="auto"/>
            <w:vAlign w:val="center"/>
            <w:hideMark/>
          </w:tcPr>
          <w:p w14:paraId="3E323CF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një ndryshim në vendimin nr. 858, datë 29.12.2021, të Këshillit të Ministrave, “Për përcaktimin e kritereve, të procedurave e të dokumentacionit për hyrjen, qëndrimin dhe trajtimin e të huajve në Republikën e Shqipërisë”, të ndryshuar</w:t>
            </w:r>
          </w:p>
        </w:tc>
        <w:tc>
          <w:tcPr>
            <w:tcW w:w="387" w:type="pct"/>
            <w:tcBorders>
              <w:top w:val="nil"/>
              <w:left w:val="nil"/>
              <w:bottom w:val="single" w:sz="4" w:space="0" w:color="auto"/>
              <w:right w:val="single" w:sz="4" w:space="0" w:color="auto"/>
            </w:tcBorders>
            <w:shd w:val="clear" w:color="auto" w:fill="auto"/>
            <w:vAlign w:val="center"/>
            <w:hideMark/>
          </w:tcPr>
          <w:p w14:paraId="285A180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2358191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Ministri për Evropën dhe Punët e Jashtme dhe Ministri I Punëve të Brendshme</w:t>
            </w:r>
          </w:p>
        </w:tc>
        <w:tc>
          <w:tcPr>
            <w:tcW w:w="335" w:type="pct"/>
            <w:tcBorders>
              <w:top w:val="nil"/>
              <w:left w:val="nil"/>
              <w:bottom w:val="single" w:sz="4" w:space="0" w:color="auto"/>
              <w:right w:val="single" w:sz="4" w:space="0" w:color="auto"/>
            </w:tcBorders>
            <w:shd w:val="clear" w:color="auto" w:fill="auto"/>
            <w:vAlign w:val="center"/>
            <w:hideMark/>
          </w:tcPr>
          <w:p w14:paraId="05C72D5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4523665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Ndryshimi i vendimit , bëhet me qëllim përputhjen e tij të mëtejshme me prioritetin e qeverisë për nxitjen e turizmit në Republikën e Shqipërisë dhe tërheqjen e turisteve të huaj në Republikën e Shqipërisë, referuar nenit 29, të  ligjit 79/2021 "Për të huajt"</w:t>
            </w:r>
          </w:p>
        </w:tc>
        <w:tc>
          <w:tcPr>
            <w:tcW w:w="537" w:type="pct"/>
            <w:tcBorders>
              <w:top w:val="nil"/>
              <w:left w:val="nil"/>
              <w:bottom w:val="single" w:sz="4" w:space="0" w:color="auto"/>
              <w:right w:val="single" w:sz="4" w:space="0" w:color="auto"/>
            </w:tcBorders>
            <w:shd w:val="clear" w:color="auto" w:fill="auto"/>
            <w:vAlign w:val="center"/>
            <w:hideMark/>
          </w:tcPr>
          <w:p w14:paraId="7A198AC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Ky projektvendim ka për qëllim listimin e shteteve, shtetasit e të cilëve do të hyjnë pa vizë për motive turistike në Republikën e Shqipërisë me dokumentin “pasaportë” për një periudhë të kufizuar </w:t>
            </w:r>
          </w:p>
        </w:tc>
        <w:tc>
          <w:tcPr>
            <w:tcW w:w="375" w:type="pct"/>
            <w:tcBorders>
              <w:top w:val="nil"/>
              <w:left w:val="nil"/>
              <w:bottom w:val="single" w:sz="4" w:space="0" w:color="auto"/>
              <w:right w:val="single" w:sz="4" w:space="0" w:color="auto"/>
            </w:tcBorders>
            <w:shd w:val="clear" w:color="auto" w:fill="auto"/>
            <w:vAlign w:val="center"/>
            <w:hideMark/>
          </w:tcPr>
          <w:p w14:paraId="40EE654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14AF9B2D"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Shtylla 2 " Rritja ekonomike e qendrushme" dhe  2.6 "Turizmi"</w:t>
            </w:r>
          </w:p>
        </w:tc>
        <w:tc>
          <w:tcPr>
            <w:tcW w:w="332" w:type="pct"/>
            <w:tcBorders>
              <w:top w:val="nil"/>
              <w:left w:val="nil"/>
              <w:bottom w:val="single" w:sz="4" w:space="0" w:color="auto"/>
              <w:right w:val="single" w:sz="4" w:space="0" w:color="auto"/>
            </w:tcBorders>
            <w:shd w:val="clear" w:color="auto" w:fill="auto"/>
            <w:vAlign w:val="center"/>
            <w:hideMark/>
          </w:tcPr>
          <w:p w14:paraId="2FE0CD0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5E26BB3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Agjenda Kombëtare e Reformave 2024 – 2027</w:t>
            </w:r>
          </w:p>
        </w:tc>
        <w:tc>
          <w:tcPr>
            <w:tcW w:w="561" w:type="pct"/>
            <w:tcBorders>
              <w:top w:val="nil"/>
              <w:left w:val="nil"/>
              <w:bottom w:val="single" w:sz="4" w:space="0" w:color="auto"/>
              <w:right w:val="single" w:sz="4" w:space="0" w:color="auto"/>
            </w:tcBorders>
            <w:shd w:val="clear" w:color="auto" w:fill="auto"/>
            <w:vAlign w:val="center"/>
            <w:hideMark/>
          </w:tcPr>
          <w:p w14:paraId="0EEA25B9"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6C8F43EF"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28AFC11C"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w:t>
            </w:r>
          </w:p>
        </w:tc>
        <w:tc>
          <w:tcPr>
            <w:tcW w:w="456" w:type="pct"/>
            <w:tcBorders>
              <w:top w:val="nil"/>
              <w:left w:val="nil"/>
              <w:bottom w:val="single" w:sz="4" w:space="0" w:color="auto"/>
              <w:right w:val="single" w:sz="4" w:space="0" w:color="auto"/>
            </w:tcBorders>
            <w:shd w:val="clear" w:color="auto" w:fill="auto"/>
            <w:vAlign w:val="center"/>
            <w:hideMark/>
          </w:tcPr>
          <w:p w14:paraId="7990061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rregullimin e procedurave të blerjeve nën kufirin e lartë monetar në përfaqësitë diplomatike dhe postet konsullore të Republikës së Shqipërisë jashtë vendit</w:t>
            </w:r>
          </w:p>
        </w:tc>
        <w:tc>
          <w:tcPr>
            <w:tcW w:w="387" w:type="pct"/>
            <w:tcBorders>
              <w:top w:val="nil"/>
              <w:left w:val="nil"/>
              <w:bottom w:val="single" w:sz="4" w:space="0" w:color="auto"/>
              <w:right w:val="single" w:sz="4" w:space="0" w:color="auto"/>
            </w:tcBorders>
            <w:shd w:val="clear" w:color="auto" w:fill="auto"/>
            <w:vAlign w:val="center"/>
            <w:hideMark/>
          </w:tcPr>
          <w:p w14:paraId="2546A60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225C362F"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4697622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389DF53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Qëllimi i këtij projektakti është thjeshtësimi, standardizimi dhe sigurimi i gjurmës së auditimit për përdorimin e fondeve publike jashtë vendit, në përputhje me parimet e menaxhimit financiar dhe kontrollit të brendshëm, referuar pikës I, neni 7 të ligjit nr 162 datë23.12.2020</w:t>
            </w:r>
          </w:p>
        </w:tc>
        <w:tc>
          <w:tcPr>
            <w:tcW w:w="537" w:type="pct"/>
            <w:tcBorders>
              <w:top w:val="nil"/>
              <w:left w:val="nil"/>
              <w:bottom w:val="single" w:sz="4" w:space="0" w:color="auto"/>
              <w:right w:val="single" w:sz="4" w:space="0" w:color="auto"/>
            </w:tcBorders>
            <w:shd w:val="clear" w:color="auto" w:fill="auto"/>
            <w:vAlign w:val="center"/>
            <w:hideMark/>
          </w:tcPr>
          <w:p w14:paraId="1ED4566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Kategoritë e blerjeve që kryhen nga përfaqësitë diplomatike jashtë vendit nën kufirin e lartë monetar.</w:t>
            </w:r>
            <w:r w:rsidRPr="00B6793F">
              <w:rPr>
                <w:rFonts w:ascii="Arial" w:eastAsia="Times New Roman" w:hAnsi="Arial" w:cs="Arial"/>
                <w:color w:val="000000"/>
                <w:sz w:val="8"/>
                <w:szCs w:val="8"/>
                <w:lang w:eastAsia="sq-AL"/>
              </w:rPr>
              <w:br/>
              <w:t>2. Procedurat e thjeshtuara të blerjeve, të ndara sipas vlerave përkatëse (blerje me faturë, blerje me dy oferta, kërkesë për ofertë të drejtpërdrejtë).</w:t>
            </w:r>
            <w:r w:rsidRPr="00B6793F">
              <w:rPr>
                <w:rFonts w:ascii="Arial" w:eastAsia="Times New Roman" w:hAnsi="Arial" w:cs="Arial"/>
                <w:color w:val="000000"/>
                <w:sz w:val="8"/>
                <w:szCs w:val="8"/>
                <w:lang w:eastAsia="sq-AL"/>
              </w:rPr>
              <w:br/>
              <w:t>3. Tavanet monetare për çdo nivel procedure, duke ruajtur ekuilibrin ndërmjet thjeshtësisë dhe kontrollit financiar.</w:t>
            </w:r>
            <w:r w:rsidRPr="00B6793F">
              <w:rPr>
                <w:rFonts w:ascii="Arial" w:eastAsia="Times New Roman" w:hAnsi="Arial" w:cs="Arial"/>
                <w:color w:val="000000"/>
                <w:sz w:val="8"/>
                <w:szCs w:val="8"/>
                <w:lang w:eastAsia="sq-AL"/>
              </w:rPr>
              <w:br/>
              <w:t>4. Përdorimin e formularëve të unifikuar për të gjitha përfaqësitë diplomatike (kërkesë për blerje, procesverbal përzgjedhjeje, raport justifikimi, faturë, raport kontrolli).</w:t>
            </w:r>
            <w:r w:rsidRPr="00B6793F">
              <w:rPr>
                <w:rFonts w:ascii="Arial" w:eastAsia="Times New Roman" w:hAnsi="Arial" w:cs="Arial"/>
                <w:color w:val="000000"/>
                <w:sz w:val="8"/>
                <w:szCs w:val="8"/>
                <w:lang w:eastAsia="sq-AL"/>
              </w:rPr>
              <w:br/>
              <w:t>5. Rregullat për përgjegjësitë e titullarit, nëpunësit autorizues dhe personit zbatues, në përputhje me Ligjin për Menaxhimin Financiar dhe Kontrollin.</w:t>
            </w:r>
            <w:r w:rsidRPr="00B6793F">
              <w:rPr>
                <w:rFonts w:ascii="Arial" w:eastAsia="Times New Roman" w:hAnsi="Arial" w:cs="Arial"/>
                <w:color w:val="000000"/>
                <w:sz w:val="8"/>
                <w:szCs w:val="8"/>
                <w:lang w:eastAsia="sq-AL"/>
              </w:rPr>
              <w:br/>
              <w:t>6. Mekanizmat e ruajtjes së gjurmës së auditimit dhe raportimit financiar, në mënyrë që çdo blerje të jetë e verifikueshme dhe e dokumentuar.</w:t>
            </w:r>
          </w:p>
        </w:tc>
        <w:tc>
          <w:tcPr>
            <w:tcW w:w="375" w:type="pct"/>
            <w:tcBorders>
              <w:top w:val="nil"/>
              <w:left w:val="nil"/>
              <w:bottom w:val="single" w:sz="4" w:space="0" w:color="auto"/>
              <w:right w:val="single" w:sz="4" w:space="0" w:color="auto"/>
            </w:tcBorders>
            <w:shd w:val="clear" w:color="auto" w:fill="auto"/>
            <w:vAlign w:val="center"/>
            <w:hideMark/>
          </w:tcPr>
          <w:p w14:paraId="5302B19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2962B17D"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4A3FC98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0C22ED9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1" w:type="pct"/>
            <w:tcBorders>
              <w:top w:val="nil"/>
              <w:left w:val="nil"/>
              <w:bottom w:val="single" w:sz="4" w:space="0" w:color="auto"/>
              <w:right w:val="single" w:sz="4" w:space="0" w:color="auto"/>
            </w:tcBorders>
            <w:shd w:val="clear" w:color="auto" w:fill="auto"/>
            <w:vAlign w:val="center"/>
            <w:hideMark/>
          </w:tcPr>
          <w:p w14:paraId="3301F135"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57306D54"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F2E252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56" w:type="pct"/>
            <w:tcBorders>
              <w:top w:val="nil"/>
              <w:left w:val="nil"/>
              <w:bottom w:val="single" w:sz="4" w:space="0" w:color="auto"/>
              <w:right w:val="single" w:sz="4" w:space="0" w:color="auto"/>
            </w:tcBorders>
            <w:shd w:val="clear" w:color="auto" w:fill="auto"/>
            <w:vAlign w:val="center"/>
            <w:hideMark/>
          </w:tcPr>
          <w:p w14:paraId="38552B3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nr.1128, datë 30.12.2020 të Këshillit të Ministrave, “Për zbatimin nga Republika e Shqipërisë të vendimeve të Këshillit të Bashkimit Evropian, për vendosjen, ndryshimin dhe shfuqizimin e masave shtrënguese ndërkombëtare, të ndryshuara”, të ndryshuar</w:t>
            </w:r>
          </w:p>
        </w:tc>
        <w:tc>
          <w:tcPr>
            <w:tcW w:w="387" w:type="pct"/>
            <w:tcBorders>
              <w:top w:val="nil"/>
              <w:left w:val="nil"/>
              <w:bottom w:val="single" w:sz="4" w:space="0" w:color="auto"/>
              <w:right w:val="single" w:sz="4" w:space="0" w:color="auto"/>
            </w:tcBorders>
            <w:shd w:val="clear" w:color="auto" w:fill="auto"/>
            <w:vAlign w:val="center"/>
            <w:hideMark/>
          </w:tcPr>
          <w:p w14:paraId="36674D6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3410FDEC"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0AEA259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53B1106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Përmbushjen e detyrimeve sipas parashikimeve të ligjit nr.72/2019 "Për masat shtrënguese ndërkombëtare në Republikën e Shqipërisë", i ndryshuar</w:t>
            </w:r>
          </w:p>
        </w:tc>
        <w:tc>
          <w:tcPr>
            <w:tcW w:w="537" w:type="pct"/>
            <w:tcBorders>
              <w:top w:val="nil"/>
              <w:left w:val="nil"/>
              <w:bottom w:val="single" w:sz="4" w:space="0" w:color="auto"/>
              <w:right w:val="single" w:sz="4" w:space="0" w:color="auto"/>
            </w:tcBorders>
            <w:shd w:val="clear" w:color="auto" w:fill="auto"/>
            <w:vAlign w:val="center"/>
            <w:hideMark/>
          </w:tcPr>
          <w:p w14:paraId="4ACF5DF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Përditësimin e listës së sanksioneve të shpallura nga Këshilli i Bashkimit Evropian</w:t>
            </w:r>
          </w:p>
        </w:tc>
        <w:tc>
          <w:tcPr>
            <w:tcW w:w="375" w:type="pct"/>
            <w:tcBorders>
              <w:top w:val="nil"/>
              <w:left w:val="nil"/>
              <w:bottom w:val="single" w:sz="4" w:space="0" w:color="auto"/>
              <w:right w:val="single" w:sz="4" w:space="0" w:color="auto"/>
            </w:tcBorders>
            <w:shd w:val="clear" w:color="auto" w:fill="auto"/>
            <w:vAlign w:val="center"/>
            <w:hideMark/>
          </w:tcPr>
          <w:p w14:paraId="1054B40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Kapitulli 31 </w:t>
            </w:r>
          </w:p>
        </w:tc>
        <w:tc>
          <w:tcPr>
            <w:tcW w:w="540" w:type="pct"/>
            <w:tcBorders>
              <w:top w:val="nil"/>
              <w:left w:val="nil"/>
              <w:bottom w:val="single" w:sz="4" w:space="0" w:color="auto"/>
              <w:right w:val="single" w:sz="4" w:space="0" w:color="auto"/>
            </w:tcBorders>
            <w:shd w:val="clear" w:color="auto" w:fill="auto"/>
            <w:vAlign w:val="center"/>
            <w:hideMark/>
          </w:tcPr>
          <w:p w14:paraId="1C8C696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51B593D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3DF4F0F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1" w:type="pct"/>
            <w:tcBorders>
              <w:top w:val="nil"/>
              <w:left w:val="nil"/>
              <w:bottom w:val="single" w:sz="4" w:space="0" w:color="auto"/>
              <w:right w:val="single" w:sz="4" w:space="0" w:color="auto"/>
            </w:tcBorders>
            <w:shd w:val="clear" w:color="auto" w:fill="auto"/>
            <w:noWrap/>
            <w:vAlign w:val="center"/>
            <w:hideMark/>
          </w:tcPr>
          <w:p w14:paraId="78CC784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AD1976" w:rsidRPr="00B6793F" w14:paraId="38283350"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77DF0874"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5</w:t>
            </w:r>
          </w:p>
        </w:tc>
        <w:tc>
          <w:tcPr>
            <w:tcW w:w="456" w:type="pct"/>
            <w:tcBorders>
              <w:top w:val="nil"/>
              <w:left w:val="nil"/>
              <w:bottom w:val="single" w:sz="4" w:space="0" w:color="auto"/>
              <w:right w:val="single" w:sz="4" w:space="0" w:color="auto"/>
            </w:tcBorders>
            <w:shd w:val="clear" w:color="auto" w:fill="auto"/>
            <w:hideMark/>
          </w:tcPr>
          <w:p w14:paraId="42543B48"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ndryshime në Vendimin nr.718, datë 29.10.2004 të  Këshillit të Ministrave "Mbi listën e personave të shpallur financues të terrorizmit", të ndryshuar</w:t>
            </w:r>
          </w:p>
        </w:tc>
        <w:tc>
          <w:tcPr>
            <w:tcW w:w="387" w:type="pct"/>
            <w:tcBorders>
              <w:top w:val="nil"/>
              <w:left w:val="nil"/>
              <w:bottom w:val="single" w:sz="4" w:space="0" w:color="auto"/>
              <w:right w:val="single" w:sz="4" w:space="0" w:color="auto"/>
            </w:tcBorders>
            <w:shd w:val="clear" w:color="auto" w:fill="auto"/>
            <w:vAlign w:val="center"/>
            <w:hideMark/>
          </w:tcPr>
          <w:p w14:paraId="34731DC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3F4A7FB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28114A5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3A5DEFC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Përmbushjen e detyrimeve ligjore, ligji nr. 157/2013 "Pë ndalimin e financimit të terrorizmit", i ndryshuar, në varësi të shpalljeve nga KS i OKB</w:t>
            </w:r>
          </w:p>
        </w:tc>
        <w:tc>
          <w:tcPr>
            <w:tcW w:w="537" w:type="pct"/>
            <w:tcBorders>
              <w:top w:val="nil"/>
              <w:left w:val="nil"/>
              <w:bottom w:val="single" w:sz="4" w:space="0" w:color="auto"/>
              <w:right w:val="single" w:sz="4" w:space="0" w:color="auto"/>
            </w:tcBorders>
            <w:shd w:val="clear" w:color="auto" w:fill="auto"/>
            <w:vAlign w:val="center"/>
            <w:hideMark/>
          </w:tcPr>
          <w:p w14:paraId="40C48F0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Përditësimin e listës së sanksioneve të shpallura nga Komiteti i Këshillit të Sigurimit të Kombeve të Bashkuara</w:t>
            </w:r>
          </w:p>
        </w:tc>
        <w:tc>
          <w:tcPr>
            <w:tcW w:w="375" w:type="pct"/>
            <w:tcBorders>
              <w:top w:val="nil"/>
              <w:left w:val="nil"/>
              <w:bottom w:val="single" w:sz="4" w:space="0" w:color="auto"/>
              <w:right w:val="single" w:sz="4" w:space="0" w:color="auto"/>
            </w:tcBorders>
            <w:shd w:val="clear" w:color="auto" w:fill="auto"/>
            <w:vAlign w:val="center"/>
            <w:hideMark/>
          </w:tcPr>
          <w:p w14:paraId="4FAF719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18A6296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398EB24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325921A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1" w:type="pct"/>
            <w:tcBorders>
              <w:top w:val="nil"/>
              <w:left w:val="nil"/>
              <w:bottom w:val="single" w:sz="4" w:space="0" w:color="auto"/>
              <w:right w:val="single" w:sz="4" w:space="0" w:color="auto"/>
            </w:tcBorders>
            <w:shd w:val="clear" w:color="auto" w:fill="auto"/>
            <w:noWrap/>
            <w:vAlign w:val="center"/>
            <w:hideMark/>
          </w:tcPr>
          <w:p w14:paraId="206E07A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AD1976" w:rsidRPr="00B6793F" w14:paraId="7D69DC87"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79454CE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56" w:type="pct"/>
            <w:tcBorders>
              <w:top w:val="nil"/>
              <w:left w:val="nil"/>
              <w:bottom w:val="single" w:sz="4" w:space="0" w:color="auto"/>
              <w:right w:val="single" w:sz="4" w:space="0" w:color="auto"/>
            </w:tcBorders>
            <w:shd w:val="clear" w:color="auto" w:fill="auto"/>
            <w:vAlign w:val="center"/>
            <w:hideMark/>
          </w:tcPr>
          <w:p w14:paraId="72A3B5F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nr. 420, datë 8.6.2016, “Për miratimin e Ceremonialit Shtetëror të Republikës së Shqipërisë”, të ndryshuar</w:t>
            </w:r>
          </w:p>
        </w:tc>
        <w:tc>
          <w:tcPr>
            <w:tcW w:w="387" w:type="pct"/>
            <w:tcBorders>
              <w:top w:val="nil"/>
              <w:left w:val="nil"/>
              <w:bottom w:val="single" w:sz="4" w:space="0" w:color="auto"/>
              <w:right w:val="single" w:sz="4" w:space="0" w:color="auto"/>
            </w:tcBorders>
            <w:shd w:val="clear" w:color="auto" w:fill="auto"/>
            <w:vAlign w:val="center"/>
            <w:hideMark/>
          </w:tcPr>
          <w:p w14:paraId="0D87ED2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32A14B0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70C83A4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89" w:type="pct"/>
            <w:tcBorders>
              <w:top w:val="nil"/>
              <w:left w:val="nil"/>
              <w:bottom w:val="single" w:sz="4" w:space="0" w:color="auto"/>
              <w:right w:val="single" w:sz="4" w:space="0" w:color="auto"/>
            </w:tcBorders>
            <w:shd w:val="clear" w:color="auto" w:fill="auto"/>
            <w:vAlign w:val="center"/>
            <w:hideMark/>
          </w:tcPr>
          <w:p w14:paraId="4C70EE31"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Harmonizimin  e dispozitave ekzistuese me ndryshimet e fundit të  ndodhura në legjislacionin shqiptar, bazuar në nenin 17, të ligjit 23/2025</w:t>
            </w:r>
          </w:p>
        </w:tc>
        <w:tc>
          <w:tcPr>
            <w:tcW w:w="537" w:type="pct"/>
            <w:tcBorders>
              <w:top w:val="nil"/>
              <w:left w:val="nil"/>
              <w:bottom w:val="single" w:sz="4" w:space="0" w:color="auto"/>
              <w:right w:val="single" w:sz="4" w:space="0" w:color="auto"/>
            </w:tcBorders>
            <w:shd w:val="clear" w:color="auto" w:fill="auto"/>
            <w:vAlign w:val="center"/>
            <w:hideMark/>
          </w:tcPr>
          <w:p w14:paraId="236EA86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Përditësimin e rregullave të ceremonialit shtetëror, sidomos për mënyrën e organizimit të ceremonive të dhënies së titujve të nderit dhe zbatimin e praktikave bashkëkohore protokollare, referuar ligjit nr. 94/2022 “Për titujt e nderit dhe titujt vendorë të nderit në Republikën e Shqipërisë”, dhe VKM-së nr. 819, datë 26.12.2024, “Për miratimin e rregullores së Kancelarisë së Urdhrave dhe Medaljeve”. </w:t>
            </w:r>
          </w:p>
        </w:tc>
        <w:tc>
          <w:tcPr>
            <w:tcW w:w="375" w:type="pct"/>
            <w:tcBorders>
              <w:top w:val="nil"/>
              <w:left w:val="nil"/>
              <w:bottom w:val="single" w:sz="4" w:space="0" w:color="auto"/>
              <w:right w:val="single" w:sz="4" w:space="0" w:color="auto"/>
            </w:tcBorders>
            <w:shd w:val="clear" w:color="auto" w:fill="auto"/>
            <w:vAlign w:val="center"/>
            <w:hideMark/>
          </w:tcPr>
          <w:p w14:paraId="673ECEF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6F96638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7775C3D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7BE6916D"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1" w:type="pct"/>
            <w:tcBorders>
              <w:top w:val="nil"/>
              <w:left w:val="nil"/>
              <w:bottom w:val="single" w:sz="4" w:space="0" w:color="auto"/>
              <w:right w:val="single" w:sz="4" w:space="0" w:color="auto"/>
            </w:tcBorders>
            <w:shd w:val="clear" w:color="auto" w:fill="auto"/>
            <w:vAlign w:val="center"/>
            <w:hideMark/>
          </w:tcPr>
          <w:p w14:paraId="5765F4B6"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066DB3A7"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613E3541"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7</w:t>
            </w:r>
          </w:p>
        </w:tc>
        <w:tc>
          <w:tcPr>
            <w:tcW w:w="456" w:type="pct"/>
            <w:tcBorders>
              <w:top w:val="nil"/>
              <w:left w:val="nil"/>
              <w:bottom w:val="single" w:sz="4" w:space="0" w:color="auto"/>
              <w:right w:val="single" w:sz="4" w:space="0" w:color="auto"/>
            </w:tcBorders>
            <w:shd w:val="clear" w:color="auto" w:fill="auto"/>
            <w:vAlign w:val="center"/>
            <w:hideMark/>
          </w:tcPr>
          <w:p w14:paraId="2A8DF58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Strategjisë Kombëtare të Diasporës 2026-2030”</w:t>
            </w:r>
          </w:p>
        </w:tc>
        <w:tc>
          <w:tcPr>
            <w:tcW w:w="387" w:type="pct"/>
            <w:tcBorders>
              <w:top w:val="nil"/>
              <w:left w:val="nil"/>
              <w:bottom w:val="single" w:sz="4" w:space="0" w:color="auto"/>
              <w:right w:val="single" w:sz="4" w:space="0" w:color="auto"/>
            </w:tcBorders>
            <w:shd w:val="clear" w:color="auto" w:fill="auto"/>
            <w:vAlign w:val="center"/>
            <w:hideMark/>
          </w:tcPr>
          <w:p w14:paraId="2310F9A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5D45A18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5352A48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89" w:type="pct"/>
            <w:tcBorders>
              <w:top w:val="nil"/>
              <w:left w:val="nil"/>
              <w:bottom w:val="single" w:sz="4" w:space="0" w:color="auto"/>
              <w:right w:val="single" w:sz="4" w:space="0" w:color="auto"/>
            </w:tcBorders>
            <w:shd w:val="clear" w:color="auto" w:fill="auto"/>
            <w:vAlign w:val="center"/>
            <w:hideMark/>
          </w:tcPr>
          <w:p w14:paraId="247F1C9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Strategjia Kombëtare e Diasporës 2021–2025”, është miratuar me Vendim të Këshillit të Ministrave nr.585 datë 22.07.2020. Strategjia përcakton parimet e politikës shtetërore të Republikës së </w:t>
            </w:r>
            <w:r w:rsidRPr="00B6793F">
              <w:rPr>
                <w:rFonts w:ascii="Arial" w:eastAsia="Times New Roman" w:hAnsi="Arial" w:cs="Arial"/>
                <w:color w:val="000000"/>
                <w:sz w:val="8"/>
                <w:szCs w:val="8"/>
                <w:lang w:eastAsia="sq-AL"/>
              </w:rPr>
              <w:lastRenderedPageBreak/>
              <w:t>Shqipërisë për mbështetjen e komuniteteve shqiptare që jetojnë në vendet pritëse në mënyrë të ligjshme. Vizioni i saj ka për synim rivlerësimin e angazhimit të diasporës duke u bazuar në strukturën e marrëdhënieve aktuale të shtetit shqiptar me diasporën.</w:t>
            </w:r>
            <w:r w:rsidRPr="00B6793F">
              <w:rPr>
                <w:rFonts w:ascii="Arial" w:eastAsia="Times New Roman" w:hAnsi="Arial" w:cs="Arial"/>
                <w:color w:val="000000"/>
                <w:sz w:val="8"/>
                <w:szCs w:val="8"/>
                <w:lang w:eastAsia="sq-AL"/>
              </w:rPr>
              <w:br/>
              <w:t>Kjo Strategji është në vitin e fundit të zbatimit të saj dhe në vitin 2026 lind domosdoshmëria e miratimit dhe zbatimit të Strategjisë së re për Diasporën, bazuar ne pikën a dhe b të nentit 5, ligji 16/2028</w:t>
            </w:r>
          </w:p>
        </w:tc>
        <w:tc>
          <w:tcPr>
            <w:tcW w:w="537" w:type="pct"/>
            <w:tcBorders>
              <w:top w:val="nil"/>
              <w:left w:val="nil"/>
              <w:bottom w:val="single" w:sz="4" w:space="0" w:color="auto"/>
              <w:right w:val="single" w:sz="4" w:space="0" w:color="auto"/>
            </w:tcBorders>
            <w:shd w:val="clear" w:color="auto" w:fill="auto"/>
            <w:vAlign w:val="center"/>
            <w:hideMark/>
          </w:tcPr>
          <w:p w14:paraId="3B77F01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 xml:space="preserve">Strategjia Kombëtare e Diasporës do të përqëndrohet në një strukturë objektivash strategjikë dhe shoqërohet nga plani i saj i veprimit. </w:t>
            </w:r>
            <w:r w:rsidRPr="00B6793F">
              <w:rPr>
                <w:rFonts w:ascii="Arial" w:eastAsia="Times New Roman" w:hAnsi="Arial" w:cs="Arial"/>
                <w:color w:val="000000"/>
                <w:sz w:val="8"/>
                <w:szCs w:val="8"/>
                <w:lang w:eastAsia="sq-AL"/>
              </w:rPr>
              <w:br/>
              <w:t xml:space="preserve">Propozohet të hartohet në përputhje </w:t>
            </w:r>
            <w:r w:rsidRPr="00B6793F">
              <w:rPr>
                <w:rFonts w:ascii="Arial" w:eastAsia="Times New Roman" w:hAnsi="Arial" w:cs="Arial"/>
                <w:color w:val="000000"/>
                <w:sz w:val="8"/>
                <w:szCs w:val="8"/>
                <w:lang w:eastAsia="sq-AL"/>
              </w:rPr>
              <w:lastRenderedPageBreak/>
              <w:t xml:space="preserve">me Udhëzuesin e Bashkimit Evropian për Politikat dhe me standardet ndërkombëtare dhe Paktin Global për Migracionin. Strategjia synon të krijojë mekanizma, të cilat do të mbështesin komunitetet shqiptare në diasporë si edhe do të nxisë angazhimin bashkëpunues të institucioneve shtetërore. </w:t>
            </w:r>
            <w:r w:rsidRPr="00B6793F">
              <w:rPr>
                <w:rFonts w:ascii="Arial" w:eastAsia="Times New Roman" w:hAnsi="Arial" w:cs="Arial"/>
                <w:color w:val="000000"/>
                <w:sz w:val="8"/>
                <w:szCs w:val="8"/>
                <w:lang w:eastAsia="sq-AL"/>
              </w:rPr>
              <w:br/>
              <w:t>Objektivat kryesorë janë:</w:t>
            </w:r>
            <w:r w:rsidRPr="00B6793F">
              <w:rPr>
                <w:rFonts w:ascii="Arial" w:eastAsia="Times New Roman" w:hAnsi="Arial" w:cs="Arial"/>
                <w:color w:val="000000"/>
                <w:sz w:val="8"/>
                <w:szCs w:val="8"/>
                <w:lang w:eastAsia="sq-AL"/>
              </w:rPr>
              <w:br/>
              <w:t>• Përshtatja e ndryshimeve ligjore me nivelin e politikbërjes.</w:t>
            </w:r>
            <w:r w:rsidRPr="00B6793F">
              <w:rPr>
                <w:rFonts w:ascii="Arial" w:eastAsia="Times New Roman" w:hAnsi="Arial" w:cs="Arial"/>
                <w:color w:val="000000"/>
                <w:sz w:val="8"/>
                <w:szCs w:val="8"/>
                <w:lang w:eastAsia="sq-AL"/>
              </w:rPr>
              <w:br/>
              <w:t>• Angazhimi i strukturave shtetërore të krijuara për të përmirësuar dhe fuqizuar bashkëpunimin me komunitetet shqiptare në diasporë.                                                                                                         Çështjet kryesore që parashikon të rregullojë projekt akti:</w:t>
            </w:r>
            <w:r w:rsidRPr="00B6793F">
              <w:rPr>
                <w:rFonts w:ascii="Arial" w:eastAsia="Times New Roman" w:hAnsi="Arial" w:cs="Arial"/>
                <w:color w:val="000000"/>
                <w:sz w:val="8"/>
                <w:szCs w:val="8"/>
                <w:lang w:eastAsia="sq-AL"/>
              </w:rPr>
              <w:br/>
              <w:t xml:space="preserve">• Marrëdhënia shtetërore me diasporën </w:t>
            </w:r>
            <w:r w:rsidRPr="00B6793F">
              <w:rPr>
                <w:rFonts w:ascii="Arial" w:eastAsia="Times New Roman" w:hAnsi="Arial" w:cs="Arial"/>
                <w:color w:val="000000"/>
                <w:sz w:val="8"/>
                <w:szCs w:val="8"/>
                <w:lang w:eastAsia="sq-AL"/>
              </w:rPr>
              <w:br/>
              <w:t xml:space="preserve">• Organizimi i diasporës </w:t>
            </w:r>
            <w:r w:rsidRPr="00B6793F">
              <w:rPr>
                <w:rFonts w:ascii="Arial" w:eastAsia="Times New Roman" w:hAnsi="Arial" w:cs="Arial"/>
                <w:color w:val="000000"/>
                <w:sz w:val="8"/>
                <w:szCs w:val="8"/>
                <w:lang w:eastAsia="sq-AL"/>
              </w:rPr>
              <w:br/>
              <w:t>• Ekonomia, biznesi dhe Inovacioni</w:t>
            </w:r>
            <w:r w:rsidRPr="00B6793F">
              <w:rPr>
                <w:rFonts w:ascii="Arial" w:eastAsia="Times New Roman" w:hAnsi="Arial" w:cs="Arial"/>
                <w:color w:val="000000"/>
                <w:sz w:val="8"/>
                <w:szCs w:val="8"/>
                <w:lang w:eastAsia="sq-AL"/>
              </w:rPr>
              <w:br/>
              <w:t xml:space="preserve">• Arsimi dhe mësimdhënia </w:t>
            </w:r>
            <w:r w:rsidRPr="00B6793F">
              <w:rPr>
                <w:rFonts w:ascii="Arial" w:eastAsia="Times New Roman" w:hAnsi="Arial" w:cs="Arial"/>
                <w:color w:val="000000"/>
                <w:sz w:val="8"/>
                <w:szCs w:val="8"/>
                <w:lang w:eastAsia="sq-AL"/>
              </w:rPr>
              <w:br/>
              <w:t xml:space="preserve">• Media dhe komunikimi </w:t>
            </w:r>
            <w:r w:rsidRPr="00B6793F">
              <w:rPr>
                <w:rFonts w:ascii="Arial" w:eastAsia="Times New Roman" w:hAnsi="Arial" w:cs="Arial"/>
                <w:color w:val="000000"/>
                <w:sz w:val="8"/>
                <w:szCs w:val="8"/>
                <w:lang w:eastAsia="sq-AL"/>
              </w:rPr>
              <w:br/>
              <w:t>• Monitorimi dhe transparenca</w:t>
            </w:r>
          </w:p>
        </w:tc>
        <w:tc>
          <w:tcPr>
            <w:tcW w:w="375" w:type="pct"/>
            <w:tcBorders>
              <w:top w:val="nil"/>
              <w:left w:val="nil"/>
              <w:bottom w:val="single" w:sz="4" w:space="0" w:color="auto"/>
              <w:right w:val="single" w:sz="4" w:space="0" w:color="auto"/>
            </w:tcBorders>
            <w:shd w:val="clear" w:color="auto" w:fill="auto"/>
            <w:vAlign w:val="center"/>
            <w:hideMark/>
          </w:tcPr>
          <w:p w14:paraId="0342A78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Jo</w:t>
            </w:r>
          </w:p>
        </w:tc>
        <w:tc>
          <w:tcPr>
            <w:tcW w:w="540" w:type="pct"/>
            <w:tcBorders>
              <w:top w:val="nil"/>
              <w:left w:val="nil"/>
              <w:bottom w:val="single" w:sz="4" w:space="0" w:color="auto"/>
              <w:right w:val="single" w:sz="4" w:space="0" w:color="auto"/>
            </w:tcBorders>
            <w:shd w:val="clear" w:color="auto" w:fill="auto"/>
            <w:vAlign w:val="center"/>
            <w:hideMark/>
          </w:tcPr>
          <w:p w14:paraId="2F20D11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19020EF1"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7F03E4C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Strategjia Kombëtare e Zhvillimit të Sipërmarrjes Inovative 2024-2030;                        2)- Strategjia Kombëtare </w:t>
            </w:r>
            <w:r w:rsidRPr="00B6793F">
              <w:rPr>
                <w:rFonts w:ascii="Arial" w:eastAsia="Times New Roman" w:hAnsi="Arial" w:cs="Arial"/>
                <w:color w:val="000000"/>
                <w:sz w:val="8"/>
                <w:szCs w:val="8"/>
                <w:lang w:eastAsia="sq-AL"/>
              </w:rPr>
              <w:lastRenderedPageBreak/>
              <w:t xml:space="preserve">për Migracionin 2024-2030 ;                3)-  S3-Strategjia e Specializimit Ineligjent  </w:t>
            </w:r>
          </w:p>
        </w:tc>
        <w:tc>
          <w:tcPr>
            <w:tcW w:w="561" w:type="pct"/>
            <w:tcBorders>
              <w:top w:val="nil"/>
              <w:left w:val="nil"/>
              <w:bottom w:val="single" w:sz="4" w:space="0" w:color="auto"/>
              <w:right w:val="single" w:sz="4" w:space="0" w:color="auto"/>
            </w:tcBorders>
            <w:shd w:val="clear" w:color="auto" w:fill="auto"/>
            <w:vAlign w:val="center"/>
            <w:hideMark/>
          </w:tcPr>
          <w:p w14:paraId="536C8D1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Jo</w:t>
            </w:r>
          </w:p>
        </w:tc>
      </w:tr>
      <w:tr w:rsidR="00AD1976" w:rsidRPr="00B6793F" w14:paraId="6ABAC4B2"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3991D0A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56" w:type="pct"/>
            <w:tcBorders>
              <w:top w:val="nil"/>
              <w:left w:val="nil"/>
              <w:bottom w:val="single" w:sz="4" w:space="0" w:color="auto"/>
              <w:right w:val="single" w:sz="4" w:space="0" w:color="auto"/>
            </w:tcBorders>
            <w:shd w:val="clear" w:color="auto" w:fill="auto"/>
            <w:vAlign w:val="center"/>
            <w:hideMark/>
          </w:tcPr>
          <w:p w14:paraId="29FE7F5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339, datë 06.06.2018 të Këshillit të Ministrave“Për kriteret dhe mënyrën e ndarjes së çmimit “Ambasador i Kombit".</w:t>
            </w:r>
          </w:p>
        </w:tc>
        <w:tc>
          <w:tcPr>
            <w:tcW w:w="387" w:type="pct"/>
            <w:tcBorders>
              <w:top w:val="nil"/>
              <w:left w:val="nil"/>
              <w:bottom w:val="single" w:sz="4" w:space="0" w:color="auto"/>
              <w:right w:val="single" w:sz="4" w:space="0" w:color="auto"/>
            </w:tcBorders>
            <w:shd w:val="clear" w:color="auto" w:fill="auto"/>
            <w:vAlign w:val="center"/>
            <w:hideMark/>
          </w:tcPr>
          <w:p w14:paraId="2368234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6D1EC34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5037064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89" w:type="pct"/>
            <w:tcBorders>
              <w:top w:val="nil"/>
              <w:left w:val="nil"/>
              <w:bottom w:val="single" w:sz="4" w:space="0" w:color="auto"/>
              <w:right w:val="single" w:sz="4" w:space="0" w:color="auto"/>
            </w:tcBorders>
            <w:shd w:val="clear" w:color="auto" w:fill="auto"/>
            <w:vAlign w:val="center"/>
            <w:hideMark/>
          </w:tcPr>
          <w:p w14:paraId="69F90A0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 xml:space="preserve">Këshilli i Ministrave ka miratuar Vendimin nr. 510, datë 25.9.2025 “Për përcaktimin e fushës së përgjegjësisë shtetërore të Ministrisë për Evropën dhe Punët e Jashtme” sipas të cilit MEPJ caktohet si institucion përgjegjës për diasporën. </w:t>
            </w:r>
            <w:r w:rsidRPr="00B6793F">
              <w:rPr>
                <w:rFonts w:ascii="Arial" w:eastAsia="Times New Roman" w:hAnsi="Arial" w:cs="Arial"/>
                <w:color w:val="000000"/>
                <w:sz w:val="8"/>
                <w:szCs w:val="8"/>
                <w:lang w:eastAsia="sq-AL"/>
              </w:rPr>
              <w:br/>
              <w:t xml:space="preserve">Në këto kushte, Ministrisë për Evropën dhe Punët e Jashtme i lind detyrimi për të bërë një screening / analizë të kuadrit ligjor në fuqi për çështjet e diasporës, duke mbajtur në konsideratë politikën shtetërore dhe objektivat e MEPJ-së për diasporën. </w:t>
            </w:r>
            <w:r w:rsidRPr="00B6793F">
              <w:rPr>
                <w:rFonts w:ascii="Arial" w:eastAsia="Times New Roman" w:hAnsi="Arial" w:cs="Arial"/>
                <w:color w:val="000000"/>
                <w:sz w:val="8"/>
                <w:szCs w:val="8"/>
                <w:lang w:eastAsia="sq-AL"/>
              </w:rPr>
              <w:br/>
              <w:t>Projekt Vendimi propozohet të avancohet pas miratimit të Projektligjit për disa shtesa dhe ndryshime në (neni 15)  Ligjin nr. 16/2018 “Për Diasporën”  me subjekt propozues MEPJ.</w:t>
            </w:r>
          </w:p>
        </w:tc>
        <w:tc>
          <w:tcPr>
            <w:tcW w:w="537" w:type="pct"/>
            <w:tcBorders>
              <w:top w:val="nil"/>
              <w:left w:val="nil"/>
              <w:bottom w:val="single" w:sz="4" w:space="0" w:color="auto"/>
              <w:right w:val="single" w:sz="4" w:space="0" w:color="auto"/>
            </w:tcBorders>
            <w:shd w:val="clear" w:color="auto" w:fill="auto"/>
            <w:vAlign w:val="center"/>
            <w:hideMark/>
          </w:tcPr>
          <w:p w14:paraId="1203149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 akti nënligjor synon të zgjerojë kategorinë e çmimeve që mund ti akordohen personaliteteve apo individëve të sukseshëm në diasporë, të cilët  kanë dhënë dhe vijojnë të japin kontribut të qënësishëm në promovimin e Shqipërisë në arenën ndërkombëtare apo përmes arritjeve të tyre lartësojnë emrin shqiptar kudo në botë. Duke patur një gamë të gjerë të fushave në të cilat shqiptarët spikasin dhe janë të sukseshëm Vendimi i Këshillit të Ministrave aktualisht në zbatim, ka nevojë për disa shtesa pasi është i kufizuar vetëm në një lloj çmimi atë të Ambasador Kombi. Konkluzion : Për këtë qëllim lind nevoja për zgjerim të çmimeve të akorduara duke mos u kufizuar vetëm në akordimin e çmimit të Abasador Kombi por të pasurohet dhe me kategori të tjera çmimesh. </w:t>
            </w:r>
          </w:p>
        </w:tc>
        <w:tc>
          <w:tcPr>
            <w:tcW w:w="375" w:type="pct"/>
            <w:tcBorders>
              <w:top w:val="nil"/>
              <w:left w:val="nil"/>
              <w:bottom w:val="single" w:sz="4" w:space="0" w:color="auto"/>
              <w:right w:val="single" w:sz="4" w:space="0" w:color="auto"/>
            </w:tcBorders>
            <w:shd w:val="clear" w:color="auto" w:fill="auto"/>
            <w:vAlign w:val="center"/>
            <w:hideMark/>
          </w:tcPr>
          <w:p w14:paraId="1B39174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783FE53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464AA0E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380B202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Strategjia Kombëtare e Zhvillimit të Sipërmarrjes Inovative 2024-2030;                        2)- Strategjia Kombëtare për Migracionin 2024-2030 ;                3)-  S3-Strategjia e Specializimit Ineligjent  </w:t>
            </w:r>
          </w:p>
        </w:tc>
        <w:tc>
          <w:tcPr>
            <w:tcW w:w="561" w:type="pct"/>
            <w:tcBorders>
              <w:top w:val="nil"/>
              <w:left w:val="nil"/>
              <w:bottom w:val="single" w:sz="4" w:space="0" w:color="auto"/>
              <w:right w:val="single" w:sz="4" w:space="0" w:color="auto"/>
            </w:tcBorders>
            <w:shd w:val="clear" w:color="auto" w:fill="auto"/>
            <w:noWrap/>
            <w:vAlign w:val="center"/>
            <w:hideMark/>
          </w:tcPr>
          <w:p w14:paraId="1DDE0D8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AD1976" w:rsidRPr="00B6793F" w14:paraId="74A434AA"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1A18BEC7"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9</w:t>
            </w:r>
          </w:p>
        </w:tc>
        <w:tc>
          <w:tcPr>
            <w:tcW w:w="456" w:type="pct"/>
            <w:tcBorders>
              <w:top w:val="nil"/>
              <w:left w:val="nil"/>
              <w:bottom w:val="single" w:sz="4" w:space="0" w:color="auto"/>
              <w:right w:val="single" w:sz="4" w:space="0" w:color="auto"/>
            </w:tcBorders>
            <w:shd w:val="clear" w:color="auto" w:fill="auto"/>
            <w:vAlign w:val="center"/>
            <w:hideMark/>
          </w:tcPr>
          <w:p w14:paraId="425B912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shtesa dhe ndryshime në vendimin   nr. 470, datë 26.07.2018 të Këshillit të Ministrave “Për krijimin, organizimin dhe funksionimin e Qendrave Kulturore për Diasporën”.</w:t>
            </w:r>
          </w:p>
        </w:tc>
        <w:tc>
          <w:tcPr>
            <w:tcW w:w="387" w:type="pct"/>
            <w:tcBorders>
              <w:top w:val="nil"/>
              <w:left w:val="nil"/>
              <w:bottom w:val="single" w:sz="4" w:space="0" w:color="auto"/>
              <w:right w:val="single" w:sz="4" w:space="0" w:color="auto"/>
            </w:tcBorders>
            <w:shd w:val="clear" w:color="auto" w:fill="auto"/>
            <w:vAlign w:val="center"/>
            <w:hideMark/>
          </w:tcPr>
          <w:p w14:paraId="4DDCCCED"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2AAE83A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03FE6D0D"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52AA401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Këshilli i Ministrave ka miratuar Vendimin nr. 510, datë 25.9.2025 “Për përcaktimin e fushës së përgjegjësisë shtetërore të Ministrisë për Evropën dhe Punët e Jashtme” sipas të cilit MEPJ caktohet si institucion përgjegjës për diasporën.                                                                                                                                                                        Ministria për Evropën dhe Punët e Jashtme ka propozuar Projektligj për disa shtesa dhe ndryshime në Ligjin nr. 16/2018 “Për Diasporën” . Për rrjedhojë miratimi i mundshëm i Projektligjit në fjalë   pasjell nevojën e harmonizimit dhe përpuethshmërisë me aktet nenligjore të nxjerra në zbatim të tij.                                                   Projekt Vendimi propozohet të paraqitet pas miratimit të amendimeve në Ligjin nr. 16/2018 “Për Diasporën” dhe në Ligjin nr.23/2015 “ Për shërbimin e jashtëm të Republikës së Shqipërisë”, referuar pikës d, neni 5, të ligjit 16/2028.</w:t>
            </w:r>
          </w:p>
        </w:tc>
        <w:tc>
          <w:tcPr>
            <w:tcW w:w="537" w:type="pct"/>
            <w:tcBorders>
              <w:top w:val="nil"/>
              <w:left w:val="nil"/>
              <w:bottom w:val="single" w:sz="4" w:space="0" w:color="auto"/>
              <w:right w:val="single" w:sz="4" w:space="0" w:color="auto"/>
            </w:tcBorders>
            <w:shd w:val="clear" w:color="auto" w:fill="auto"/>
            <w:vAlign w:val="center"/>
            <w:hideMark/>
          </w:tcPr>
          <w:p w14:paraId="6869D7A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 akti synon të qartësojë mënyrën e funksionimit, varësinë dhe mënyrën e financimit të Qendrave Kulturore për Diasporën, të cilat konsiderohen vatër e përhapjes së kulturës shqiptare në diasporë. Qendrat luajnë rol thelbësor së bashku me institucionet përgjegjëse për diasporën në: ruajtjen, kultivimin e identitetit kombëtar, gjuhësor, kulturor e arsimor të diasporës si dhe kontribuojnë drejtpërdrejtë në forcimin e lidhjeve të saj me institucionet e Republikës së Shqipërisë.  Rregullimi i aspekteve të funksionimit të Qendrave Kulturore për Diasporën konsiderohet me rëndësi, pasi ato paraqesin një mekanizëm përmes të cilit, shteti shqiptar lobon për përhapjen e kulturës shqiptare në diasporë.</w:t>
            </w:r>
          </w:p>
        </w:tc>
        <w:tc>
          <w:tcPr>
            <w:tcW w:w="375" w:type="pct"/>
            <w:tcBorders>
              <w:top w:val="nil"/>
              <w:left w:val="nil"/>
              <w:bottom w:val="single" w:sz="4" w:space="0" w:color="auto"/>
              <w:right w:val="single" w:sz="4" w:space="0" w:color="auto"/>
            </w:tcBorders>
            <w:shd w:val="clear" w:color="auto" w:fill="auto"/>
            <w:vAlign w:val="center"/>
            <w:hideMark/>
          </w:tcPr>
          <w:p w14:paraId="3F82C99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177D120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342984C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37D70E19"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Strategjia Kombëtare e Zhvillimit të Sipërmarrjes Inovative 2024-2030;                        2)- Strategjia Kombëtare për Migracionin 2024-2030 ;                3)-  S3-Strategjia e Specializimit Ineligjent  </w:t>
            </w:r>
          </w:p>
        </w:tc>
        <w:tc>
          <w:tcPr>
            <w:tcW w:w="561" w:type="pct"/>
            <w:tcBorders>
              <w:top w:val="nil"/>
              <w:left w:val="nil"/>
              <w:bottom w:val="single" w:sz="4" w:space="0" w:color="auto"/>
              <w:right w:val="single" w:sz="4" w:space="0" w:color="auto"/>
            </w:tcBorders>
            <w:shd w:val="clear" w:color="auto" w:fill="auto"/>
            <w:vAlign w:val="center"/>
            <w:hideMark/>
          </w:tcPr>
          <w:p w14:paraId="5044A61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AD1976" w:rsidRPr="00B6793F" w14:paraId="7F42F234"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5A85511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56" w:type="pct"/>
            <w:tcBorders>
              <w:top w:val="nil"/>
              <w:left w:val="nil"/>
              <w:bottom w:val="single" w:sz="4" w:space="0" w:color="auto"/>
              <w:right w:val="single" w:sz="4" w:space="0" w:color="auto"/>
            </w:tcBorders>
            <w:shd w:val="clear" w:color="auto" w:fill="auto"/>
            <w:vAlign w:val="center"/>
            <w:hideMark/>
          </w:tcPr>
          <w:p w14:paraId="47840E5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shtesa dhe ndryshime në vendimin nr. 120, datë 6.3.2024 të Këshillit të Ministrave “Për krijimin, organizimin dhe funksionimin e Agjencisë Kombëtare të Diasporës”         </w:t>
            </w:r>
          </w:p>
        </w:tc>
        <w:tc>
          <w:tcPr>
            <w:tcW w:w="387" w:type="pct"/>
            <w:tcBorders>
              <w:top w:val="nil"/>
              <w:left w:val="nil"/>
              <w:bottom w:val="single" w:sz="4" w:space="0" w:color="auto"/>
              <w:right w:val="single" w:sz="4" w:space="0" w:color="auto"/>
            </w:tcBorders>
            <w:shd w:val="clear" w:color="auto" w:fill="auto"/>
            <w:vAlign w:val="center"/>
            <w:hideMark/>
          </w:tcPr>
          <w:p w14:paraId="3027ABB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7CF2C86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08FF9B46"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50F47D3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Këshilli i Ministrave ka miratuar Vendimin nr. 510, datë 25.9.2025 “Për përcaktimin e fushës së përgjegjësisë shtetërore të Ministrisë për Evropën dhe Punët e Jashtme” sipas të cilit MEPJ caktohet si institucion përgjegjës për diasporën.</w:t>
            </w:r>
            <w:r w:rsidRPr="00B6793F">
              <w:rPr>
                <w:rFonts w:ascii="Arial" w:eastAsia="Times New Roman" w:hAnsi="Arial" w:cs="Arial"/>
                <w:color w:val="000000"/>
                <w:sz w:val="8"/>
                <w:szCs w:val="8"/>
                <w:lang w:eastAsia="sq-AL"/>
              </w:rPr>
              <w:br/>
              <w:t>Ndryshimet e propozuara  kanë për objekt kreun III, pika 2 të VKM nr. 120, datë 6.3.2024  dhe synojnë të harmonizojnë dhe reflektojnë objektivat për diasporën e cilësuara në programin qeverisës 2025-2029 ku politika e jashtme dhe diaspora konsiderohen ura jonë me botën, e në veçanti zgjerimin e përgjegjësive funksionale dhe lidhjen e diasporës me inovacionin dhe teknologjinë, për të tërhequr profesionistë dhe ekspertizë, duke ndërtuar ura mes talenteve jashtë vendit dhe mundësive ekonomike në Shqipëri si dhe mundësinë e rikthimit të talenteve. Ndryshimet prekin edhe kompetencën territoriale të ushtrimit të veprimtarisë së AKD si një institucion varësie i specializuar për marrëdhënet me diasporën, duke e zgjeruar atë dhe jashtë vendit në koordimim me përfaqësitë tona diplomatike,</w:t>
            </w:r>
            <w:r w:rsidRPr="00B6793F">
              <w:rPr>
                <w:rFonts w:ascii="Arial" w:eastAsia="Times New Roman" w:hAnsi="Arial" w:cs="Arial"/>
                <w:color w:val="000000"/>
                <w:sz w:val="8"/>
                <w:szCs w:val="8"/>
                <w:lang w:eastAsia="sq-AL"/>
              </w:rPr>
              <w:br/>
              <w:t xml:space="preserve">Gjithashtu, ndryshimet e propozuara </w:t>
            </w:r>
            <w:r w:rsidRPr="00B6793F">
              <w:rPr>
                <w:rFonts w:ascii="Arial" w:eastAsia="Times New Roman" w:hAnsi="Arial" w:cs="Arial"/>
                <w:color w:val="000000"/>
                <w:sz w:val="8"/>
                <w:szCs w:val="8"/>
                <w:lang w:eastAsia="sq-AL"/>
              </w:rPr>
              <w:lastRenderedPageBreak/>
              <w:t>prekin dhe aspekte organizative dhe menxhuese: që lidhen me shërbimet e brendshme dhe menxhimin financiar sanksionuar në kreun III pika 5 të cilat propozohen të vazhdojnë të kryhen nga vetë Agjencia Kombëtare e Diasporës. Kjo synohet të reflektohet më pas dhe në strukturën e re të AKD.</w:t>
            </w:r>
          </w:p>
        </w:tc>
        <w:tc>
          <w:tcPr>
            <w:tcW w:w="537" w:type="pct"/>
            <w:tcBorders>
              <w:top w:val="nil"/>
              <w:left w:val="nil"/>
              <w:bottom w:val="single" w:sz="4" w:space="0" w:color="auto"/>
              <w:right w:val="single" w:sz="4" w:space="0" w:color="auto"/>
            </w:tcBorders>
            <w:shd w:val="clear" w:color="auto" w:fill="auto"/>
            <w:vAlign w:val="center"/>
            <w:hideMark/>
          </w:tcPr>
          <w:p w14:paraId="4E743D9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Zgjerimin e përgjegjësive funksionale dhe lidhjen e diasporës me inovacionin dhe teknologjinë, për të tërhequr profesionistë dhe ekspertizë, duke ndërtuar ura mes talenteve jashtë vendit dhe mundësive ekonomike në Shqipëri si dhe mundësinë e rikthimit të talenteve. Ndryshimet prekin edhe kompetencën territoriale të ushtrimit të veprimtarisë së AKD si një institucion varësie i specializuar për marrëdhënet me diasporën, duke e zgjeruar atë dhe jashtë vendit në koordimim me përfaqësitë tona diplomatike,</w:t>
            </w:r>
            <w:r w:rsidRPr="00B6793F">
              <w:rPr>
                <w:rFonts w:ascii="Arial" w:eastAsia="Times New Roman" w:hAnsi="Arial" w:cs="Arial"/>
                <w:color w:val="000000"/>
                <w:sz w:val="8"/>
                <w:szCs w:val="8"/>
                <w:lang w:eastAsia="sq-AL"/>
              </w:rPr>
              <w:br/>
              <w:t xml:space="preserve">Gjithashtu, ndryshimet e propozuara prekin dhe aspekte organizative dhe menxhuese: që lidhen me shërbimet e brendshme dhe menaxhimin financiar sanksionuar në kreun III pika 5 të cilat propozohen të vazhdojnë të kryhen nga vetë Agjencia Kombëtare e Diasporës për vetë faktin që diaspora shqiptare gjendet e përqëndruar në shtete të ndryshme dhe paraqet sfida dhe çështje komplekse të cilat duhet të </w:t>
            </w:r>
            <w:r w:rsidRPr="00B6793F">
              <w:rPr>
                <w:rFonts w:ascii="Arial" w:eastAsia="Times New Roman" w:hAnsi="Arial" w:cs="Arial"/>
                <w:color w:val="000000"/>
                <w:sz w:val="8"/>
                <w:szCs w:val="8"/>
                <w:lang w:eastAsia="sq-AL"/>
              </w:rPr>
              <w:lastRenderedPageBreak/>
              <w:t>trajtohen në kohë reale dhe pa vonesa. Kjo synohet të reflektohet më pas dhe në strukturën e re të AKD.</w:t>
            </w:r>
          </w:p>
        </w:tc>
        <w:tc>
          <w:tcPr>
            <w:tcW w:w="375" w:type="pct"/>
            <w:tcBorders>
              <w:top w:val="nil"/>
              <w:left w:val="nil"/>
              <w:bottom w:val="single" w:sz="4" w:space="0" w:color="auto"/>
              <w:right w:val="single" w:sz="4" w:space="0" w:color="auto"/>
            </w:tcBorders>
            <w:shd w:val="clear" w:color="auto" w:fill="auto"/>
            <w:vAlign w:val="center"/>
            <w:hideMark/>
          </w:tcPr>
          <w:p w14:paraId="5C6C5DF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Jo</w:t>
            </w:r>
          </w:p>
        </w:tc>
        <w:tc>
          <w:tcPr>
            <w:tcW w:w="540" w:type="pct"/>
            <w:tcBorders>
              <w:top w:val="nil"/>
              <w:left w:val="nil"/>
              <w:bottom w:val="single" w:sz="4" w:space="0" w:color="auto"/>
              <w:right w:val="single" w:sz="4" w:space="0" w:color="auto"/>
            </w:tcBorders>
            <w:shd w:val="clear" w:color="auto" w:fill="auto"/>
            <w:vAlign w:val="center"/>
            <w:hideMark/>
          </w:tcPr>
          <w:p w14:paraId="445DB3D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59C8C9D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06F3562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Strategjia Kombëtare e Zhvillimit të Sipërmarrjes Inovative 2024-2030;                        2)- Strategjia Kombëtare për Migracionin 2024-2030 ;                3)-Strategjia e Specializimit Ineligjent  </w:t>
            </w:r>
          </w:p>
        </w:tc>
        <w:tc>
          <w:tcPr>
            <w:tcW w:w="561" w:type="pct"/>
            <w:tcBorders>
              <w:top w:val="nil"/>
              <w:left w:val="nil"/>
              <w:bottom w:val="single" w:sz="4" w:space="0" w:color="auto"/>
              <w:right w:val="single" w:sz="4" w:space="0" w:color="auto"/>
            </w:tcBorders>
            <w:shd w:val="clear" w:color="auto" w:fill="auto"/>
            <w:vAlign w:val="center"/>
            <w:hideMark/>
          </w:tcPr>
          <w:p w14:paraId="403D0057"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4BA9C01D"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652A49C"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11</w:t>
            </w:r>
          </w:p>
        </w:tc>
        <w:tc>
          <w:tcPr>
            <w:tcW w:w="456" w:type="pct"/>
            <w:tcBorders>
              <w:top w:val="nil"/>
              <w:left w:val="nil"/>
              <w:bottom w:val="single" w:sz="4" w:space="0" w:color="auto"/>
              <w:right w:val="single" w:sz="4" w:space="0" w:color="auto"/>
            </w:tcBorders>
            <w:shd w:val="clear" w:color="auto" w:fill="auto"/>
            <w:vAlign w:val="center"/>
            <w:hideMark/>
          </w:tcPr>
          <w:p w14:paraId="6B81C7E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ndryshime në vendimin nr. 504, datë 24.6.2020 të Këshillit të Ministrave "Për krijimin e bazës të të dhënave shtetërore të studentëve të cilët studiojnë jashtë vendit" </w:t>
            </w:r>
          </w:p>
        </w:tc>
        <w:tc>
          <w:tcPr>
            <w:tcW w:w="387" w:type="pct"/>
            <w:tcBorders>
              <w:top w:val="nil"/>
              <w:left w:val="nil"/>
              <w:bottom w:val="single" w:sz="4" w:space="0" w:color="auto"/>
              <w:right w:val="single" w:sz="4" w:space="0" w:color="auto"/>
            </w:tcBorders>
            <w:shd w:val="clear" w:color="auto" w:fill="auto"/>
            <w:vAlign w:val="center"/>
            <w:hideMark/>
          </w:tcPr>
          <w:p w14:paraId="6CDF54A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4EBF028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10CFCA2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0E8A47D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Propozimi për ndryshime në Vendimin e Këshillit të Ministrave nr. 504, datë 24.6.2020 synon të qartësojë përgjegjësitë e institucioneve të ngarkuara me zbatim duke revokuar përgjegjësinë e MEPJ/AKD në këtë proces.  Konkretisht, propozimi mbështetet në vetë faktin që Ministria e Arsimit është institucion përgjegjës për çështjet e arsimit dhe disponon të dhëna të plota dhe të sakta për studentët shqiptarë që studiojnë jashtë vendit, refezuar nenit 9, te ligjit 10325/2010 dhe pikës 1, neni 6 i ligjit 115/18.12.2025.</w:t>
            </w:r>
            <w:r w:rsidRPr="00B6793F">
              <w:rPr>
                <w:rFonts w:ascii="Arial" w:eastAsia="Times New Roman" w:hAnsi="Arial" w:cs="Arial"/>
                <w:color w:val="000000"/>
                <w:sz w:val="8"/>
                <w:szCs w:val="8"/>
                <w:lang w:eastAsia="sq-AL"/>
              </w:rPr>
              <w:br/>
              <w:t>Gjithashtu, propozimi siguron shmangien e mbivendosjes së funksioneve dhe paqartësive mbi përgjegjësinë e administrimit të të dhënave personale të studentëve që kanë përfituar bursa jashtë vendit. Ministria e Arsimit në zbatim të VKM nr. 160 datë 19.2.2020 ”Për mbështetjen financiare të studentëve të shkëlqyer dhe të nëpunësve civilë (fondi i ekselencës)” administron procedurën e regjistrimit, verifikimit dhe menaxhimit të bursave të studimit të përfituara nga studentët shqiptarë, të cilët kryejnë studimet universitare jashtë vendit si dhe shtetasit shqiptarë që kanë përfituar bursat e studimit që i ofrohen Shqipërisë nga shtete, organizata ndërkombëtare dhe jofitimprurëse në bazë të marrëveshjeve të nënshkruara apo dokumente të tjera ku Republika e Shqipërisë është palë.</w:t>
            </w:r>
          </w:p>
        </w:tc>
        <w:tc>
          <w:tcPr>
            <w:tcW w:w="537" w:type="pct"/>
            <w:tcBorders>
              <w:top w:val="nil"/>
              <w:left w:val="nil"/>
              <w:bottom w:val="single" w:sz="4" w:space="0" w:color="auto"/>
              <w:right w:val="single" w:sz="4" w:space="0" w:color="auto"/>
            </w:tcBorders>
            <w:shd w:val="clear" w:color="auto" w:fill="auto"/>
            <w:vAlign w:val="center"/>
            <w:hideMark/>
          </w:tcPr>
          <w:p w14:paraId="69F262C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 akti nënligjor synon qartësojë përgjegjësitë e institucioneve të ngarkuara me zbatim dhe shmangien e mbivendosjes së funksioneve dhe paqartësive mbi përgjegjësinë e administrimit të të dhënave personale të studentëve që kanë përfituar bursa jashtë vendit.</w:t>
            </w:r>
          </w:p>
        </w:tc>
        <w:tc>
          <w:tcPr>
            <w:tcW w:w="375" w:type="pct"/>
            <w:tcBorders>
              <w:top w:val="nil"/>
              <w:left w:val="nil"/>
              <w:bottom w:val="single" w:sz="4" w:space="0" w:color="auto"/>
              <w:right w:val="single" w:sz="4" w:space="0" w:color="auto"/>
            </w:tcBorders>
            <w:shd w:val="clear" w:color="auto" w:fill="auto"/>
            <w:vAlign w:val="center"/>
            <w:hideMark/>
          </w:tcPr>
          <w:p w14:paraId="12C59464"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40DA771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1817F1D2"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69A4C2C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Kombëtare për Arsimin 2021-2026</w:t>
            </w:r>
          </w:p>
        </w:tc>
        <w:tc>
          <w:tcPr>
            <w:tcW w:w="561" w:type="pct"/>
            <w:tcBorders>
              <w:top w:val="nil"/>
              <w:left w:val="nil"/>
              <w:bottom w:val="single" w:sz="4" w:space="0" w:color="auto"/>
              <w:right w:val="single" w:sz="4" w:space="0" w:color="auto"/>
            </w:tcBorders>
            <w:shd w:val="clear" w:color="auto" w:fill="auto"/>
            <w:vAlign w:val="center"/>
            <w:hideMark/>
          </w:tcPr>
          <w:p w14:paraId="70D2378B"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r w:rsidR="00AD1976" w:rsidRPr="00B6793F" w14:paraId="57135028"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A3BF2A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56" w:type="pct"/>
            <w:tcBorders>
              <w:top w:val="nil"/>
              <w:left w:val="nil"/>
              <w:bottom w:val="single" w:sz="4" w:space="0" w:color="auto"/>
              <w:right w:val="single" w:sz="4" w:space="0" w:color="auto"/>
            </w:tcBorders>
            <w:shd w:val="clear" w:color="auto" w:fill="auto"/>
            <w:vAlign w:val="center"/>
            <w:hideMark/>
          </w:tcPr>
          <w:p w14:paraId="78D99E07"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ligjin nr.43/2016 "Për marrëveshjet ndërkombëtare në Republikën e Shqipërisë"</w:t>
            </w:r>
          </w:p>
        </w:tc>
        <w:tc>
          <w:tcPr>
            <w:tcW w:w="387" w:type="pct"/>
            <w:tcBorders>
              <w:top w:val="nil"/>
              <w:left w:val="nil"/>
              <w:bottom w:val="single" w:sz="4" w:space="0" w:color="auto"/>
              <w:right w:val="single" w:sz="4" w:space="0" w:color="auto"/>
            </w:tcBorders>
            <w:shd w:val="clear" w:color="auto" w:fill="auto"/>
            <w:vAlign w:val="center"/>
            <w:hideMark/>
          </w:tcPr>
          <w:p w14:paraId="4F9061D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35" w:type="pct"/>
            <w:tcBorders>
              <w:top w:val="nil"/>
              <w:left w:val="nil"/>
              <w:bottom w:val="single" w:sz="4" w:space="0" w:color="auto"/>
              <w:right w:val="single" w:sz="4" w:space="0" w:color="auto"/>
            </w:tcBorders>
            <w:shd w:val="clear" w:color="auto" w:fill="auto"/>
            <w:vAlign w:val="center"/>
            <w:hideMark/>
          </w:tcPr>
          <w:p w14:paraId="7105385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 dhe Ministri i Financave</w:t>
            </w:r>
          </w:p>
        </w:tc>
        <w:tc>
          <w:tcPr>
            <w:tcW w:w="335" w:type="pct"/>
            <w:tcBorders>
              <w:top w:val="nil"/>
              <w:left w:val="nil"/>
              <w:bottom w:val="single" w:sz="4" w:space="0" w:color="auto"/>
              <w:right w:val="single" w:sz="4" w:space="0" w:color="auto"/>
            </w:tcBorders>
            <w:shd w:val="clear" w:color="auto" w:fill="auto"/>
            <w:vAlign w:val="center"/>
            <w:hideMark/>
          </w:tcPr>
          <w:p w14:paraId="70500C6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49F94D65"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Përshtatja, lehtësimi, përmirësimi i kuadrit ligjor që rregullon procedurat e lidhjes së marrëveshjeve të huas dhe granteve në Republikën e Shqipërisë, si dhe qartësimi i disa dispozitave mbi procesin e lidhjes së marrëveshjeve ndërkombëtare në përgjithësi nisur nga paqartësi të hasura nga aplikimi ndër vite i ligjit, referuar nenit 5, 10, 15 të ligjit 43/2016</w:t>
            </w:r>
          </w:p>
        </w:tc>
        <w:tc>
          <w:tcPr>
            <w:tcW w:w="537" w:type="pct"/>
            <w:tcBorders>
              <w:top w:val="nil"/>
              <w:left w:val="nil"/>
              <w:bottom w:val="single" w:sz="4" w:space="0" w:color="auto"/>
              <w:right w:val="single" w:sz="4" w:space="0" w:color="auto"/>
            </w:tcBorders>
            <w:shd w:val="clear" w:color="auto" w:fill="auto"/>
            <w:vAlign w:val="center"/>
            <w:hideMark/>
          </w:tcPr>
          <w:p w14:paraId="7C1B048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Përmirësimi i dispozitave që lidhen me si vijon, por jo vetëm: </w:t>
            </w:r>
            <w:r w:rsidRPr="00B6793F">
              <w:rPr>
                <w:rFonts w:ascii="Arial" w:eastAsia="Times New Roman" w:hAnsi="Arial" w:cs="Arial"/>
                <w:color w:val="000000"/>
                <w:sz w:val="8"/>
                <w:szCs w:val="8"/>
                <w:lang w:eastAsia="sq-AL"/>
              </w:rPr>
              <w:br/>
              <w:t>- procedurat për marrëveshjet e huas dhe granteve të dalin jashtë objektit të Ligjit nr.43/2016 dhe të parashikohen në Ligjin nr.9665/2006 “Për huamarrjen shtetërore, borxhin shtetëror dhe garancitë shtetërore të huasë në Republikën e Shqipërisë”, i ndryshuar;</w:t>
            </w:r>
            <w:r w:rsidRPr="00B6793F">
              <w:rPr>
                <w:rFonts w:ascii="Arial" w:eastAsia="Times New Roman" w:hAnsi="Arial" w:cs="Arial"/>
                <w:color w:val="000000"/>
                <w:sz w:val="8"/>
                <w:szCs w:val="8"/>
                <w:lang w:eastAsia="sq-AL"/>
              </w:rPr>
              <w:br/>
              <w:t xml:space="preserve">- subjektet e marrëveshjeve; </w:t>
            </w:r>
            <w:r w:rsidRPr="00B6793F">
              <w:rPr>
                <w:rFonts w:ascii="Arial" w:eastAsia="Times New Roman" w:hAnsi="Arial" w:cs="Arial"/>
                <w:color w:val="000000"/>
                <w:sz w:val="8"/>
                <w:szCs w:val="8"/>
                <w:lang w:eastAsia="sq-AL"/>
              </w:rPr>
              <w:br/>
              <w:t>- detyrimin për miratimin në parim të marrëveshjeve;</w:t>
            </w:r>
            <w:r w:rsidRPr="00B6793F">
              <w:rPr>
                <w:rFonts w:ascii="Arial" w:eastAsia="Times New Roman" w:hAnsi="Arial" w:cs="Arial"/>
                <w:color w:val="000000"/>
                <w:sz w:val="8"/>
                <w:szCs w:val="8"/>
                <w:lang w:eastAsia="sq-AL"/>
              </w:rPr>
              <w:br/>
              <w:t>- fleksibilitetin lidhur me nënshkrimin e marrëveshjeve;</w:t>
            </w:r>
            <w:r w:rsidRPr="00B6793F">
              <w:rPr>
                <w:rFonts w:ascii="Arial" w:eastAsia="Times New Roman" w:hAnsi="Arial" w:cs="Arial"/>
                <w:color w:val="000000"/>
                <w:sz w:val="8"/>
                <w:szCs w:val="8"/>
                <w:lang w:eastAsia="sq-AL"/>
              </w:rPr>
              <w:br/>
              <w:t>- përfshirja e një dispozite të re që qartëson marrëveshjet jo-ligjërisht të detyrueshme.</w:t>
            </w:r>
          </w:p>
        </w:tc>
        <w:tc>
          <w:tcPr>
            <w:tcW w:w="375" w:type="pct"/>
            <w:tcBorders>
              <w:top w:val="nil"/>
              <w:left w:val="nil"/>
              <w:bottom w:val="single" w:sz="4" w:space="0" w:color="auto"/>
              <w:right w:val="single" w:sz="4" w:space="0" w:color="auto"/>
            </w:tcBorders>
            <w:shd w:val="clear" w:color="auto" w:fill="auto"/>
            <w:vAlign w:val="center"/>
            <w:hideMark/>
          </w:tcPr>
          <w:p w14:paraId="33891A37"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2DBF76F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2542AF8E"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0A55905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61" w:type="pct"/>
            <w:tcBorders>
              <w:top w:val="nil"/>
              <w:left w:val="nil"/>
              <w:bottom w:val="single" w:sz="4" w:space="0" w:color="auto"/>
              <w:right w:val="single" w:sz="4" w:space="0" w:color="auto"/>
            </w:tcBorders>
            <w:shd w:val="clear" w:color="auto" w:fill="auto"/>
            <w:noWrap/>
            <w:vAlign w:val="center"/>
            <w:hideMark/>
          </w:tcPr>
          <w:p w14:paraId="0F8E099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AD1976" w:rsidRPr="00B6793F" w14:paraId="4503FC66"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1AF6E800"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13</w:t>
            </w:r>
          </w:p>
        </w:tc>
        <w:tc>
          <w:tcPr>
            <w:tcW w:w="456" w:type="pct"/>
            <w:tcBorders>
              <w:top w:val="nil"/>
              <w:left w:val="nil"/>
              <w:bottom w:val="single" w:sz="4" w:space="0" w:color="auto"/>
              <w:right w:val="single" w:sz="4" w:space="0" w:color="auto"/>
            </w:tcBorders>
            <w:shd w:val="clear" w:color="auto" w:fill="auto"/>
            <w:vAlign w:val="center"/>
            <w:hideMark/>
          </w:tcPr>
          <w:p w14:paraId="0D2EF6D5"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Nr.340, datë 6. 6. 2018 “Për përcaktimin e rregullave të hollësishme për kushtet dhe mënyrën e zgjedhjes së përfaqësuesve të Këshillit Koordinues të Diasporës”.</w:t>
            </w:r>
          </w:p>
        </w:tc>
        <w:tc>
          <w:tcPr>
            <w:tcW w:w="387" w:type="pct"/>
            <w:tcBorders>
              <w:top w:val="nil"/>
              <w:left w:val="nil"/>
              <w:bottom w:val="single" w:sz="4" w:space="0" w:color="auto"/>
              <w:right w:val="single" w:sz="4" w:space="0" w:color="auto"/>
            </w:tcBorders>
            <w:shd w:val="clear" w:color="auto" w:fill="auto"/>
            <w:vAlign w:val="center"/>
            <w:hideMark/>
          </w:tcPr>
          <w:p w14:paraId="5DC0110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2C596C71"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7DA20868"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4C298A6C"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Këshilli i Ministrave ka miratuar Vendimin nr. 510, datë 25.9.2025 “Për përcaktimin e fushës së përgjegjësisë shtetërore të Ministrisë për Evropën dhe Punët e Jashtme” sipas të cilit MEPJ caktohet si institucion përgjegjës për diasporën.   Ministria për Evropën dhe Punët e Jashtme ka propozuar Projektligj për disa shtesa dhe ndryshime në Ligjin nr. 16/2018 “Për Diasporën” . Për rrjedhojë miratimi i mundshëm i Projektligjit në fjalë konkretisht neni 19 dhe neni 20 i tij,  pasjell nevojën e harmonizimit dhe përpuethshmërisë me aktet nënligjore të nxjerra në zbatim të tij.</w:t>
            </w:r>
            <w:r w:rsidRPr="00B6793F">
              <w:rPr>
                <w:rFonts w:ascii="Arial" w:eastAsia="Times New Roman" w:hAnsi="Arial" w:cs="Arial"/>
                <w:sz w:val="8"/>
                <w:szCs w:val="8"/>
                <w:lang w:eastAsia="sq-AL"/>
              </w:rPr>
              <w:br/>
              <w:t xml:space="preserve">Ndryshimet ligjore të propozuara duhet të reflektohen dhe detajohen më hollësisht në Vendimin nr.340, datë 6.6.2018 të Këshillit të Ministrave në kuadër të zgjerimit të kontinenteve apo zgjedhjes dhe numrit të anëtarëve përfaqësues të diasporës edhe në shtete të tjera, të cilat karakterizohen sipas statistikave për përqendrim të lartë në numër të komuniteteve shqiptare apo shtete në të cilat shteti shqiptar ka interes të veçantë, pavarësisht numrit të shtetasve me banim jashtë vendit.  </w:t>
            </w:r>
          </w:p>
        </w:tc>
        <w:tc>
          <w:tcPr>
            <w:tcW w:w="537" w:type="pct"/>
            <w:tcBorders>
              <w:top w:val="nil"/>
              <w:left w:val="nil"/>
              <w:bottom w:val="single" w:sz="4" w:space="0" w:color="auto"/>
              <w:right w:val="single" w:sz="4" w:space="0" w:color="auto"/>
            </w:tcBorders>
            <w:shd w:val="clear" w:color="auto" w:fill="auto"/>
            <w:vAlign w:val="center"/>
            <w:hideMark/>
          </w:tcPr>
          <w:p w14:paraId="70B028D3"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Ndryshimet e propozuara synojnë pasjen e një kuadri të plotë institucional mbi mënyrën e përzgjedhjes së anëtarëve të KKD-së dhe rritjen e numrit të anëtarëve të Këshillit Koordinues të Diasporës për një përfaqësim më të gjerë të diasporës shqiptare nga shtete ose kontinente ende të pambuluara,  apo shtete në të cilat shteti shqiptar ka interes të veçantë dhe partneritet, pavarësisht numrit të shtetasve me banim jashtë vendit.  </w:t>
            </w:r>
          </w:p>
        </w:tc>
        <w:tc>
          <w:tcPr>
            <w:tcW w:w="375" w:type="pct"/>
            <w:tcBorders>
              <w:top w:val="nil"/>
              <w:left w:val="nil"/>
              <w:bottom w:val="single" w:sz="4" w:space="0" w:color="auto"/>
              <w:right w:val="single" w:sz="4" w:space="0" w:color="auto"/>
            </w:tcBorders>
            <w:shd w:val="clear" w:color="auto" w:fill="auto"/>
            <w:vAlign w:val="center"/>
            <w:hideMark/>
          </w:tcPr>
          <w:p w14:paraId="311B0D75"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75DFFD1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2CFC84E4"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6E82E149"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Strategjia Kombëtare për Migracionin 2024-2030 dhe            Strategjia e Specializimit Ineligjent  </w:t>
            </w:r>
          </w:p>
        </w:tc>
        <w:tc>
          <w:tcPr>
            <w:tcW w:w="561" w:type="pct"/>
            <w:tcBorders>
              <w:top w:val="nil"/>
              <w:left w:val="nil"/>
              <w:bottom w:val="single" w:sz="4" w:space="0" w:color="auto"/>
              <w:right w:val="single" w:sz="4" w:space="0" w:color="auto"/>
            </w:tcBorders>
            <w:shd w:val="clear" w:color="auto" w:fill="auto"/>
            <w:vAlign w:val="center"/>
            <w:hideMark/>
          </w:tcPr>
          <w:p w14:paraId="2E09B225"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AD1976" w:rsidRPr="00B6793F" w14:paraId="13740040"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4F6AF6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56" w:type="pct"/>
            <w:tcBorders>
              <w:top w:val="nil"/>
              <w:left w:val="nil"/>
              <w:bottom w:val="single" w:sz="4" w:space="0" w:color="auto"/>
              <w:right w:val="single" w:sz="4" w:space="0" w:color="auto"/>
            </w:tcBorders>
            <w:shd w:val="clear" w:color="auto" w:fill="auto"/>
            <w:vAlign w:val="center"/>
            <w:hideMark/>
          </w:tcPr>
          <w:p w14:paraId="46B477F5"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krijimin, organizimin dhe funksionimin e Qendrës së Studimeve dhe Publikimeve për Arbëreshë</w:t>
            </w:r>
          </w:p>
        </w:tc>
        <w:tc>
          <w:tcPr>
            <w:tcW w:w="387" w:type="pct"/>
            <w:tcBorders>
              <w:top w:val="nil"/>
              <w:left w:val="nil"/>
              <w:bottom w:val="single" w:sz="4" w:space="0" w:color="auto"/>
              <w:right w:val="single" w:sz="4" w:space="0" w:color="auto"/>
            </w:tcBorders>
            <w:shd w:val="clear" w:color="auto" w:fill="auto"/>
            <w:vAlign w:val="center"/>
            <w:hideMark/>
          </w:tcPr>
          <w:p w14:paraId="146AD4E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6176BF7E"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239D1E3D"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5D9DDF5A"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Nevoja për ndryshimin e projektaktit që rregullon QSPA-në, vjen si domosdoshmëri e rregullimit të kuadrit ligjor të strukturës përgjegjëse për diasporën historike arbëreshe në varësi të MEPJ-së, të cilat lidhen me organizimin dhe funksionimin e QSPA-së,  pika II, ligji 601/2019.</w:t>
            </w:r>
          </w:p>
        </w:tc>
        <w:tc>
          <w:tcPr>
            <w:tcW w:w="537" w:type="pct"/>
            <w:tcBorders>
              <w:top w:val="nil"/>
              <w:left w:val="nil"/>
              <w:bottom w:val="single" w:sz="4" w:space="0" w:color="auto"/>
              <w:right w:val="single" w:sz="4" w:space="0" w:color="auto"/>
            </w:tcBorders>
            <w:shd w:val="clear" w:color="auto" w:fill="auto"/>
            <w:vAlign w:val="center"/>
            <w:hideMark/>
          </w:tcPr>
          <w:p w14:paraId="0C8E6DB2"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Akti synon të rregulloj statusin e Qendrës së Studimeve dhe Publikimeve për Arbëreshët, detyrat dhe funksionet e tij, ngritja e Këshillit Akademik Teknik për Botimet si organ kolegjial vendimarrës</w:t>
            </w:r>
          </w:p>
        </w:tc>
        <w:tc>
          <w:tcPr>
            <w:tcW w:w="375" w:type="pct"/>
            <w:tcBorders>
              <w:top w:val="nil"/>
              <w:left w:val="nil"/>
              <w:bottom w:val="single" w:sz="4" w:space="0" w:color="auto"/>
              <w:right w:val="single" w:sz="4" w:space="0" w:color="auto"/>
            </w:tcBorders>
            <w:shd w:val="clear" w:color="auto" w:fill="auto"/>
            <w:vAlign w:val="center"/>
            <w:hideMark/>
          </w:tcPr>
          <w:p w14:paraId="4F12EBA7"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23E74308"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7A0349D1"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78" w:type="pct"/>
            <w:tcBorders>
              <w:top w:val="nil"/>
              <w:left w:val="nil"/>
              <w:bottom w:val="single" w:sz="4" w:space="0" w:color="auto"/>
              <w:right w:val="single" w:sz="4" w:space="0" w:color="auto"/>
            </w:tcBorders>
            <w:shd w:val="clear" w:color="auto" w:fill="auto"/>
            <w:vAlign w:val="center"/>
            <w:hideMark/>
          </w:tcPr>
          <w:p w14:paraId="6B33D4CE"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Kombëtare e Diasporës Shqiptare</w:t>
            </w:r>
            <w:r w:rsidRPr="00B6793F">
              <w:rPr>
                <w:rFonts w:ascii="Arial" w:eastAsia="Times New Roman" w:hAnsi="Arial" w:cs="Arial"/>
                <w:sz w:val="8"/>
                <w:szCs w:val="8"/>
                <w:lang w:eastAsia="sq-AL"/>
              </w:rPr>
              <w:br/>
              <w:t>2021 – 2025 dhe Planin të Veprimit</w:t>
            </w:r>
          </w:p>
        </w:tc>
        <w:tc>
          <w:tcPr>
            <w:tcW w:w="561" w:type="pct"/>
            <w:tcBorders>
              <w:top w:val="nil"/>
              <w:left w:val="nil"/>
              <w:bottom w:val="single" w:sz="4" w:space="0" w:color="auto"/>
              <w:right w:val="single" w:sz="4" w:space="0" w:color="auto"/>
            </w:tcBorders>
            <w:shd w:val="clear" w:color="auto" w:fill="auto"/>
            <w:vAlign w:val="center"/>
            <w:hideMark/>
          </w:tcPr>
          <w:p w14:paraId="3E77C2AB"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AD1976" w:rsidRPr="00B6793F" w14:paraId="1A25EE22" w14:textId="77777777" w:rsidTr="00F930D8">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643A60D4"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15</w:t>
            </w:r>
          </w:p>
        </w:tc>
        <w:tc>
          <w:tcPr>
            <w:tcW w:w="456" w:type="pct"/>
            <w:tcBorders>
              <w:top w:val="nil"/>
              <w:left w:val="nil"/>
              <w:bottom w:val="single" w:sz="4" w:space="0" w:color="auto"/>
              <w:right w:val="single" w:sz="4" w:space="0" w:color="auto"/>
            </w:tcBorders>
            <w:shd w:val="clear" w:color="auto" w:fill="auto"/>
            <w:vAlign w:val="center"/>
            <w:hideMark/>
          </w:tcPr>
          <w:p w14:paraId="2EA18D1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Vendimin   nr. 447, datë 22.7.2021 të Këshillit të Ministrave  “Për kriteret e dhënies së bursave për shtetasit e huaj me origjinë shqiptare, për të studiuar në Republikën e Shqipërisë.”</w:t>
            </w:r>
            <w:r w:rsidRPr="00B6793F">
              <w:rPr>
                <w:rFonts w:ascii="Arial" w:eastAsia="Times New Roman" w:hAnsi="Arial" w:cs="Arial"/>
                <w:color w:val="000000"/>
                <w:sz w:val="8"/>
                <w:szCs w:val="8"/>
                <w:lang w:eastAsia="sq-AL"/>
              </w:rPr>
              <w:b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06AE90AA"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35" w:type="pct"/>
            <w:tcBorders>
              <w:top w:val="nil"/>
              <w:left w:val="nil"/>
              <w:bottom w:val="single" w:sz="4" w:space="0" w:color="auto"/>
              <w:right w:val="single" w:sz="4" w:space="0" w:color="auto"/>
            </w:tcBorders>
            <w:shd w:val="clear" w:color="auto" w:fill="auto"/>
            <w:vAlign w:val="center"/>
            <w:hideMark/>
          </w:tcPr>
          <w:p w14:paraId="71F06D0C"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për Evropën dhe Punët e Jashtme</w:t>
            </w:r>
          </w:p>
        </w:tc>
        <w:tc>
          <w:tcPr>
            <w:tcW w:w="335" w:type="pct"/>
            <w:tcBorders>
              <w:top w:val="nil"/>
              <w:left w:val="nil"/>
              <w:bottom w:val="single" w:sz="4" w:space="0" w:color="auto"/>
              <w:right w:val="single" w:sz="4" w:space="0" w:color="auto"/>
            </w:tcBorders>
            <w:shd w:val="clear" w:color="auto" w:fill="auto"/>
            <w:vAlign w:val="center"/>
            <w:hideMark/>
          </w:tcPr>
          <w:p w14:paraId="2F94546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89" w:type="pct"/>
            <w:tcBorders>
              <w:top w:val="nil"/>
              <w:left w:val="nil"/>
              <w:bottom w:val="single" w:sz="4" w:space="0" w:color="auto"/>
              <w:right w:val="single" w:sz="4" w:space="0" w:color="auto"/>
            </w:tcBorders>
            <w:shd w:val="clear" w:color="auto" w:fill="auto"/>
            <w:vAlign w:val="center"/>
            <w:hideMark/>
          </w:tcPr>
          <w:p w14:paraId="6876D4BF"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Propozimi për ndryshime në Vendimin e Këshillit të Ministrave nr. 447, datë 22.7.2021 synon të qartësojë përgjegjësitë e institucioneve të ngarkuara me zbatim duke revokuar përgjegjësinë e MEPJ/AKD në këtë proces.  Konkretisht, propozimi mbështetet në vetë faktin që Ministria e Arsimit është institucion përgjegjës për çështjet e arsimit dhe disponon të dhëna të plota dhe të sakta për studentët shqiptarë që studiojnë jashtë vendit, referuar vendimit 584/28.08.2003 dhe vendimi 514/25.09.2025.</w:t>
            </w:r>
          </w:p>
        </w:tc>
        <w:tc>
          <w:tcPr>
            <w:tcW w:w="537" w:type="pct"/>
            <w:tcBorders>
              <w:top w:val="nil"/>
              <w:left w:val="nil"/>
              <w:bottom w:val="single" w:sz="4" w:space="0" w:color="auto"/>
              <w:right w:val="single" w:sz="4" w:space="0" w:color="auto"/>
            </w:tcBorders>
            <w:shd w:val="clear" w:color="auto" w:fill="auto"/>
            <w:vAlign w:val="center"/>
            <w:hideMark/>
          </w:tcPr>
          <w:p w14:paraId="31CCA1B8"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 akti nënligjor synon qartësojë përgjegjësitë e institucioneve të ngarkuara me zbatim dhe shmangien e mbivendosjes së funksioneve dhe paqartësive mbi përgjegjësinë e administrimit të të dhënave personale të studentëve që kanë përfituar bursa jashtë vendit.</w:t>
            </w:r>
          </w:p>
        </w:tc>
        <w:tc>
          <w:tcPr>
            <w:tcW w:w="375" w:type="pct"/>
            <w:tcBorders>
              <w:top w:val="nil"/>
              <w:left w:val="nil"/>
              <w:bottom w:val="single" w:sz="4" w:space="0" w:color="auto"/>
              <w:right w:val="single" w:sz="4" w:space="0" w:color="auto"/>
            </w:tcBorders>
            <w:shd w:val="clear" w:color="auto" w:fill="auto"/>
            <w:vAlign w:val="center"/>
            <w:hideMark/>
          </w:tcPr>
          <w:p w14:paraId="1264CCC3"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0" w:type="pct"/>
            <w:tcBorders>
              <w:top w:val="nil"/>
              <w:left w:val="nil"/>
              <w:bottom w:val="single" w:sz="4" w:space="0" w:color="auto"/>
              <w:right w:val="single" w:sz="4" w:space="0" w:color="auto"/>
            </w:tcBorders>
            <w:shd w:val="clear" w:color="auto" w:fill="auto"/>
            <w:vAlign w:val="center"/>
            <w:hideMark/>
          </w:tcPr>
          <w:p w14:paraId="4010222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Shtylla I "Shqiperia evropiane" dhe 1.5 "Politika e jashtme dhe diaspora"     </w:t>
            </w:r>
          </w:p>
        </w:tc>
        <w:tc>
          <w:tcPr>
            <w:tcW w:w="332" w:type="pct"/>
            <w:tcBorders>
              <w:top w:val="nil"/>
              <w:left w:val="nil"/>
              <w:bottom w:val="single" w:sz="4" w:space="0" w:color="auto"/>
              <w:right w:val="single" w:sz="4" w:space="0" w:color="auto"/>
            </w:tcBorders>
            <w:shd w:val="clear" w:color="auto" w:fill="auto"/>
            <w:vAlign w:val="center"/>
            <w:hideMark/>
          </w:tcPr>
          <w:p w14:paraId="45FB907B"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378" w:type="pct"/>
            <w:tcBorders>
              <w:top w:val="nil"/>
              <w:left w:val="nil"/>
              <w:bottom w:val="single" w:sz="4" w:space="0" w:color="auto"/>
              <w:right w:val="single" w:sz="4" w:space="0" w:color="auto"/>
            </w:tcBorders>
            <w:shd w:val="clear" w:color="auto" w:fill="auto"/>
            <w:vAlign w:val="center"/>
            <w:hideMark/>
          </w:tcPr>
          <w:p w14:paraId="5EE295C0" w14:textId="77777777" w:rsidR="00AD1976" w:rsidRPr="00B6793F" w:rsidRDefault="00AD1976" w:rsidP="00AD1976">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Arsimin 2021-2026</w:t>
            </w:r>
          </w:p>
        </w:tc>
        <w:tc>
          <w:tcPr>
            <w:tcW w:w="561" w:type="pct"/>
            <w:tcBorders>
              <w:top w:val="nil"/>
              <w:left w:val="nil"/>
              <w:bottom w:val="single" w:sz="4" w:space="0" w:color="auto"/>
              <w:right w:val="single" w:sz="4" w:space="0" w:color="auto"/>
            </w:tcBorders>
            <w:shd w:val="clear" w:color="auto" w:fill="auto"/>
            <w:vAlign w:val="center"/>
            <w:hideMark/>
          </w:tcPr>
          <w:p w14:paraId="3597C323" w14:textId="77777777" w:rsidR="00AD1976" w:rsidRPr="00B6793F" w:rsidRDefault="00AD1976" w:rsidP="00AD1976">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ndikime financiare dhe sociale</w:t>
            </w:r>
          </w:p>
        </w:tc>
      </w:tr>
    </w:tbl>
    <w:p w14:paraId="2BA93D24" w14:textId="615BC495" w:rsidR="00B219B3" w:rsidRPr="00B6793F" w:rsidRDefault="00B219B3" w:rsidP="00AC5BDD">
      <w:pPr>
        <w:spacing w:after="0" w:line="240" w:lineRule="auto"/>
        <w:ind w:firstLine="284"/>
        <w:jc w:val="center"/>
        <w:rPr>
          <w:rFonts w:ascii="Garamond" w:hAnsi="Garamond"/>
          <w:b/>
          <w:sz w:val="24"/>
        </w:rPr>
      </w:pPr>
    </w:p>
    <w:p w14:paraId="189163D8" w14:textId="1CB01589" w:rsidR="00A53D1E" w:rsidRPr="00B6793F" w:rsidRDefault="00A53D1E" w:rsidP="00AC5BDD">
      <w:pPr>
        <w:spacing w:after="0" w:line="240" w:lineRule="auto"/>
        <w:ind w:firstLine="284"/>
        <w:jc w:val="center"/>
        <w:rPr>
          <w:rFonts w:ascii="Garamond" w:hAnsi="Garamond"/>
          <w:b/>
          <w:sz w:val="24"/>
        </w:rPr>
      </w:pPr>
    </w:p>
    <w:tbl>
      <w:tblPr>
        <w:tblW w:w="5085" w:type="pct"/>
        <w:jc w:val="center"/>
        <w:tblLook w:val="04A0" w:firstRow="1" w:lastRow="0" w:firstColumn="1" w:lastColumn="0" w:noHBand="0" w:noVBand="1"/>
      </w:tblPr>
      <w:tblGrid>
        <w:gridCol w:w="352"/>
        <w:gridCol w:w="1305"/>
        <w:gridCol w:w="792"/>
        <w:gridCol w:w="854"/>
        <w:gridCol w:w="891"/>
        <w:gridCol w:w="1583"/>
        <w:gridCol w:w="1895"/>
        <w:gridCol w:w="1146"/>
        <w:gridCol w:w="1943"/>
        <w:gridCol w:w="1016"/>
        <w:gridCol w:w="1157"/>
        <w:gridCol w:w="1251"/>
      </w:tblGrid>
      <w:tr w:rsidR="00723C7D" w:rsidRPr="00B6793F" w14:paraId="4D3789BD" w14:textId="77777777" w:rsidTr="00723C7D">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19EDA74A" w14:textId="77777777" w:rsidR="00723C7D" w:rsidRPr="00B6793F" w:rsidRDefault="00723C7D" w:rsidP="00723C7D">
            <w:pPr>
              <w:spacing w:after="0" w:line="240" w:lineRule="auto"/>
              <w:jc w:val="center"/>
              <w:rPr>
                <w:rFonts w:ascii="Arial" w:eastAsia="Times New Roman" w:hAnsi="Arial" w:cs="Arial"/>
                <w:b/>
                <w:bCs/>
                <w:color w:val="000000"/>
                <w:sz w:val="12"/>
                <w:szCs w:val="8"/>
                <w:lang w:eastAsia="sq-AL"/>
              </w:rPr>
            </w:pPr>
            <w:bookmarkStart w:id="2" w:name="RANGE!A1:L29"/>
            <w:r w:rsidRPr="00B6793F">
              <w:rPr>
                <w:rFonts w:ascii="Arial" w:eastAsia="Times New Roman" w:hAnsi="Arial" w:cs="Arial"/>
                <w:b/>
                <w:bCs/>
                <w:color w:val="000000"/>
                <w:sz w:val="12"/>
                <w:szCs w:val="8"/>
                <w:lang w:eastAsia="sq-AL"/>
              </w:rPr>
              <w:t>Programi i Përgjithshëm Analitik i Projektakteve për vitin 2026</w:t>
            </w:r>
            <w:bookmarkEnd w:id="2"/>
          </w:p>
        </w:tc>
      </w:tr>
      <w:tr w:rsidR="00723C7D" w:rsidRPr="00B6793F" w14:paraId="6E79205E" w14:textId="77777777" w:rsidTr="00723C7D">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66ABF8EA" w14:textId="77777777" w:rsidR="00723C7D" w:rsidRPr="00B6793F" w:rsidRDefault="00723C7D" w:rsidP="00723C7D">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Financave</w:t>
            </w:r>
          </w:p>
        </w:tc>
      </w:tr>
      <w:tr w:rsidR="00723C7D" w:rsidRPr="00B6793F" w14:paraId="6AB56A79"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C00000"/>
            <w:vAlign w:val="center"/>
            <w:hideMark/>
          </w:tcPr>
          <w:p w14:paraId="37DB9D8D"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Nr.</w:t>
            </w:r>
          </w:p>
        </w:tc>
        <w:tc>
          <w:tcPr>
            <w:tcW w:w="460" w:type="pct"/>
            <w:tcBorders>
              <w:top w:val="nil"/>
              <w:left w:val="nil"/>
              <w:bottom w:val="single" w:sz="4" w:space="0" w:color="auto"/>
              <w:right w:val="single" w:sz="4" w:space="0" w:color="auto"/>
            </w:tcBorders>
            <w:shd w:val="clear" w:color="000000" w:fill="C00000"/>
            <w:vAlign w:val="center"/>
            <w:hideMark/>
          </w:tcPr>
          <w:p w14:paraId="7F37F72C"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Titulli i projektaktit</w:t>
            </w:r>
          </w:p>
        </w:tc>
        <w:tc>
          <w:tcPr>
            <w:tcW w:w="279" w:type="pct"/>
            <w:tcBorders>
              <w:top w:val="nil"/>
              <w:left w:val="nil"/>
              <w:bottom w:val="single" w:sz="4" w:space="0" w:color="auto"/>
              <w:right w:val="single" w:sz="4" w:space="0" w:color="auto"/>
            </w:tcBorders>
            <w:shd w:val="clear" w:color="000000" w:fill="C00000"/>
            <w:vAlign w:val="center"/>
            <w:hideMark/>
          </w:tcPr>
          <w:p w14:paraId="211241BB"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Lloji i projektaktit</w:t>
            </w:r>
          </w:p>
        </w:tc>
        <w:tc>
          <w:tcPr>
            <w:tcW w:w="301" w:type="pct"/>
            <w:tcBorders>
              <w:top w:val="nil"/>
              <w:left w:val="nil"/>
              <w:bottom w:val="single" w:sz="4" w:space="0" w:color="auto"/>
              <w:right w:val="single" w:sz="4" w:space="0" w:color="auto"/>
            </w:tcBorders>
            <w:shd w:val="clear" w:color="000000" w:fill="C00000"/>
            <w:vAlign w:val="center"/>
            <w:hideMark/>
          </w:tcPr>
          <w:p w14:paraId="54706864"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Ministri propozues</w:t>
            </w:r>
          </w:p>
        </w:tc>
        <w:tc>
          <w:tcPr>
            <w:tcW w:w="314" w:type="pct"/>
            <w:tcBorders>
              <w:top w:val="nil"/>
              <w:left w:val="nil"/>
              <w:bottom w:val="single" w:sz="4" w:space="0" w:color="auto"/>
              <w:right w:val="single" w:sz="4" w:space="0" w:color="auto"/>
            </w:tcBorders>
            <w:shd w:val="clear" w:color="000000" w:fill="C00000"/>
            <w:vAlign w:val="center"/>
            <w:hideMark/>
          </w:tcPr>
          <w:p w14:paraId="7761ACC6"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Katërmujori</w:t>
            </w:r>
          </w:p>
        </w:tc>
        <w:tc>
          <w:tcPr>
            <w:tcW w:w="558" w:type="pct"/>
            <w:tcBorders>
              <w:top w:val="nil"/>
              <w:left w:val="nil"/>
              <w:bottom w:val="single" w:sz="4" w:space="0" w:color="auto"/>
              <w:right w:val="single" w:sz="4" w:space="0" w:color="auto"/>
            </w:tcBorders>
            <w:shd w:val="clear" w:color="000000" w:fill="C00000"/>
            <w:vAlign w:val="center"/>
            <w:hideMark/>
          </w:tcPr>
          <w:p w14:paraId="792E3012"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Arsyet kryesore për propozimin e projektaktit</w:t>
            </w:r>
          </w:p>
        </w:tc>
        <w:tc>
          <w:tcPr>
            <w:tcW w:w="668" w:type="pct"/>
            <w:tcBorders>
              <w:top w:val="nil"/>
              <w:left w:val="nil"/>
              <w:bottom w:val="single" w:sz="4" w:space="0" w:color="auto"/>
              <w:right w:val="single" w:sz="4" w:space="0" w:color="auto"/>
            </w:tcBorders>
            <w:shd w:val="clear" w:color="000000" w:fill="C00000"/>
            <w:vAlign w:val="center"/>
            <w:hideMark/>
          </w:tcPr>
          <w:p w14:paraId="7BF72463"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 xml:space="preserve">Çështjet kryesore që parashikon të rregullojë projektakti </w:t>
            </w:r>
          </w:p>
        </w:tc>
        <w:tc>
          <w:tcPr>
            <w:tcW w:w="404" w:type="pct"/>
            <w:tcBorders>
              <w:top w:val="nil"/>
              <w:left w:val="nil"/>
              <w:bottom w:val="single" w:sz="4" w:space="0" w:color="auto"/>
              <w:right w:val="single" w:sz="4" w:space="0" w:color="auto"/>
            </w:tcBorders>
            <w:shd w:val="clear" w:color="000000" w:fill="C00000"/>
            <w:vAlign w:val="center"/>
            <w:hideMark/>
          </w:tcPr>
          <w:p w14:paraId="533BE1ED"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A është parashikuar projektakti në PKIE?</w:t>
            </w:r>
            <w:r w:rsidRPr="00B6793F">
              <w:rPr>
                <w:rFonts w:ascii="Arial" w:eastAsia="Times New Roman" w:hAnsi="Arial" w:cs="Arial"/>
                <w:b/>
                <w:bCs/>
                <w:color w:val="000000"/>
                <w:sz w:val="8"/>
                <w:szCs w:val="8"/>
                <w:lang w:eastAsia="sq-AL"/>
              </w:rPr>
              <w:br/>
              <w:t>Nëse po, të specifikohet kapitulli përkatës</w:t>
            </w:r>
          </w:p>
        </w:tc>
        <w:tc>
          <w:tcPr>
            <w:tcW w:w="685" w:type="pct"/>
            <w:tcBorders>
              <w:top w:val="nil"/>
              <w:left w:val="nil"/>
              <w:bottom w:val="single" w:sz="4" w:space="0" w:color="auto"/>
              <w:right w:val="single" w:sz="4" w:space="0" w:color="auto"/>
            </w:tcBorders>
            <w:shd w:val="clear" w:color="000000" w:fill="C00000"/>
            <w:vAlign w:val="center"/>
            <w:hideMark/>
          </w:tcPr>
          <w:p w14:paraId="3B571398"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Përputhshmëria e projektaktit me programin politik qeverisës 2025-2029</w:t>
            </w:r>
            <w:r w:rsidRPr="00B6793F">
              <w:rPr>
                <w:rFonts w:ascii="Arial" w:eastAsia="Times New Roman" w:hAnsi="Arial" w:cs="Arial"/>
                <w:b/>
                <w:bCs/>
                <w:color w:val="000000"/>
                <w:sz w:val="8"/>
                <w:szCs w:val="8"/>
                <w:lang w:eastAsia="sq-AL"/>
              </w:rPr>
              <w:br/>
              <w:t>Nëse përputhet, të jepet  referenca e saktë në progam</w:t>
            </w:r>
          </w:p>
        </w:tc>
        <w:tc>
          <w:tcPr>
            <w:tcW w:w="358" w:type="pct"/>
            <w:tcBorders>
              <w:top w:val="nil"/>
              <w:left w:val="nil"/>
              <w:bottom w:val="single" w:sz="4" w:space="0" w:color="auto"/>
              <w:right w:val="single" w:sz="4" w:space="0" w:color="auto"/>
            </w:tcBorders>
            <w:shd w:val="clear" w:color="000000" w:fill="C00000"/>
            <w:vAlign w:val="center"/>
            <w:hideMark/>
          </w:tcPr>
          <w:p w14:paraId="16978789"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A është akt i një rëndësie të veçantë e prioritare?</w:t>
            </w:r>
          </w:p>
        </w:tc>
        <w:tc>
          <w:tcPr>
            <w:tcW w:w="408" w:type="pct"/>
            <w:tcBorders>
              <w:top w:val="nil"/>
              <w:left w:val="nil"/>
              <w:bottom w:val="single" w:sz="4" w:space="0" w:color="auto"/>
              <w:right w:val="single" w:sz="4" w:space="0" w:color="auto"/>
            </w:tcBorders>
            <w:shd w:val="clear" w:color="000000" w:fill="C00000"/>
            <w:vAlign w:val="center"/>
            <w:hideMark/>
          </w:tcPr>
          <w:p w14:paraId="4E375A07"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 xml:space="preserve">  "Lidhja e projektaktit me strategjitë kombëtare dhe sektoriale</w:t>
            </w:r>
            <w:r w:rsidRPr="00B6793F">
              <w:rPr>
                <w:rFonts w:ascii="Arial" w:eastAsia="Times New Roman" w:hAnsi="Arial" w:cs="Arial"/>
                <w:b/>
                <w:bCs/>
                <w:color w:val="000000"/>
                <w:sz w:val="8"/>
                <w:szCs w:val="8"/>
                <w:lang w:eastAsia="sq-AL"/>
              </w:rPr>
              <w:br/>
              <w:t>Nëse lidhet, të specifikohen strategjitë"</w:t>
            </w:r>
          </w:p>
        </w:tc>
        <w:tc>
          <w:tcPr>
            <w:tcW w:w="440" w:type="pct"/>
            <w:tcBorders>
              <w:top w:val="nil"/>
              <w:left w:val="nil"/>
              <w:bottom w:val="single" w:sz="4" w:space="0" w:color="auto"/>
              <w:right w:val="single" w:sz="4" w:space="0" w:color="auto"/>
            </w:tcBorders>
            <w:shd w:val="clear" w:color="000000" w:fill="C00000"/>
            <w:vAlign w:val="center"/>
            <w:hideMark/>
          </w:tcPr>
          <w:p w14:paraId="3C858E6B" w14:textId="77777777" w:rsidR="00723C7D" w:rsidRPr="00B6793F" w:rsidRDefault="00723C7D" w:rsidP="00723C7D">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Ndikimet e mundshme ekonomike, financiare, sociale dhe mjedisore</w:t>
            </w:r>
            <w:r w:rsidRPr="00B6793F">
              <w:rPr>
                <w:rFonts w:ascii="Arial" w:eastAsia="Times New Roman" w:hAnsi="Arial" w:cs="Arial"/>
                <w:b/>
                <w:bCs/>
                <w:color w:val="000000"/>
                <w:sz w:val="8"/>
                <w:szCs w:val="8"/>
                <w:lang w:eastAsia="sq-AL"/>
              </w:rPr>
              <w:br/>
              <w:t xml:space="preserve">Përgjigjuni me Po/Jo për ndikimet përkatëse </w:t>
            </w:r>
          </w:p>
        </w:tc>
      </w:tr>
      <w:tr w:rsidR="00723C7D" w:rsidRPr="00B6793F" w14:paraId="40CD23D2"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CC2885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60" w:type="pct"/>
            <w:tcBorders>
              <w:top w:val="nil"/>
              <w:left w:val="nil"/>
              <w:bottom w:val="single" w:sz="4" w:space="0" w:color="auto"/>
              <w:right w:val="single" w:sz="4" w:space="0" w:color="auto"/>
            </w:tcBorders>
            <w:shd w:val="clear" w:color="000000" w:fill="FFFFFF"/>
            <w:vAlign w:val="center"/>
            <w:hideMark/>
          </w:tcPr>
          <w:p w14:paraId="5DF61A8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punonjësit me kontratë të përkohshme për vitin 2026 në njësitë e qeverisjes qendrore"</w:t>
            </w:r>
          </w:p>
        </w:tc>
        <w:tc>
          <w:tcPr>
            <w:tcW w:w="279" w:type="pct"/>
            <w:tcBorders>
              <w:top w:val="nil"/>
              <w:left w:val="nil"/>
              <w:bottom w:val="single" w:sz="4" w:space="0" w:color="auto"/>
              <w:right w:val="single" w:sz="4" w:space="0" w:color="auto"/>
            </w:tcBorders>
            <w:shd w:val="clear" w:color="000000" w:fill="FFFFFF"/>
            <w:vAlign w:val="center"/>
            <w:hideMark/>
          </w:tcPr>
          <w:p w14:paraId="456540A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586D3D2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71D0B54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58" w:type="pct"/>
            <w:tcBorders>
              <w:top w:val="nil"/>
              <w:left w:val="nil"/>
              <w:bottom w:val="single" w:sz="4" w:space="0" w:color="auto"/>
              <w:right w:val="single" w:sz="4" w:space="0" w:color="auto"/>
            </w:tcBorders>
            <w:shd w:val="clear" w:color="000000" w:fill="FFFFFF"/>
            <w:vAlign w:val="center"/>
            <w:hideMark/>
          </w:tcPr>
          <w:p w14:paraId="6EC714A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përvitshëm sipas përcaktimeve të Kodit të Punës dhe të Ligjit Vjetor të Buxhtetit</w:t>
            </w:r>
          </w:p>
        </w:tc>
        <w:tc>
          <w:tcPr>
            <w:tcW w:w="668" w:type="pct"/>
            <w:tcBorders>
              <w:top w:val="nil"/>
              <w:left w:val="nil"/>
              <w:bottom w:val="single" w:sz="4" w:space="0" w:color="auto"/>
              <w:right w:val="single" w:sz="4" w:space="0" w:color="auto"/>
            </w:tcBorders>
            <w:shd w:val="clear" w:color="000000" w:fill="FFFFFF"/>
            <w:vAlign w:val="center"/>
            <w:hideMark/>
          </w:tcPr>
          <w:p w14:paraId="6670E70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Shpërndarja e numrit të punonjësve me kontratë të përkohshme, në njësitë e qeverisjes qëndrore për vitin 2025</w:t>
            </w:r>
          </w:p>
        </w:tc>
        <w:tc>
          <w:tcPr>
            <w:tcW w:w="404" w:type="pct"/>
            <w:tcBorders>
              <w:top w:val="nil"/>
              <w:left w:val="nil"/>
              <w:bottom w:val="single" w:sz="4" w:space="0" w:color="auto"/>
              <w:right w:val="single" w:sz="4" w:space="0" w:color="auto"/>
            </w:tcBorders>
            <w:shd w:val="clear" w:color="000000" w:fill="FFFFFF"/>
            <w:vAlign w:val="center"/>
            <w:hideMark/>
          </w:tcPr>
          <w:p w14:paraId="145B913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17DFDCF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022D3A6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1C26B4F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3F889D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2761347C"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8E40EE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60" w:type="pct"/>
            <w:tcBorders>
              <w:top w:val="nil"/>
              <w:left w:val="nil"/>
              <w:bottom w:val="single" w:sz="4" w:space="0" w:color="auto"/>
              <w:right w:val="single" w:sz="4" w:space="0" w:color="auto"/>
            </w:tcBorders>
            <w:shd w:val="clear" w:color="FFFFFF" w:fill="FFFFFF"/>
            <w:vAlign w:val="center"/>
            <w:hideMark/>
          </w:tcPr>
          <w:p w14:paraId="001C5EB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tavaneve përgatitore të shpenzimeve të programit buxhetor afatmesëm 2027-2029"</w:t>
            </w:r>
          </w:p>
        </w:tc>
        <w:tc>
          <w:tcPr>
            <w:tcW w:w="279" w:type="pct"/>
            <w:tcBorders>
              <w:top w:val="nil"/>
              <w:left w:val="nil"/>
              <w:bottom w:val="single" w:sz="4" w:space="0" w:color="auto"/>
              <w:right w:val="single" w:sz="4" w:space="0" w:color="auto"/>
            </w:tcBorders>
            <w:shd w:val="clear" w:color="000000" w:fill="FFFFFF"/>
            <w:vAlign w:val="center"/>
            <w:hideMark/>
          </w:tcPr>
          <w:p w14:paraId="5B69EE5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09EA50D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7D2CDF6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58" w:type="pct"/>
            <w:tcBorders>
              <w:top w:val="nil"/>
              <w:left w:val="nil"/>
              <w:bottom w:val="single" w:sz="4" w:space="0" w:color="auto"/>
              <w:right w:val="single" w:sz="4" w:space="0" w:color="auto"/>
            </w:tcBorders>
            <w:shd w:val="clear" w:color="000000" w:fill="FFFFFF"/>
            <w:vAlign w:val="center"/>
            <w:hideMark/>
          </w:tcPr>
          <w:p w14:paraId="3D84AB8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përvitshëm sipas përcaktimeve të Ligjit nr.9936 datë 26.06.2008 “Për menaxhimin e sistemit buxhetor në Republikën e Shqipërisë”, i ndryshuar</w:t>
            </w:r>
          </w:p>
        </w:tc>
        <w:tc>
          <w:tcPr>
            <w:tcW w:w="668" w:type="pct"/>
            <w:tcBorders>
              <w:top w:val="nil"/>
              <w:left w:val="nil"/>
              <w:bottom w:val="single" w:sz="4" w:space="0" w:color="auto"/>
              <w:right w:val="single" w:sz="4" w:space="0" w:color="auto"/>
            </w:tcBorders>
            <w:shd w:val="clear" w:color="000000" w:fill="FFFFFF"/>
            <w:vAlign w:val="center"/>
            <w:hideMark/>
          </w:tcPr>
          <w:p w14:paraId="25B4F37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Percaktimi i tavaneve paraprake të shpenzimeve për periudhën afatmesme për cdo institucion buxhetor</w:t>
            </w:r>
          </w:p>
        </w:tc>
        <w:tc>
          <w:tcPr>
            <w:tcW w:w="404" w:type="pct"/>
            <w:tcBorders>
              <w:top w:val="nil"/>
              <w:left w:val="nil"/>
              <w:bottom w:val="single" w:sz="4" w:space="0" w:color="auto"/>
              <w:right w:val="single" w:sz="4" w:space="0" w:color="auto"/>
            </w:tcBorders>
            <w:shd w:val="clear" w:color="000000" w:fill="FFFFFF"/>
            <w:vAlign w:val="center"/>
            <w:hideMark/>
          </w:tcPr>
          <w:p w14:paraId="29EC25F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637A695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6A2860A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2A1016D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464A31B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66F06CAF"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727431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60" w:type="pct"/>
            <w:tcBorders>
              <w:top w:val="nil"/>
              <w:left w:val="nil"/>
              <w:bottom w:val="single" w:sz="4" w:space="0" w:color="auto"/>
              <w:right w:val="single" w:sz="4" w:space="0" w:color="auto"/>
            </w:tcBorders>
            <w:shd w:val="clear" w:color="000000" w:fill="FFFFFF"/>
            <w:vAlign w:val="center"/>
            <w:hideMark/>
          </w:tcPr>
          <w:p w14:paraId="18451B6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kalendarit të Menaxhimit të Shpenzimeve Publike 2026"</w:t>
            </w:r>
          </w:p>
        </w:tc>
        <w:tc>
          <w:tcPr>
            <w:tcW w:w="279" w:type="pct"/>
            <w:tcBorders>
              <w:top w:val="nil"/>
              <w:left w:val="nil"/>
              <w:bottom w:val="single" w:sz="4" w:space="0" w:color="auto"/>
              <w:right w:val="single" w:sz="4" w:space="0" w:color="auto"/>
            </w:tcBorders>
            <w:shd w:val="clear" w:color="000000" w:fill="FFFFFF"/>
            <w:vAlign w:val="center"/>
            <w:hideMark/>
          </w:tcPr>
          <w:p w14:paraId="2E39F12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7FE6173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3916CC2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58" w:type="pct"/>
            <w:tcBorders>
              <w:top w:val="nil"/>
              <w:left w:val="nil"/>
              <w:bottom w:val="single" w:sz="4" w:space="0" w:color="auto"/>
              <w:right w:val="single" w:sz="4" w:space="0" w:color="auto"/>
            </w:tcBorders>
            <w:shd w:val="clear" w:color="000000" w:fill="FFFFFF"/>
            <w:vAlign w:val="center"/>
            <w:hideMark/>
          </w:tcPr>
          <w:p w14:paraId="3AA33FE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përvitshëm sipas përcaktimeve të Ligjit nr.9936 datë 26.06.2008 “Për menaxhimin e sistemit buxhetor në Republikën e Shqipërisë”, i ndryshuar</w:t>
            </w:r>
          </w:p>
        </w:tc>
        <w:tc>
          <w:tcPr>
            <w:tcW w:w="668" w:type="pct"/>
            <w:tcBorders>
              <w:top w:val="nil"/>
              <w:left w:val="nil"/>
              <w:bottom w:val="single" w:sz="4" w:space="0" w:color="auto"/>
              <w:right w:val="single" w:sz="4" w:space="0" w:color="auto"/>
            </w:tcBorders>
            <w:shd w:val="clear" w:color="000000" w:fill="FFFFFF"/>
            <w:vAlign w:val="center"/>
            <w:hideMark/>
          </w:tcPr>
          <w:p w14:paraId="23D72FD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Paraqet një kalendar me aktivitetet dhe datat përkatëse për një mirëmenaxhim të financave publike</w:t>
            </w:r>
          </w:p>
        </w:tc>
        <w:tc>
          <w:tcPr>
            <w:tcW w:w="404" w:type="pct"/>
            <w:tcBorders>
              <w:top w:val="nil"/>
              <w:left w:val="nil"/>
              <w:bottom w:val="single" w:sz="4" w:space="0" w:color="auto"/>
              <w:right w:val="single" w:sz="4" w:space="0" w:color="auto"/>
            </w:tcBorders>
            <w:shd w:val="clear" w:color="000000" w:fill="FFFFFF"/>
            <w:vAlign w:val="center"/>
            <w:hideMark/>
          </w:tcPr>
          <w:p w14:paraId="1152804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250F05D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4C600D3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1BE766A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759B13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28322F9D"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086706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60" w:type="pct"/>
            <w:tcBorders>
              <w:top w:val="nil"/>
              <w:left w:val="nil"/>
              <w:bottom w:val="single" w:sz="4" w:space="0" w:color="auto"/>
              <w:right w:val="single" w:sz="4" w:space="0" w:color="auto"/>
            </w:tcBorders>
            <w:shd w:val="clear" w:color="000000" w:fill="FFFFFF"/>
            <w:vAlign w:val="bottom"/>
            <w:hideMark/>
          </w:tcPr>
          <w:p w14:paraId="30922E47" w14:textId="77777777" w:rsidR="00723C7D" w:rsidRPr="00B6793F" w:rsidRDefault="00723C7D" w:rsidP="00723C7D">
            <w:pPr>
              <w:spacing w:after="24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"Kuadrit Makroekonomik e Fiskal për periudhën 2027-2029" </w:t>
            </w:r>
          </w:p>
        </w:tc>
        <w:tc>
          <w:tcPr>
            <w:tcW w:w="279" w:type="pct"/>
            <w:tcBorders>
              <w:top w:val="nil"/>
              <w:left w:val="nil"/>
              <w:bottom w:val="single" w:sz="4" w:space="0" w:color="auto"/>
              <w:right w:val="single" w:sz="4" w:space="0" w:color="auto"/>
            </w:tcBorders>
            <w:shd w:val="clear" w:color="000000" w:fill="FFFFFF"/>
            <w:vAlign w:val="center"/>
            <w:hideMark/>
          </w:tcPr>
          <w:p w14:paraId="730628F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4E5F71E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3EA0F49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58" w:type="pct"/>
            <w:tcBorders>
              <w:top w:val="nil"/>
              <w:left w:val="nil"/>
              <w:bottom w:val="single" w:sz="4" w:space="0" w:color="auto"/>
              <w:right w:val="single" w:sz="4" w:space="0" w:color="auto"/>
            </w:tcBorders>
            <w:shd w:val="clear" w:color="000000" w:fill="FFFFFF"/>
            <w:vAlign w:val="bottom"/>
            <w:hideMark/>
          </w:tcPr>
          <w:p w14:paraId="3FD450F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Kuadri Makroenomik dhe Fiskal (KMF) përcakton synimet dhe objektivat e qeverisë në lidhje me treguesit kryesor të politikës fiskale si, balancën e përgjithshme fiskale (deficitin), huamarrjen, borxhin publik, balancën fiskale primare dhe atë korrente. KMF shërben si bazë për përcaktimin e tavaneve në fazën e parë të procesit të përgatitjes së Programit Buxhetor Afatmesëm (PBA) 2027 – 2029 në nivel ministrie.</w:t>
            </w:r>
            <w:r w:rsidRPr="00B6793F">
              <w:rPr>
                <w:rFonts w:ascii="Arial" w:eastAsia="Times New Roman" w:hAnsi="Arial" w:cs="Arial"/>
                <w:color w:val="000000"/>
                <w:sz w:val="8"/>
                <w:szCs w:val="8"/>
                <w:lang w:eastAsia="sq-AL"/>
              </w:rPr>
              <w:br/>
              <w:t>KMF ka për qëllim përcaktimin e përparësive strategjike të qeverisë, projekton pritshmërinë makroekonomike në horizontin kohor afat-mesëm</w:t>
            </w:r>
          </w:p>
        </w:tc>
        <w:tc>
          <w:tcPr>
            <w:tcW w:w="668" w:type="pct"/>
            <w:tcBorders>
              <w:top w:val="nil"/>
              <w:left w:val="nil"/>
              <w:bottom w:val="single" w:sz="4" w:space="0" w:color="auto"/>
              <w:right w:val="single" w:sz="4" w:space="0" w:color="auto"/>
            </w:tcBorders>
            <w:shd w:val="clear" w:color="000000" w:fill="FFFFFF"/>
            <w:vAlign w:val="center"/>
            <w:hideMark/>
          </w:tcPr>
          <w:p w14:paraId="4F332D8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KMF përmban dy komponentë kryesore: (i) parashikimet për treguesit kryesorë makroekonomikë të cilët paraqesin pritshmërinë ekonomike për vitin aktual dhe tre vitet e ardhshme dhe (ii) parashikimet dhe objektivat për treguesit fiskal të cilët paraqesin burimet e pritshme në dispozicion të qeverisë për vitet 2027–2029 dhe shpërndarjen e tyre për këtë periudhë sipas buxhetit të konsoliduar.</w:t>
            </w:r>
          </w:p>
        </w:tc>
        <w:tc>
          <w:tcPr>
            <w:tcW w:w="404" w:type="pct"/>
            <w:tcBorders>
              <w:top w:val="nil"/>
              <w:left w:val="nil"/>
              <w:bottom w:val="single" w:sz="4" w:space="0" w:color="auto"/>
              <w:right w:val="single" w:sz="4" w:space="0" w:color="auto"/>
            </w:tcBorders>
            <w:shd w:val="clear" w:color="000000" w:fill="FFFFFF"/>
            <w:vAlign w:val="center"/>
            <w:hideMark/>
          </w:tcPr>
          <w:p w14:paraId="79679D4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17091D2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53AF7CB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E4F55E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49EB92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ekonomike.                                                                    Është parashikuar në PBA 2026-2028.</w:t>
            </w:r>
          </w:p>
        </w:tc>
      </w:tr>
      <w:tr w:rsidR="00723C7D" w:rsidRPr="00B6793F" w14:paraId="0E2ABDE2"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8596C1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60" w:type="pct"/>
            <w:tcBorders>
              <w:top w:val="nil"/>
              <w:left w:val="nil"/>
              <w:bottom w:val="single" w:sz="4" w:space="0" w:color="auto"/>
              <w:right w:val="single" w:sz="4" w:space="0" w:color="auto"/>
            </w:tcBorders>
            <w:shd w:val="clear" w:color="000000" w:fill="FFFFFF"/>
            <w:vAlign w:val="center"/>
            <w:hideMark/>
          </w:tcPr>
          <w:p w14:paraId="0994378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"Programit të reformave Ekonomike (ERP) 2026-2028"</w:t>
            </w:r>
          </w:p>
        </w:tc>
        <w:tc>
          <w:tcPr>
            <w:tcW w:w="279" w:type="pct"/>
            <w:tcBorders>
              <w:top w:val="nil"/>
              <w:left w:val="nil"/>
              <w:bottom w:val="single" w:sz="4" w:space="0" w:color="auto"/>
              <w:right w:val="single" w:sz="4" w:space="0" w:color="auto"/>
            </w:tcBorders>
            <w:shd w:val="clear" w:color="000000" w:fill="FFFFFF"/>
            <w:vAlign w:val="center"/>
            <w:hideMark/>
          </w:tcPr>
          <w:p w14:paraId="1621E31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2D12E9E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9A38A3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558" w:type="pct"/>
            <w:tcBorders>
              <w:top w:val="nil"/>
              <w:left w:val="nil"/>
              <w:bottom w:val="single" w:sz="4" w:space="0" w:color="auto"/>
              <w:right w:val="single" w:sz="4" w:space="0" w:color="auto"/>
            </w:tcBorders>
            <w:shd w:val="clear" w:color="000000" w:fill="FFFFFF"/>
            <w:vAlign w:val="center"/>
            <w:hideMark/>
          </w:tcPr>
          <w:p w14:paraId="21F98D1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 xml:space="preserve">ERP-ja përgatitet nga vendet kandidate dhe potencialisht kandidate, në kuadër të qasjes së re të qeverisjes ekonomike të Bashkimit Evropian për vendet e zgjerimit. </w:t>
            </w:r>
          </w:p>
        </w:tc>
        <w:tc>
          <w:tcPr>
            <w:tcW w:w="668" w:type="pct"/>
            <w:tcBorders>
              <w:top w:val="nil"/>
              <w:left w:val="nil"/>
              <w:bottom w:val="single" w:sz="4" w:space="0" w:color="auto"/>
              <w:right w:val="single" w:sz="4" w:space="0" w:color="auto"/>
            </w:tcBorders>
            <w:shd w:val="clear" w:color="000000" w:fill="FFFFFF"/>
            <w:vAlign w:val="center"/>
            <w:hideMark/>
          </w:tcPr>
          <w:p w14:paraId="7DA7490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Programi i Reformave Ekonomike (ERP) 2026-2028 paraqet kuadrin e politikave makroekonomike dhe fiskale që synojnë të mbështesin zhvillimin e qëndrueshëm dhe gjithëpërfshirës të ekonomisë tonë për periudhën afatmesme 2026-2028.</w:t>
            </w:r>
          </w:p>
        </w:tc>
        <w:tc>
          <w:tcPr>
            <w:tcW w:w="404" w:type="pct"/>
            <w:tcBorders>
              <w:top w:val="nil"/>
              <w:left w:val="nil"/>
              <w:bottom w:val="single" w:sz="4" w:space="0" w:color="auto"/>
              <w:right w:val="single" w:sz="4" w:space="0" w:color="auto"/>
            </w:tcBorders>
            <w:shd w:val="clear" w:color="000000" w:fill="FFFFFF"/>
            <w:vAlign w:val="center"/>
            <w:hideMark/>
          </w:tcPr>
          <w:p w14:paraId="15AA8EC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4B34495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2FEDD79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5275491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788129B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056B5BE2"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8C33D9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60" w:type="pct"/>
            <w:tcBorders>
              <w:top w:val="nil"/>
              <w:left w:val="nil"/>
              <w:bottom w:val="single" w:sz="4" w:space="0" w:color="auto"/>
              <w:right w:val="single" w:sz="4" w:space="0" w:color="auto"/>
            </w:tcBorders>
            <w:shd w:val="clear" w:color="FFFFFF" w:fill="FFFFFF"/>
            <w:vAlign w:val="center"/>
            <w:hideMark/>
          </w:tcPr>
          <w:p w14:paraId="151E0C4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projekt dokumentit të programit buxhetor afatmesëm 2027-2029"</w:t>
            </w:r>
          </w:p>
        </w:tc>
        <w:tc>
          <w:tcPr>
            <w:tcW w:w="279" w:type="pct"/>
            <w:tcBorders>
              <w:top w:val="nil"/>
              <w:left w:val="nil"/>
              <w:bottom w:val="single" w:sz="4" w:space="0" w:color="auto"/>
              <w:right w:val="single" w:sz="4" w:space="0" w:color="auto"/>
            </w:tcBorders>
            <w:shd w:val="clear" w:color="000000" w:fill="FFFFFF"/>
            <w:vAlign w:val="center"/>
            <w:hideMark/>
          </w:tcPr>
          <w:p w14:paraId="3CC95AB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13A9889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69EA544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5DB0544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përvitshem sipas përcaktimeve të Ligjit nr.9936 datë 26.06.2008 “Për menaxhimin e sistemit buxhetor në Republikën e Shqipërisë”, i ndryshuar</w:t>
            </w:r>
          </w:p>
        </w:tc>
        <w:tc>
          <w:tcPr>
            <w:tcW w:w="668" w:type="pct"/>
            <w:tcBorders>
              <w:top w:val="nil"/>
              <w:left w:val="nil"/>
              <w:bottom w:val="single" w:sz="4" w:space="0" w:color="auto"/>
              <w:right w:val="single" w:sz="4" w:space="0" w:color="auto"/>
            </w:tcBorders>
            <w:shd w:val="clear" w:color="000000" w:fill="FFFFFF"/>
            <w:vAlign w:val="center"/>
            <w:hideMark/>
          </w:tcPr>
          <w:p w14:paraId="509E06E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 dokument informues, i cili paraqet në menyrë të detajuar kotimin e politikave publike dhe refomave strukturore deri në nivel produkti, të shoqeruar në cdo rast me KPI në nivel qellimi dhe objektivi, për të gjitha Ministrite e Linjës dhe Institucionet e tjera buxhetore, në zbatim dhe përputhje të plotë me tavanet  buxhetore përgatitore te miratuara.  </w:t>
            </w:r>
          </w:p>
        </w:tc>
        <w:tc>
          <w:tcPr>
            <w:tcW w:w="404" w:type="pct"/>
            <w:tcBorders>
              <w:top w:val="nil"/>
              <w:left w:val="nil"/>
              <w:bottom w:val="single" w:sz="4" w:space="0" w:color="auto"/>
              <w:right w:val="single" w:sz="4" w:space="0" w:color="auto"/>
            </w:tcBorders>
            <w:shd w:val="clear" w:color="000000" w:fill="FFFFFF"/>
            <w:vAlign w:val="center"/>
            <w:hideMark/>
          </w:tcPr>
          <w:p w14:paraId="597AAC7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5237636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31EDC1F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936B5C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2E8BB6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6362A1D3"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2B0965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60" w:type="pct"/>
            <w:tcBorders>
              <w:top w:val="nil"/>
              <w:left w:val="nil"/>
              <w:bottom w:val="single" w:sz="4" w:space="0" w:color="auto"/>
              <w:right w:val="single" w:sz="4" w:space="0" w:color="auto"/>
            </w:tcBorders>
            <w:shd w:val="clear" w:color="000000" w:fill="FFFFFF"/>
            <w:vAlign w:val="center"/>
            <w:hideMark/>
          </w:tcPr>
          <w:p w14:paraId="4B83512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parandalimin e pastrimit të parave, financimit të terrorizmit dhe armëve të shkatërrimit në masë"</w:t>
            </w:r>
          </w:p>
        </w:tc>
        <w:tc>
          <w:tcPr>
            <w:tcW w:w="279" w:type="pct"/>
            <w:tcBorders>
              <w:top w:val="nil"/>
              <w:left w:val="nil"/>
              <w:bottom w:val="single" w:sz="4" w:space="0" w:color="auto"/>
              <w:right w:val="single" w:sz="4" w:space="0" w:color="auto"/>
            </w:tcBorders>
            <w:shd w:val="clear" w:color="000000" w:fill="FFFFFF"/>
            <w:vAlign w:val="center"/>
            <w:hideMark/>
          </w:tcPr>
          <w:p w14:paraId="07CD3A1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673929B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Ministria e Financave / nëpërmjet Agjencisë të Inteligjencës Financiare (AIF)</w:t>
            </w:r>
          </w:p>
        </w:tc>
        <w:tc>
          <w:tcPr>
            <w:tcW w:w="314" w:type="pct"/>
            <w:tcBorders>
              <w:top w:val="nil"/>
              <w:left w:val="nil"/>
              <w:bottom w:val="single" w:sz="4" w:space="0" w:color="auto"/>
              <w:right w:val="single" w:sz="4" w:space="0" w:color="auto"/>
            </w:tcBorders>
            <w:shd w:val="clear" w:color="000000" w:fill="FFFFFF"/>
            <w:vAlign w:val="center"/>
            <w:hideMark/>
          </w:tcPr>
          <w:p w14:paraId="17022A4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491C7C4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Harmonizimi me paketën e re të BE-së për AML/CFT (Directiva 1640/2024; rregullorja e BE 1624/2024 dhe rregulloreja e BE 1113/2023); përputhshmëria me rekomandimet FATF; forcimi i mbikëqyrjes, raportimit dhe bashkëpunimit ndërinstitucional; rritja e efektivitetit në identifikimin, ngrirjen/sekuestro-n dhe konfiskimin e produkteve të veprës penale.</w:t>
            </w:r>
          </w:p>
        </w:tc>
        <w:tc>
          <w:tcPr>
            <w:tcW w:w="668" w:type="pct"/>
            <w:tcBorders>
              <w:top w:val="nil"/>
              <w:left w:val="nil"/>
              <w:bottom w:val="single" w:sz="4" w:space="0" w:color="auto"/>
              <w:right w:val="single" w:sz="4" w:space="0" w:color="auto"/>
            </w:tcBorders>
            <w:shd w:val="clear" w:color="000000" w:fill="FFFFFF"/>
            <w:vAlign w:val="center"/>
            <w:hideMark/>
          </w:tcPr>
          <w:p w14:paraId="64D84FC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Përshtatja e detyrimeve të subjekteve raportuese me Rregulloren (BE) 2024/1624 dhe rregulloren 1113/2023; masat e kujdesit të shtuar ndaj klientit, kufizimet për pagesat në para, rreziqet nga kripto-asetet; përforcimi i mekanizmave të bashkëpunimit AIF-prokurori/policia/mbikëqyrësit; rregullim i procedurave të ngrirjes dhe konfiskimit; sanksione efektive, proporcionale e dekurajuese.</w:t>
            </w:r>
          </w:p>
        </w:tc>
        <w:tc>
          <w:tcPr>
            <w:tcW w:w="404" w:type="pct"/>
            <w:tcBorders>
              <w:top w:val="nil"/>
              <w:left w:val="nil"/>
              <w:bottom w:val="single" w:sz="4" w:space="0" w:color="auto"/>
              <w:right w:val="single" w:sz="4" w:space="0" w:color="auto"/>
            </w:tcBorders>
            <w:shd w:val="clear" w:color="000000" w:fill="FFFFFF"/>
            <w:vAlign w:val="center"/>
            <w:hideMark/>
          </w:tcPr>
          <w:p w14:paraId="5979C15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Kapitulli 4 </w:t>
            </w:r>
          </w:p>
        </w:tc>
        <w:tc>
          <w:tcPr>
            <w:tcW w:w="685" w:type="pct"/>
            <w:tcBorders>
              <w:top w:val="nil"/>
              <w:left w:val="nil"/>
              <w:bottom w:val="single" w:sz="4" w:space="0" w:color="auto"/>
              <w:right w:val="single" w:sz="4" w:space="0" w:color="auto"/>
            </w:tcBorders>
            <w:shd w:val="clear" w:color="000000" w:fill="FFFFFF"/>
            <w:vAlign w:val="center"/>
            <w:hideMark/>
          </w:tcPr>
          <w:p w14:paraId="2EFBE37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projektligj është në përputhje me programin politik qeverisës 2025–2029, në veçanti me angazhimet për integrimin evropian, forcimin e shtetit të së drejtës dhe rritjen e integritetit financiar.</w:t>
            </w:r>
          </w:p>
        </w:tc>
        <w:tc>
          <w:tcPr>
            <w:tcW w:w="358" w:type="pct"/>
            <w:tcBorders>
              <w:top w:val="nil"/>
              <w:left w:val="nil"/>
              <w:bottom w:val="single" w:sz="4" w:space="0" w:color="auto"/>
              <w:right w:val="single" w:sz="4" w:space="0" w:color="auto"/>
            </w:tcBorders>
            <w:shd w:val="clear" w:color="000000" w:fill="FFFFFF"/>
            <w:vAlign w:val="center"/>
            <w:hideMark/>
          </w:tcPr>
          <w:p w14:paraId="10529F3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4CB3611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Integrimin Evropian; Strategjia Kombëtare për Sigurinë Financiare; Strategjia e Sigurisë Kombëtare; Strategjia Kombetare per Parandalimin e pastrimit te parave dhe financimin e terrorizmit 2024-2030.</w:t>
            </w:r>
          </w:p>
        </w:tc>
        <w:tc>
          <w:tcPr>
            <w:tcW w:w="440" w:type="pct"/>
            <w:tcBorders>
              <w:top w:val="nil"/>
              <w:left w:val="nil"/>
              <w:bottom w:val="single" w:sz="4" w:space="0" w:color="auto"/>
              <w:right w:val="single" w:sz="4" w:space="0" w:color="auto"/>
            </w:tcBorders>
            <w:shd w:val="clear" w:color="000000" w:fill="FFFFFF"/>
            <w:vAlign w:val="center"/>
            <w:hideMark/>
          </w:tcPr>
          <w:p w14:paraId="18A0943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financiar, ekonomik  dhe social.                       Është parashikuar në PBA 2026-2028.</w:t>
            </w:r>
          </w:p>
        </w:tc>
      </w:tr>
      <w:tr w:rsidR="00723C7D" w:rsidRPr="00B6793F" w14:paraId="47539F9F"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9E6FD0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60" w:type="pct"/>
            <w:tcBorders>
              <w:top w:val="nil"/>
              <w:left w:val="nil"/>
              <w:bottom w:val="single" w:sz="4" w:space="0" w:color="auto"/>
              <w:right w:val="single" w:sz="4" w:space="0" w:color="auto"/>
            </w:tcBorders>
            <w:shd w:val="clear" w:color="000000" w:fill="FFFFFF"/>
            <w:vAlign w:val="center"/>
            <w:hideMark/>
          </w:tcPr>
          <w:p w14:paraId="0D87076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miratimin e  Buxhetit Faktik të vitit  2025"</w:t>
            </w:r>
          </w:p>
        </w:tc>
        <w:tc>
          <w:tcPr>
            <w:tcW w:w="279" w:type="pct"/>
            <w:tcBorders>
              <w:top w:val="nil"/>
              <w:left w:val="nil"/>
              <w:bottom w:val="single" w:sz="4" w:space="0" w:color="auto"/>
              <w:right w:val="single" w:sz="4" w:space="0" w:color="auto"/>
            </w:tcBorders>
            <w:shd w:val="clear" w:color="000000" w:fill="FFFFFF"/>
            <w:vAlign w:val="center"/>
            <w:hideMark/>
          </w:tcPr>
          <w:p w14:paraId="103319C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13701B8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EDD64D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1E72283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Qëllimi i projektligjit është miratimi i buxhetit faktik të Qeverisjes së Përgjithshme për vitin 2024.</w:t>
            </w:r>
            <w:r w:rsidRPr="00B6793F">
              <w:rPr>
                <w:rFonts w:ascii="Arial" w:eastAsia="Times New Roman" w:hAnsi="Arial" w:cs="Arial"/>
                <w:color w:val="000000"/>
                <w:sz w:val="8"/>
                <w:szCs w:val="8"/>
                <w:lang w:eastAsia="sq-AL"/>
              </w:rPr>
              <w:br/>
              <w:t>Hartimi i këtij projektligji lidhet me plotësimin e kërkesës ligjore në zbatim të : '</w:t>
            </w:r>
            <w:r w:rsidRPr="00B6793F">
              <w:rPr>
                <w:rFonts w:ascii="Arial" w:eastAsia="Times New Roman" w:hAnsi="Arial" w:cs="Arial"/>
                <w:i/>
                <w:iCs/>
                <w:color w:val="000000"/>
                <w:sz w:val="8"/>
                <w:szCs w:val="8"/>
                <w:lang w:eastAsia="sq-AL"/>
              </w:rPr>
              <w:t>Neni 62 dhe 63 i Ligjit nr.9936/2008, i ndryshuar</w:t>
            </w:r>
            <w:r w:rsidRPr="00B6793F">
              <w:rPr>
                <w:rFonts w:ascii="Arial" w:eastAsia="Times New Roman" w:hAnsi="Arial" w:cs="Arial"/>
                <w:color w:val="000000"/>
                <w:sz w:val="8"/>
                <w:szCs w:val="8"/>
                <w:lang w:eastAsia="sq-AL"/>
              </w:rPr>
              <w:t>'.</w:t>
            </w:r>
          </w:p>
        </w:tc>
        <w:tc>
          <w:tcPr>
            <w:tcW w:w="668" w:type="pct"/>
            <w:tcBorders>
              <w:top w:val="nil"/>
              <w:left w:val="nil"/>
              <w:bottom w:val="single" w:sz="4" w:space="0" w:color="auto"/>
              <w:right w:val="single" w:sz="4" w:space="0" w:color="auto"/>
            </w:tcBorders>
            <w:shd w:val="clear" w:color="000000" w:fill="FFFFFF"/>
            <w:vAlign w:val="center"/>
            <w:hideMark/>
          </w:tcPr>
          <w:p w14:paraId="1C7D312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Nëpërmjet këtij projektligji sigurohet publikimi i informacionit të plotë mbi performancën makro-fiskale dhe zbatimin e buxhetit të vitit 2024, objektivat e arritura nga çdo njësi e qeverisjes së përgjithshme.</w:t>
            </w:r>
          </w:p>
        </w:tc>
        <w:tc>
          <w:tcPr>
            <w:tcW w:w="404" w:type="pct"/>
            <w:tcBorders>
              <w:top w:val="nil"/>
              <w:left w:val="nil"/>
              <w:bottom w:val="single" w:sz="4" w:space="0" w:color="auto"/>
              <w:right w:val="single" w:sz="4" w:space="0" w:color="auto"/>
            </w:tcBorders>
            <w:shd w:val="clear" w:color="000000" w:fill="FFFFFF"/>
            <w:vAlign w:val="center"/>
            <w:hideMark/>
          </w:tcPr>
          <w:p w14:paraId="09D36BF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0EE2224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1448AF3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4376B32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w:t>
            </w:r>
            <w:r w:rsidRPr="00B6793F">
              <w:rPr>
                <w:rFonts w:ascii="Arial" w:eastAsia="Times New Roman" w:hAnsi="Arial" w:cs="Arial"/>
                <w:i/>
                <w:iCs/>
                <w:color w:val="000000"/>
                <w:sz w:val="8"/>
                <w:szCs w:val="8"/>
                <w:lang w:eastAsia="sq-AL"/>
              </w:rPr>
              <w:t>Per menaxhimin e financave Publike</w:t>
            </w:r>
            <w:r w:rsidRPr="00B6793F">
              <w:rPr>
                <w:rFonts w:ascii="Arial" w:eastAsia="Times New Roman" w:hAnsi="Arial" w:cs="Arial"/>
                <w:color w:val="000000"/>
                <w:sz w:val="8"/>
                <w:szCs w:val="8"/>
                <w:lang w:eastAsia="sq-AL"/>
              </w:rPr>
              <w:t xml:space="preserve">": </w:t>
            </w:r>
            <w:r w:rsidRPr="00B6793F">
              <w:rPr>
                <w:rFonts w:ascii="Arial" w:eastAsia="Times New Roman" w:hAnsi="Arial" w:cs="Arial"/>
                <w:color w:val="000000"/>
                <w:sz w:val="8"/>
                <w:szCs w:val="8"/>
                <w:lang w:eastAsia="sq-AL"/>
              </w:rPr>
              <w:br/>
              <w:t>Objektivi 5 "</w:t>
            </w:r>
            <w:r w:rsidRPr="00B6793F">
              <w:rPr>
                <w:rFonts w:ascii="Arial" w:eastAsia="Times New Roman" w:hAnsi="Arial" w:cs="Arial"/>
                <w:i/>
                <w:iCs/>
                <w:color w:val="000000"/>
                <w:sz w:val="8"/>
                <w:szCs w:val="8"/>
                <w:lang w:eastAsia="sq-AL"/>
              </w:rPr>
              <w:t>Transparenca e Financave Publike</w:t>
            </w:r>
            <w:r w:rsidRPr="00B6793F">
              <w:rPr>
                <w:rFonts w:ascii="Arial" w:eastAsia="Times New Roman" w:hAnsi="Arial" w:cs="Arial"/>
                <w:color w:val="000000"/>
                <w:sz w:val="8"/>
                <w:szCs w:val="8"/>
                <w:lang w:eastAsia="sq-AL"/>
              </w:rPr>
              <w:t xml:space="preserve">" </w:t>
            </w:r>
            <w:r w:rsidRPr="00B6793F">
              <w:rPr>
                <w:rFonts w:ascii="Arial" w:eastAsia="Times New Roman" w:hAnsi="Arial" w:cs="Arial"/>
                <w:color w:val="000000"/>
                <w:sz w:val="8"/>
                <w:szCs w:val="8"/>
                <w:lang w:eastAsia="sq-AL"/>
              </w:rPr>
              <w:br/>
              <w:t>Komponenti: "</w:t>
            </w:r>
            <w:r w:rsidRPr="00B6793F">
              <w:rPr>
                <w:rFonts w:ascii="Arial" w:eastAsia="Times New Roman" w:hAnsi="Arial" w:cs="Arial"/>
                <w:i/>
                <w:iCs/>
                <w:color w:val="000000"/>
                <w:sz w:val="8"/>
                <w:szCs w:val="8"/>
                <w:lang w:eastAsia="sq-AL"/>
              </w:rPr>
              <w:t>Monitorimi dhe raportimi financiar dhe i performances</w:t>
            </w:r>
            <w:r w:rsidRPr="00B6793F">
              <w:rPr>
                <w:rFonts w:ascii="Arial" w:eastAsia="Times New Roman" w:hAnsi="Arial" w:cs="Arial"/>
                <w:color w:val="000000"/>
                <w:sz w:val="8"/>
                <w:szCs w:val="8"/>
                <w:lang w:eastAsia="sq-AL"/>
              </w:rPr>
              <w:t>".</w:t>
            </w:r>
          </w:p>
        </w:tc>
        <w:tc>
          <w:tcPr>
            <w:tcW w:w="440" w:type="pct"/>
            <w:tcBorders>
              <w:top w:val="nil"/>
              <w:left w:val="nil"/>
              <w:bottom w:val="single" w:sz="4" w:space="0" w:color="auto"/>
              <w:right w:val="single" w:sz="4" w:space="0" w:color="auto"/>
            </w:tcBorders>
            <w:shd w:val="clear" w:color="000000" w:fill="FFFFFF"/>
            <w:vAlign w:val="center"/>
            <w:hideMark/>
          </w:tcPr>
          <w:p w14:paraId="3BC31D9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financiar.                                                                       Është parashikuar në PBA 2026-2028.</w:t>
            </w:r>
          </w:p>
        </w:tc>
      </w:tr>
      <w:tr w:rsidR="00723C7D" w:rsidRPr="00B6793F" w14:paraId="6118EADA"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E1F683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9</w:t>
            </w:r>
          </w:p>
        </w:tc>
        <w:tc>
          <w:tcPr>
            <w:tcW w:w="460" w:type="pct"/>
            <w:tcBorders>
              <w:top w:val="nil"/>
              <w:left w:val="nil"/>
              <w:bottom w:val="single" w:sz="4" w:space="0" w:color="auto"/>
              <w:right w:val="single" w:sz="4" w:space="0" w:color="auto"/>
            </w:tcBorders>
            <w:shd w:val="clear" w:color="FFFFFF" w:fill="FFFFFF"/>
            <w:vAlign w:val="center"/>
            <w:hideMark/>
          </w:tcPr>
          <w:p w14:paraId="45EDA41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tavaneve përfundimtare të shpenzimeve të programit buxhetor afatmesëm 2027-2029"</w:t>
            </w:r>
          </w:p>
        </w:tc>
        <w:tc>
          <w:tcPr>
            <w:tcW w:w="279" w:type="pct"/>
            <w:tcBorders>
              <w:top w:val="nil"/>
              <w:left w:val="nil"/>
              <w:bottom w:val="single" w:sz="4" w:space="0" w:color="auto"/>
              <w:right w:val="single" w:sz="4" w:space="0" w:color="auto"/>
            </w:tcBorders>
            <w:shd w:val="clear" w:color="000000" w:fill="FFFFFF"/>
            <w:vAlign w:val="center"/>
            <w:hideMark/>
          </w:tcPr>
          <w:p w14:paraId="48BD542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225367A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74BBCCE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63AFA67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përvitshem sipas përcaktimeve të Ligjit nr.9936 datë 26.06.2008 “Për menaxhimin e sistemit buxhetor në Republikën e Shqipërisë”, i ndryshuar</w:t>
            </w:r>
          </w:p>
        </w:tc>
        <w:tc>
          <w:tcPr>
            <w:tcW w:w="668" w:type="pct"/>
            <w:tcBorders>
              <w:top w:val="nil"/>
              <w:left w:val="nil"/>
              <w:bottom w:val="single" w:sz="4" w:space="0" w:color="auto"/>
              <w:right w:val="single" w:sz="4" w:space="0" w:color="auto"/>
            </w:tcBorders>
            <w:shd w:val="clear" w:color="000000" w:fill="FFFFFF"/>
            <w:vAlign w:val="center"/>
            <w:hideMark/>
          </w:tcPr>
          <w:p w14:paraId="6491C4B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tavaneve përfundimtare të shpenzimeve për periudhën afatmesme për cdo institucion buxhetor</w:t>
            </w:r>
          </w:p>
        </w:tc>
        <w:tc>
          <w:tcPr>
            <w:tcW w:w="404" w:type="pct"/>
            <w:tcBorders>
              <w:top w:val="nil"/>
              <w:left w:val="nil"/>
              <w:bottom w:val="single" w:sz="4" w:space="0" w:color="auto"/>
              <w:right w:val="single" w:sz="4" w:space="0" w:color="auto"/>
            </w:tcBorders>
            <w:shd w:val="clear" w:color="000000" w:fill="FFFFFF"/>
            <w:vAlign w:val="center"/>
            <w:hideMark/>
          </w:tcPr>
          <w:p w14:paraId="4734CE7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4FE17C3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1867A47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5B1D82E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633ED0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500EE4B1"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3F687B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60" w:type="pct"/>
            <w:tcBorders>
              <w:top w:val="nil"/>
              <w:left w:val="nil"/>
              <w:bottom w:val="single" w:sz="4" w:space="0" w:color="auto"/>
              <w:right w:val="single" w:sz="4" w:space="0" w:color="auto"/>
            </w:tcBorders>
            <w:shd w:val="clear" w:color="000000" w:fill="FFFFFF"/>
            <w:vAlign w:val="center"/>
            <w:hideMark/>
          </w:tcPr>
          <w:p w14:paraId="73C114C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auditimin e brendshëm"</w:t>
            </w:r>
          </w:p>
        </w:tc>
        <w:tc>
          <w:tcPr>
            <w:tcW w:w="279" w:type="pct"/>
            <w:tcBorders>
              <w:top w:val="nil"/>
              <w:left w:val="nil"/>
              <w:bottom w:val="single" w:sz="4" w:space="0" w:color="auto"/>
              <w:right w:val="single" w:sz="4" w:space="0" w:color="auto"/>
            </w:tcBorders>
            <w:shd w:val="clear" w:color="000000" w:fill="FFFFFF"/>
            <w:vAlign w:val="center"/>
            <w:hideMark/>
          </w:tcPr>
          <w:p w14:paraId="5146F0F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2996B8C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163A7E1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5D04C24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kryesore për propozimin e hartimit të këtij ligji është përafrimi me Standardet Globale të auditimit të brendshëm (hyrë në fuqi më 1 Janar 2025). Ky projektligj do të ndikojë në rritjen e rolit të njësive të auditimit të brendshëm, në qartësimin e rolit të titullarëve të institucioneve, në forcimin e rolit të strukturës përgjegjëse për harmonizimin e auditimit të brendshëm, në përcaktimin e të drejtave dhe detyrimeve të subjektit të audituar, si dhe rregullimin e rolit të auditimit të brendshëm në sektorin privat. </w:t>
            </w:r>
          </w:p>
        </w:tc>
        <w:tc>
          <w:tcPr>
            <w:tcW w:w="668" w:type="pct"/>
            <w:tcBorders>
              <w:top w:val="nil"/>
              <w:left w:val="nil"/>
              <w:bottom w:val="single" w:sz="4" w:space="0" w:color="auto"/>
              <w:right w:val="single" w:sz="4" w:space="0" w:color="auto"/>
            </w:tcBorders>
            <w:shd w:val="clear" w:color="000000" w:fill="FFFFFF"/>
            <w:vAlign w:val="center"/>
            <w:hideMark/>
          </w:tcPr>
          <w:p w14:paraId="1A9DE9E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Rritja e rolit të njësive të auditimit të brendshëm, qartësimi i rolit të titullarëve të institucioneve qëndrore, përcaktimi i të drejtave dhe detyrimeve të subjektit të audituar, forcimi i rolit të strukturës përgjegjëse për harmonizimin e auditimit të brendshëm, rregullimi i rolit të auditimit të brendshëm në sektorin privat, për sigurimin e një sistemi të pavarur, profesional dhe të harmonizuar të auditimit të brendshëm, që rrit transparencën, llogaridhënien dhe efektivitetin e menaxhimit të riskut dhe kontrollit të brendshëm, në përputhje me standardet globale.</w:t>
            </w:r>
          </w:p>
        </w:tc>
        <w:tc>
          <w:tcPr>
            <w:tcW w:w="404" w:type="pct"/>
            <w:tcBorders>
              <w:top w:val="nil"/>
              <w:left w:val="nil"/>
              <w:bottom w:val="single" w:sz="4" w:space="0" w:color="auto"/>
              <w:right w:val="single" w:sz="4" w:space="0" w:color="auto"/>
            </w:tcBorders>
            <w:shd w:val="clear" w:color="000000" w:fill="FFFFFF"/>
            <w:vAlign w:val="center"/>
            <w:hideMark/>
          </w:tcPr>
          <w:p w14:paraId="3723CB3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7336E31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1BB24CA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2233B38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347A39F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financiar, ekonomik dhe social.                       Është parashikuar në PBA 2026-2028.</w:t>
            </w:r>
          </w:p>
        </w:tc>
      </w:tr>
      <w:tr w:rsidR="00723C7D" w:rsidRPr="00B6793F" w14:paraId="662C2281"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6682EF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460" w:type="pct"/>
            <w:tcBorders>
              <w:top w:val="nil"/>
              <w:left w:val="nil"/>
              <w:bottom w:val="single" w:sz="4" w:space="0" w:color="auto"/>
              <w:right w:val="single" w:sz="4" w:space="0" w:color="auto"/>
            </w:tcBorders>
            <w:shd w:val="clear" w:color="000000" w:fill="FFFFFF"/>
            <w:vAlign w:val="center"/>
            <w:hideMark/>
          </w:tcPr>
          <w:p w14:paraId="45DEC3A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"Mbi kontabilitetin në sektorin publik"</w:t>
            </w:r>
          </w:p>
        </w:tc>
        <w:tc>
          <w:tcPr>
            <w:tcW w:w="279" w:type="pct"/>
            <w:tcBorders>
              <w:top w:val="nil"/>
              <w:left w:val="nil"/>
              <w:bottom w:val="single" w:sz="4" w:space="0" w:color="auto"/>
              <w:right w:val="single" w:sz="4" w:space="0" w:color="auto"/>
            </w:tcBorders>
            <w:shd w:val="clear" w:color="000000" w:fill="FFFFFF"/>
            <w:vAlign w:val="center"/>
            <w:hideMark/>
          </w:tcPr>
          <w:p w14:paraId="0E0586B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050CC25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55874FA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558" w:type="pct"/>
            <w:tcBorders>
              <w:top w:val="nil"/>
              <w:left w:val="nil"/>
              <w:bottom w:val="single" w:sz="4" w:space="0" w:color="auto"/>
              <w:right w:val="single" w:sz="4" w:space="0" w:color="auto"/>
            </w:tcBorders>
            <w:shd w:val="clear" w:color="000000" w:fill="FFFFFF"/>
            <w:vAlign w:val="center"/>
            <w:hideMark/>
          </w:tcPr>
          <w:p w14:paraId="4306A1C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projektakt ka për qëllim krijimin e një kuadri të unifikuar, të qëndrueshëm dhe bashkëkohor ligjor për kontabilitetin publik në Republikën e Shqipërisë.</w:t>
            </w:r>
          </w:p>
        </w:tc>
        <w:tc>
          <w:tcPr>
            <w:tcW w:w="668" w:type="pct"/>
            <w:tcBorders>
              <w:top w:val="nil"/>
              <w:left w:val="nil"/>
              <w:bottom w:val="single" w:sz="4" w:space="0" w:color="auto"/>
              <w:right w:val="single" w:sz="4" w:space="0" w:color="auto"/>
            </w:tcBorders>
            <w:shd w:val="clear" w:color="000000" w:fill="FFFFFF"/>
            <w:vAlign w:val="center"/>
            <w:hideMark/>
          </w:tcPr>
          <w:p w14:paraId="7079951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synon:</w:t>
            </w:r>
            <w:r w:rsidRPr="00B6793F">
              <w:rPr>
                <w:rFonts w:ascii="Arial" w:eastAsia="Times New Roman" w:hAnsi="Arial" w:cs="Arial"/>
                <w:color w:val="000000"/>
                <w:sz w:val="8"/>
                <w:szCs w:val="8"/>
                <w:lang w:eastAsia="sq-AL"/>
              </w:rPr>
              <w:br/>
              <w:t>1. Përcaktimin e kuadrit rregullator për kontabilitetin e sektorit publik në Republikën e Shqipërisë, në përputhje me standardet ndërkombëtare të kontabilitetit për sektorin publik (IPSAS).</w:t>
            </w:r>
            <w:r w:rsidRPr="00B6793F">
              <w:rPr>
                <w:rFonts w:ascii="Arial" w:eastAsia="Times New Roman" w:hAnsi="Arial" w:cs="Arial"/>
                <w:color w:val="000000"/>
                <w:sz w:val="8"/>
                <w:szCs w:val="8"/>
                <w:lang w:eastAsia="sq-AL"/>
              </w:rPr>
              <w:br/>
              <w:t>2. Rregullimin e procesit të mbajtjes së kontabilitetit, si dhe të përgatitjes, paraqitjes dhe publikimit të pasqyrave financiare vjetore, individuale dhe të konsoliduara, nga njësitë e sektorit publik.</w:t>
            </w:r>
            <w:r w:rsidRPr="00B6793F">
              <w:rPr>
                <w:rFonts w:ascii="Arial" w:eastAsia="Times New Roman" w:hAnsi="Arial" w:cs="Arial"/>
                <w:color w:val="000000"/>
                <w:sz w:val="8"/>
                <w:szCs w:val="8"/>
                <w:lang w:eastAsia="sq-AL"/>
              </w:rPr>
              <w:br/>
              <w:t>3. Përcaktimin e strukturave përgjegjëse për mbajtjen e kontabilitetit, përgatitjen dhe paraqitjen e pasqyrave financiare, rolet dhe funksionet e tyre.</w:t>
            </w:r>
            <w:r w:rsidRPr="00B6793F">
              <w:rPr>
                <w:rFonts w:ascii="Arial" w:eastAsia="Times New Roman" w:hAnsi="Arial" w:cs="Arial"/>
                <w:color w:val="000000"/>
                <w:sz w:val="8"/>
                <w:szCs w:val="8"/>
                <w:lang w:eastAsia="sq-AL"/>
              </w:rPr>
              <w:br/>
              <w:t xml:space="preserve">4. Rritjen e transparencës dhe llogaridhënies në përdorimin e fondeve publike, duke garantuar raportime të standardizuara dhe të verifikueshme. </w:t>
            </w:r>
          </w:p>
        </w:tc>
        <w:tc>
          <w:tcPr>
            <w:tcW w:w="404" w:type="pct"/>
            <w:tcBorders>
              <w:top w:val="nil"/>
              <w:left w:val="nil"/>
              <w:bottom w:val="single" w:sz="4" w:space="0" w:color="auto"/>
              <w:right w:val="single" w:sz="4" w:space="0" w:color="auto"/>
            </w:tcBorders>
            <w:shd w:val="clear" w:color="000000" w:fill="FFFFFF"/>
            <w:vAlign w:val="center"/>
            <w:hideMark/>
          </w:tcPr>
          <w:p w14:paraId="0359F4A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2D0BFF1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4045ED5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55AE461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përputhet me Strategjinë Kombëtare për Zhvillim dhe Integrim Europian 2030 (SKZHIE 2030),  Strategjinë e Menaxhimit të Financave Publike (2023-2030).</w:t>
            </w:r>
          </w:p>
        </w:tc>
        <w:tc>
          <w:tcPr>
            <w:tcW w:w="440" w:type="pct"/>
            <w:tcBorders>
              <w:top w:val="nil"/>
              <w:left w:val="nil"/>
              <w:bottom w:val="single" w:sz="4" w:space="0" w:color="auto"/>
              <w:right w:val="single" w:sz="4" w:space="0" w:color="auto"/>
            </w:tcBorders>
            <w:shd w:val="clear" w:color="000000" w:fill="FFFFFF"/>
            <w:vAlign w:val="center"/>
            <w:hideMark/>
          </w:tcPr>
          <w:p w14:paraId="19C2EDD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0772680F"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634AC4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60" w:type="pct"/>
            <w:tcBorders>
              <w:top w:val="nil"/>
              <w:left w:val="nil"/>
              <w:bottom w:val="single" w:sz="4" w:space="0" w:color="auto"/>
              <w:right w:val="single" w:sz="4" w:space="0" w:color="auto"/>
            </w:tcBorders>
            <w:shd w:val="clear" w:color="000000" w:fill="FFFFFF"/>
            <w:vAlign w:val="center"/>
            <w:hideMark/>
          </w:tcPr>
          <w:p w14:paraId="6DC295A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ndryshime në ligjin nr. 102/2014, ‘Kodi Doganor i Republikës së Shqipërisë’, i ndryshuar</w:t>
            </w:r>
          </w:p>
        </w:tc>
        <w:tc>
          <w:tcPr>
            <w:tcW w:w="279" w:type="pct"/>
            <w:tcBorders>
              <w:top w:val="nil"/>
              <w:left w:val="nil"/>
              <w:bottom w:val="single" w:sz="4" w:space="0" w:color="auto"/>
              <w:right w:val="single" w:sz="4" w:space="0" w:color="auto"/>
            </w:tcBorders>
            <w:shd w:val="clear" w:color="000000" w:fill="FFFFFF"/>
            <w:vAlign w:val="center"/>
            <w:hideMark/>
          </w:tcPr>
          <w:p w14:paraId="5CF3404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7AF5576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3127F1E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6478D85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te Punës për Closing Benchmark për kapitullin 29</w:t>
            </w:r>
            <w:r w:rsidRPr="00B6793F">
              <w:rPr>
                <w:rFonts w:ascii="Arial" w:eastAsia="Times New Roman" w:hAnsi="Arial" w:cs="Arial"/>
                <w:color w:val="000000"/>
                <w:sz w:val="8"/>
                <w:szCs w:val="8"/>
                <w:lang w:eastAsia="sq-AL"/>
              </w:rPr>
              <w:br/>
              <w:t>Përafrim me  Direktivat e Bashkimit Evropian lidhur me rregullat dhe procedurat e përgjithshme doganore</w:t>
            </w:r>
          </w:p>
        </w:tc>
        <w:tc>
          <w:tcPr>
            <w:tcW w:w="668" w:type="pct"/>
            <w:tcBorders>
              <w:top w:val="nil"/>
              <w:left w:val="nil"/>
              <w:bottom w:val="single" w:sz="4" w:space="0" w:color="auto"/>
              <w:right w:val="single" w:sz="4" w:space="0" w:color="auto"/>
            </w:tcBorders>
            <w:shd w:val="clear" w:color="000000" w:fill="FFFFFF"/>
            <w:vAlign w:val="center"/>
            <w:hideMark/>
          </w:tcPr>
          <w:p w14:paraId="0B10EAF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Harmionizimi i atyre rregullave dhe procedurave të përgjithshme doganore që nuk janë ende në përputhje të plotë me rregullat e BE-së në këtë fushë. </w:t>
            </w:r>
          </w:p>
        </w:tc>
        <w:tc>
          <w:tcPr>
            <w:tcW w:w="404" w:type="pct"/>
            <w:tcBorders>
              <w:top w:val="nil"/>
              <w:left w:val="nil"/>
              <w:bottom w:val="single" w:sz="4" w:space="0" w:color="auto"/>
              <w:right w:val="single" w:sz="4" w:space="0" w:color="auto"/>
            </w:tcBorders>
            <w:shd w:val="clear" w:color="000000" w:fill="FFFFFF"/>
            <w:noWrap/>
            <w:vAlign w:val="center"/>
            <w:hideMark/>
          </w:tcPr>
          <w:p w14:paraId="23119E6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29</w:t>
            </w:r>
          </w:p>
        </w:tc>
        <w:tc>
          <w:tcPr>
            <w:tcW w:w="685" w:type="pct"/>
            <w:tcBorders>
              <w:top w:val="nil"/>
              <w:left w:val="nil"/>
              <w:bottom w:val="single" w:sz="4" w:space="0" w:color="auto"/>
              <w:right w:val="single" w:sz="4" w:space="0" w:color="auto"/>
            </w:tcBorders>
            <w:shd w:val="clear" w:color="000000" w:fill="FFFFFF"/>
            <w:vAlign w:val="center"/>
            <w:hideMark/>
          </w:tcPr>
          <w:p w14:paraId="75F7A00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Në rubriken "Integrimi europian ".</w:t>
            </w:r>
          </w:p>
        </w:tc>
        <w:tc>
          <w:tcPr>
            <w:tcW w:w="358" w:type="pct"/>
            <w:tcBorders>
              <w:top w:val="nil"/>
              <w:left w:val="nil"/>
              <w:bottom w:val="single" w:sz="4" w:space="0" w:color="auto"/>
              <w:right w:val="single" w:sz="4" w:space="0" w:color="auto"/>
            </w:tcBorders>
            <w:shd w:val="clear" w:color="000000" w:fill="FFFFFF"/>
            <w:vAlign w:val="center"/>
            <w:hideMark/>
          </w:tcPr>
          <w:p w14:paraId="37C2092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29E4E47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4D1DB33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29A60326"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B0EB7B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460" w:type="pct"/>
            <w:tcBorders>
              <w:top w:val="nil"/>
              <w:left w:val="nil"/>
              <w:bottom w:val="single" w:sz="4" w:space="0" w:color="auto"/>
              <w:right w:val="single" w:sz="4" w:space="0" w:color="auto"/>
            </w:tcBorders>
            <w:shd w:val="clear" w:color="000000" w:fill="FFFFFF"/>
            <w:vAlign w:val="center"/>
            <w:hideMark/>
          </w:tcPr>
          <w:p w14:paraId="0EAA4D5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 92/2014, ‘Për tatimin mbi vlerën e shtuar në Republikën e Shqipërisë’, i ndryshuar”</w:t>
            </w:r>
          </w:p>
        </w:tc>
        <w:tc>
          <w:tcPr>
            <w:tcW w:w="279" w:type="pct"/>
            <w:tcBorders>
              <w:top w:val="nil"/>
              <w:left w:val="nil"/>
              <w:bottom w:val="single" w:sz="4" w:space="0" w:color="auto"/>
              <w:right w:val="single" w:sz="4" w:space="0" w:color="auto"/>
            </w:tcBorders>
            <w:shd w:val="clear" w:color="000000" w:fill="FFFFFF"/>
            <w:vAlign w:val="center"/>
            <w:hideMark/>
          </w:tcPr>
          <w:p w14:paraId="366580A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6F05918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3AC185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3C2DD17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 për kapitullin 16</w:t>
            </w:r>
            <w:r w:rsidRPr="00B6793F">
              <w:rPr>
                <w:rFonts w:ascii="Arial" w:eastAsia="Times New Roman" w:hAnsi="Arial" w:cs="Arial"/>
                <w:color w:val="000000"/>
                <w:sz w:val="8"/>
                <w:szCs w:val="8"/>
                <w:lang w:eastAsia="sq-AL"/>
              </w:rPr>
              <w:br/>
              <w:t>Përafrim me Direktivat e Bashkimit Evropian lidhur me TVSH</w:t>
            </w:r>
          </w:p>
        </w:tc>
        <w:tc>
          <w:tcPr>
            <w:tcW w:w="668" w:type="pct"/>
            <w:tcBorders>
              <w:top w:val="nil"/>
              <w:left w:val="nil"/>
              <w:bottom w:val="single" w:sz="4" w:space="0" w:color="auto"/>
              <w:right w:val="single" w:sz="4" w:space="0" w:color="auto"/>
            </w:tcBorders>
            <w:shd w:val="clear" w:color="000000" w:fill="FFFFFF"/>
            <w:vAlign w:val="center"/>
            <w:hideMark/>
          </w:tcPr>
          <w:p w14:paraId="44C892C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Perfshirja e atyre parashikimeve detyruese nga Direktivat e BE-se në fushën e TVSH-së dhe harmonizimi i mëtejshëm i kuadrit rregullator vendas. </w:t>
            </w:r>
          </w:p>
        </w:tc>
        <w:tc>
          <w:tcPr>
            <w:tcW w:w="404" w:type="pct"/>
            <w:tcBorders>
              <w:top w:val="nil"/>
              <w:left w:val="nil"/>
              <w:bottom w:val="single" w:sz="4" w:space="0" w:color="auto"/>
              <w:right w:val="single" w:sz="4" w:space="0" w:color="auto"/>
            </w:tcBorders>
            <w:shd w:val="clear" w:color="000000" w:fill="FFFFFF"/>
            <w:noWrap/>
            <w:vAlign w:val="center"/>
            <w:hideMark/>
          </w:tcPr>
          <w:p w14:paraId="5DB29A2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000000" w:fill="FFFFFF"/>
            <w:noWrap/>
            <w:vAlign w:val="center"/>
            <w:hideMark/>
          </w:tcPr>
          <w:p w14:paraId="27D0B22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Në rubrikën "Integrimi evropian" </w:t>
            </w:r>
          </w:p>
        </w:tc>
        <w:tc>
          <w:tcPr>
            <w:tcW w:w="358" w:type="pct"/>
            <w:tcBorders>
              <w:top w:val="nil"/>
              <w:left w:val="nil"/>
              <w:bottom w:val="single" w:sz="4" w:space="0" w:color="auto"/>
              <w:right w:val="single" w:sz="4" w:space="0" w:color="auto"/>
            </w:tcBorders>
            <w:shd w:val="clear" w:color="000000" w:fill="FFFFFF"/>
            <w:vAlign w:val="center"/>
            <w:hideMark/>
          </w:tcPr>
          <w:p w14:paraId="0C4FF9F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7334F9C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Afatmesme e të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525F35F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0C1EEA97"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0D3880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60" w:type="pct"/>
            <w:tcBorders>
              <w:top w:val="nil"/>
              <w:left w:val="nil"/>
              <w:bottom w:val="single" w:sz="4" w:space="0" w:color="auto"/>
              <w:right w:val="single" w:sz="4" w:space="0" w:color="auto"/>
            </w:tcBorders>
            <w:shd w:val="clear" w:color="000000" w:fill="FFFFFF"/>
            <w:vAlign w:val="center"/>
            <w:hideMark/>
          </w:tcPr>
          <w:p w14:paraId="2E16F38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61/2012, “Për akcizat në Republikën e Shqipërisë”, i ndryshuar”</w:t>
            </w:r>
          </w:p>
        </w:tc>
        <w:tc>
          <w:tcPr>
            <w:tcW w:w="279" w:type="pct"/>
            <w:tcBorders>
              <w:top w:val="nil"/>
              <w:left w:val="nil"/>
              <w:bottom w:val="single" w:sz="4" w:space="0" w:color="auto"/>
              <w:right w:val="single" w:sz="4" w:space="0" w:color="auto"/>
            </w:tcBorders>
            <w:shd w:val="clear" w:color="000000" w:fill="FFFFFF"/>
            <w:vAlign w:val="center"/>
            <w:hideMark/>
          </w:tcPr>
          <w:p w14:paraId="41893A3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488C18D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1A1D26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7811EBF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 për kapitullin 16</w:t>
            </w:r>
            <w:r w:rsidRPr="00B6793F">
              <w:rPr>
                <w:rFonts w:ascii="Arial" w:eastAsia="Times New Roman" w:hAnsi="Arial" w:cs="Arial"/>
                <w:color w:val="000000"/>
                <w:sz w:val="8"/>
                <w:szCs w:val="8"/>
                <w:lang w:eastAsia="sq-AL"/>
              </w:rPr>
              <w:br/>
              <w:t>Përafrim me  Direktivat e Bashkimit Evropian lidhur me akcizën</w:t>
            </w:r>
          </w:p>
        </w:tc>
        <w:tc>
          <w:tcPr>
            <w:tcW w:w="668" w:type="pct"/>
            <w:tcBorders>
              <w:top w:val="nil"/>
              <w:left w:val="nil"/>
              <w:bottom w:val="single" w:sz="4" w:space="0" w:color="auto"/>
              <w:right w:val="single" w:sz="4" w:space="0" w:color="auto"/>
            </w:tcBorders>
            <w:shd w:val="clear" w:color="000000" w:fill="FFFFFF"/>
            <w:vAlign w:val="center"/>
            <w:hideMark/>
          </w:tcPr>
          <w:p w14:paraId="6296838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Perfshirja e atyre parashikimeve detyruese nga Direktivat e BE-s në fushën e Akcizave dhe harmonizimi i mëtejshëm i kuadrit rregullator vendas, përfshire nivelet e akcizes për kategorine e duhaneve </w:t>
            </w:r>
          </w:p>
        </w:tc>
        <w:tc>
          <w:tcPr>
            <w:tcW w:w="404" w:type="pct"/>
            <w:tcBorders>
              <w:top w:val="nil"/>
              <w:left w:val="nil"/>
              <w:bottom w:val="single" w:sz="4" w:space="0" w:color="auto"/>
              <w:right w:val="single" w:sz="4" w:space="0" w:color="auto"/>
            </w:tcBorders>
            <w:shd w:val="clear" w:color="000000" w:fill="FFFFFF"/>
            <w:noWrap/>
            <w:vAlign w:val="center"/>
            <w:hideMark/>
          </w:tcPr>
          <w:p w14:paraId="4340A46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000000" w:fill="FFFFFF"/>
            <w:noWrap/>
            <w:vAlign w:val="center"/>
            <w:hideMark/>
          </w:tcPr>
          <w:p w14:paraId="21EF5BB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Në rubriken "Integrimi evropian" </w:t>
            </w:r>
          </w:p>
        </w:tc>
        <w:tc>
          <w:tcPr>
            <w:tcW w:w="358" w:type="pct"/>
            <w:tcBorders>
              <w:top w:val="nil"/>
              <w:left w:val="nil"/>
              <w:bottom w:val="single" w:sz="4" w:space="0" w:color="auto"/>
              <w:right w:val="single" w:sz="4" w:space="0" w:color="auto"/>
            </w:tcBorders>
            <w:shd w:val="clear" w:color="000000" w:fill="FFFFFF"/>
            <w:vAlign w:val="center"/>
            <w:hideMark/>
          </w:tcPr>
          <w:p w14:paraId="769DFE4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262FD2B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Afatmesme e të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13B46F4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406BA40A"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91A61D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460" w:type="pct"/>
            <w:tcBorders>
              <w:top w:val="nil"/>
              <w:left w:val="nil"/>
              <w:bottom w:val="single" w:sz="4" w:space="0" w:color="auto"/>
              <w:right w:val="single" w:sz="4" w:space="0" w:color="auto"/>
            </w:tcBorders>
            <w:shd w:val="clear" w:color="000000" w:fill="FFFFFF"/>
            <w:vAlign w:val="center"/>
            <w:hideMark/>
          </w:tcPr>
          <w:p w14:paraId="242978A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dhe publikimin zyrtar të Nomenklaurës së Kombinuar të Mallrave 2027"</w:t>
            </w:r>
          </w:p>
        </w:tc>
        <w:tc>
          <w:tcPr>
            <w:tcW w:w="279" w:type="pct"/>
            <w:tcBorders>
              <w:top w:val="nil"/>
              <w:left w:val="nil"/>
              <w:bottom w:val="single" w:sz="4" w:space="0" w:color="auto"/>
              <w:right w:val="single" w:sz="4" w:space="0" w:color="auto"/>
            </w:tcBorders>
            <w:shd w:val="clear" w:color="000000" w:fill="FFFFFF"/>
            <w:vAlign w:val="center"/>
            <w:hideMark/>
          </w:tcPr>
          <w:p w14:paraId="6605C9C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071A927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21728BE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426E8D4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Përditësimi i Nomenklaturës së Kombinuar të Mallrave, sipas versionit të Bashkimit Evropian. Në datë 1 janar 2026 Administrata Doganore Shqiptare duhet të zbatojë të njejtën Nomenklaturë Mallrash si Bashkimi Evropian. Në bazë të kësaj Nomenkalture zbatohen nivelet kombetare të tarifes doganore, Marrëveshja e Stabilizim Asociimit, Marrëveshja Interim si dhe Marrëveshjet e Tregtisë së Lirë. </w:t>
            </w:r>
          </w:p>
        </w:tc>
        <w:tc>
          <w:tcPr>
            <w:tcW w:w="668" w:type="pct"/>
            <w:tcBorders>
              <w:top w:val="nil"/>
              <w:left w:val="nil"/>
              <w:bottom w:val="single" w:sz="4" w:space="0" w:color="auto"/>
              <w:right w:val="single" w:sz="4" w:space="0" w:color="auto"/>
            </w:tcBorders>
            <w:shd w:val="clear" w:color="000000" w:fill="FFFFFF"/>
            <w:vAlign w:val="center"/>
            <w:hideMark/>
          </w:tcPr>
          <w:p w14:paraId="262F1E5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Zbatimin e saktë të: niveleve të tarifës doganore, Marrëveshjes së Stabilizim Asociimit dhe Marreveshjeve të Tregetisë së Lirë; Shkembimin e informacionit me autoritetet doganore evropiane si dhe lehtësimin e raportimeve statistikore dhe procedurave doganore për shkembimet tregtare me vendet e BE.</w:t>
            </w:r>
          </w:p>
        </w:tc>
        <w:tc>
          <w:tcPr>
            <w:tcW w:w="404" w:type="pct"/>
            <w:tcBorders>
              <w:top w:val="nil"/>
              <w:left w:val="nil"/>
              <w:bottom w:val="single" w:sz="4" w:space="0" w:color="auto"/>
              <w:right w:val="single" w:sz="4" w:space="0" w:color="auto"/>
            </w:tcBorders>
            <w:shd w:val="clear" w:color="000000" w:fill="FFFFFF"/>
            <w:vAlign w:val="center"/>
            <w:hideMark/>
          </w:tcPr>
          <w:p w14:paraId="78AB838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29</w:t>
            </w:r>
          </w:p>
        </w:tc>
        <w:tc>
          <w:tcPr>
            <w:tcW w:w="685" w:type="pct"/>
            <w:tcBorders>
              <w:top w:val="nil"/>
              <w:left w:val="nil"/>
              <w:bottom w:val="single" w:sz="4" w:space="0" w:color="auto"/>
              <w:right w:val="single" w:sz="4" w:space="0" w:color="auto"/>
            </w:tcBorders>
            <w:shd w:val="clear" w:color="000000" w:fill="FFFFFF"/>
            <w:vAlign w:val="center"/>
            <w:hideMark/>
          </w:tcPr>
          <w:p w14:paraId="66E204B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Në rubriken "Integrimi europian ".</w:t>
            </w:r>
          </w:p>
        </w:tc>
        <w:tc>
          <w:tcPr>
            <w:tcW w:w="358" w:type="pct"/>
            <w:tcBorders>
              <w:top w:val="nil"/>
              <w:left w:val="nil"/>
              <w:bottom w:val="single" w:sz="4" w:space="0" w:color="auto"/>
              <w:right w:val="single" w:sz="4" w:space="0" w:color="auto"/>
            </w:tcBorders>
            <w:shd w:val="clear" w:color="000000" w:fill="FFFFFF"/>
            <w:vAlign w:val="center"/>
            <w:hideMark/>
          </w:tcPr>
          <w:p w14:paraId="07DCF57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42C1CD8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FF6216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7A103882"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C80DBA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460" w:type="pct"/>
            <w:tcBorders>
              <w:top w:val="nil"/>
              <w:left w:val="nil"/>
              <w:bottom w:val="single" w:sz="4" w:space="0" w:color="auto"/>
              <w:right w:val="single" w:sz="4" w:space="0" w:color="auto"/>
            </w:tcBorders>
            <w:shd w:val="clear" w:color="000000" w:fill="FFFFFF"/>
            <w:vAlign w:val="center"/>
            <w:hideMark/>
          </w:tcPr>
          <w:p w14:paraId="7676EB6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Projektligji "Për krijimin dhe funksionimin e sistemit elektronik të informacionit mbi pagesat ndërkufitare" </w:t>
            </w:r>
          </w:p>
        </w:tc>
        <w:tc>
          <w:tcPr>
            <w:tcW w:w="279" w:type="pct"/>
            <w:tcBorders>
              <w:top w:val="nil"/>
              <w:left w:val="nil"/>
              <w:bottom w:val="single" w:sz="4" w:space="0" w:color="auto"/>
              <w:right w:val="single" w:sz="4" w:space="0" w:color="auto"/>
            </w:tcBorders>
            <w:shd w:val="clear" w:color="000000" w:fill="FFFFFF"/>
            <w:vAlign w:val="center"/>
            <w:hideMark/>
          </w:tcPr>
          <w:p w14:paraId="4B31E3E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1" w:type="pct"/>
            <w:tcBorders>
              <w:top w:val="nil"/>
              <w:left w:val="nil"/>
              <w:bottom w:val="single" w:sz="4" w:space="0" w:color="auto"/>
              <w:right w:val="single" w:sz="4" w:space="0" w:color="auto"/>
            </w:tcBorders>
            <w:shd w:val="clear" w:color="000000" w:fill="FFFFFF"/>
            <w:vAlign w:val="center"/>
            <w:hideMark/>
          </w:tcPr>
          <w:p w14:paraId="5400D6C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3F3C838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0F8EE02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 për kapitullin 16</w:t>
            </w:r>
            <w:r w:rsidRPr="00B6793F">
              <w:rPr>
                <w:rFonts w:ascii="Arial" w:eastAsia="Times New Roman" w:hAnsi="Arial" w:cs="Arial"/>
                <w:color w:val="000000"/>
                <w:sz w:val="8"/>
                <w:szCs w:val="8"/>
                <w:lang w:eastAsia="sq-AL"/>
              </w:rPr>
              <w:br/>
              <w:t>Përafrim me  Direktivën e Këshillit (BE) 2020/283 dhe Direktivën e Komisionit (BE) 2020/284, që ndryshon Direktivën 2006/112/EC për integrimin e dispozitave mbi CESOP.</w:t>
            </w:r>
          </w:p>
        </w:tc>
        <w:tc>
          <w:tcPr>
            <w:tcW w:w="668" w:type="pct"/>
            <w:tcBorders>
              <w:top w:val="nil"/>
              <w:left w:val="nil"/>
              <w:bottom w:val="single" w:sz="4" w:space="0" w:color="auto"/>
              <w:right w:val="single" w:sz="4" w:space="0" w:color="auto"/>
            </w:tcBorders>
            <w:shd w:val="clear" w:color="000000" w:fill="FFFFFF"/>
            <w:vAlign w:val="center"/>
            <w:hideMark/>
          </w:tcPr>
          <w:p w14:paraId="773B348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Objekti i këtij ligji është përcaktimi i parimeve, rregullave dhe detyrimeve ligjore për krijimin, administrimin dhe funksionimin e Sistemit Elektronik të Informacionit mbi Pagesat Ndërkufitare , si një bazë të dhënash shtetërore, si dhe përcaktimi i detyrimit të ofruesve të shërbimeve të pagesave për të mbledhur dhe raportuar të dhënat mbi pagesat ndërkufitare sipas procedurave, formateve dhe afateve të përcaktuara në këtë ligj dhe aktet nënligjore në zbatim të tij.</w:t>
            </w:r>
          </w:p>
        </w:tc>
        <w:tc>
          <w:tcPr>
            <w:tcW w:w="404" w:type="pct"/>
            <w:tcBorders>
              <w:top w:val="nil"/>
              <w:left w:val="nil"/>
              <w:bottom w:val="single" w:sz="4" w:space="0" w:color="auto"/>
              <w:right w:val="single" w:sz="4" w:space="0" w:color="auto"/>
            </w:tcBorders>
            <w:shd w:val="clear" w:color="000000" w:fill="FFFFFF"/>
            <w:noWrap/>
            <w:vAlign w:val="center"/>
            <w:hideMark/>
          </w:tcPr>
          <w:p w14:paraId="355A130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000000" w:fill="FFFFFF"/>
            <w:vAlign w:val="center"/>
            <w:hideMark/>
          </w:tcPr>
          <w:p w14:paraId="5B97D49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Në rubriken "Integrimi europian ".</w:t>
            </w:r>
          </w:p>
        </w:tc>
        <w:tc>
          <w:tcPr>
            <w:tcW w:w="358" w:type="pct"/>
            <w:tcBorders>
              <w:top w:val="nil"/>
              <w:left w:val="nil"/>
              <w:bottom w:val="single" w:sz="4" w:space="0" w:color="auto"/>
              <w:right w:val="single" w:sz="4" w:space="0" w:color="auto"/>
            </w:tcBorders>
            <w:shd w:val="clear" w:color="000000" w:fill="FFFFFF"/>
            <w:vAlign w:val="center"/>
            <w:hideMark/>
          </w:tcPr>
          <w:p w14:paraId="6AC4A7A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155FE3D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1AB3AD6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4AC2CF08"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B54C93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460" w:type="pct"/>
            <w:tcBorders>
              <w:top w:val="nil"/>
              <w:left w:val="nil"/>
              <w:bottom w:val="single" w:sz="4" w:space="0" w:color="auto"/>
              <w:right w:val="single" w:sz="4" w:space="0" w:color="auto"/>
            </w:tcBorders>
            <w:shd w:val="clear" w:color="000000" w:fill="FFFFFF"/>
            <w:vAlign w:val="center"/>
            <w:hideMark/>
          </w:tcPr>
          <w:p w14:paraId="5EB9064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ndryshime në ligjin nr. 9920, datë 19.5.2008, “Për procedurat tatimore në Republikën e Shqipërisë", të ndryshuar"</w:t>
            </w:r>
          </w:p>
        </w:tc>
        <w:tc>
          <w:tcPr>
            <w:tcW w:w="279" w:type="pct"/>
            <w:tcBorders>
              <w:top w:val="nil"/>
              <w:left w:val="nil"/>
              <w:bottom w:val="single" w:sz="4" w:space="0" w:color="auto"/>
              <w:right w:val="single" w:sz="4" w:space="0" w:color="auto"/>
            </w:tcBorders>
            <w:shd w:val="clear" w:color="000000" w:fill="FFFFFF"/>
            <w:vAlign w:val="center"/>
            <w:hideMark/>
          </w:tcPr>
          <w:p w14:paraId="7B3362F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7D691B0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440139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693CA5E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Rritja e transparencës financiare, lufta kundër evazionit fiskal dhe përshtatja me standardet dhe praktikat më të mira ndërkombëtare</w:t>
            </w:r>
          </w:p>
        </w:tc>
        <w:tc>
          <w:tcPr>
            <w:tcW w:w="668" w:type="pct"/>
            <w:tcBorders>
              <w:top w:val="nil"/>
              <w:left w:val="nil"/>
              <w:bottom w:val="single" w:sz="4" w:space="0" w:color="auto"/>
              <w:right w:val="single" w:sz="4" w:space="0" w:color="auto"/>
            </w:tcBorders>
            <w:shd w:val="clear" w:color="000000" w:fill="FFFFFF"/>
            <w:vAlign w:val="center"/>
            <w:hideMark/>
          </w:tcPr>
          <w:p w14:paraId="56B485A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Përmirësimi i procedurave tatimore. </w:t>
            </w:r>
            <w:r w:rsidRPr="00B6793F">
              <w:rPr>
                <w:rFonts w:ascii="Arial" w:eastAsia="Times New Roman" w:hAnsi="Arial" w:cs="Arial"/>
                <w:color w:val="000000"/>
                <w:sz w:val="8"/>
                <w:szCs w:val="8"/>
                <w:lang w:eastAsia="sq-AL"/>
              </w:rPr>
              <w:br/>
              <w:t xml:space="preserve">Përafrimi i ligjit për procedurat tatimore me Direktivat e Bashkimit Evropian në fushën e tatimeve direkte, që lidhen me parashikimet e këtij ligji                                                                                                                                                                                                                                                                                                                                                                                </w:t>
            </w:r>
          </w:p>
        </w:tc>
        <w:tc>
          <w:tcPr>
            <w:tcW w:w="404" w:type="pct"/>
            <w:tcBorders>
              <w:top w:val="nil"/>
              <w:left w:val="nil"/>
              <w:bottom w:val="single" w:sz="4" w:space="0" w:color="auto"/>
              <w:right w:val="single" w:sz="4" w:space="0" w:color="auto"/>
            </w:tcBorders>
            <w:shd w:val="clear" w:color="000000" w:fill="FFFFFF"/>
            <w:noWrap/>
            <w:vAlign w:val="center"/>
            <w:hideMark/>
          </w:tcPr>
          <w:p w14:paraId="6678142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000000" w:fill="FFFFFF"/>
            <w:vAlign w:val="center"/>
            <w:hideMark/>
          </w:tcPr>
          <w:p w14:paraId="27A94C9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24EC40C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167EF3A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1F563F3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0EAE4C11"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E8D416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460" w:type="pct"/>
            <w:tcBorders>
              <w:top w:val="nil"/>
              <w:left w:val="nil"/>
              <w:bottom w:val="single" w:sz="4" w:space="0" w:color="auto"/>
              <w:right w:val="single" w:sz="4" w:space="0" w:color="auto"/>
            </w:tcBorders>
            <w:shd w:val="clear" w:color="000000" w:fill="FFFFFF"/>
            <w:vAlign w:val="center"/>
            <w:hideMark/>
          </w:tcPr>
          <w:p w14:paraId="7C12913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 29/2023, datë 30.3.2023, “Për tatimin mbi të ardhurat”, të ndryshuar”</w:t>
            </w:r>
          </w:p>
        </w:tc>
        <w:tc>
          <w:tcPr>
            <w:tcW w:w="279" w:type="pct"/>
            <w:tcBorders>
              <w:top w:val="nil"/>
              <w:left w:val="nil"/>
              <w:bottom w:val="single" w:sz="4" w:space="0" w:color="auto"/>
              <w:right w:val="single" w:sz="4" w:space="0" w:color="auto"/>
            </w:tcBorders>
            <w:shd w:val="clear" w:color="000000" w:fill="FFFFFF"/>
            <w:vAlign w:val="center"/>
            <w:hideMark/>
          </w:tcPr>
          <w:p w14:paraId="6F59B66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5FB896D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78094B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2AD5468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Benchmarks për Kapitullin 16</w:t>
            </w:r>
            <w:r w:rsidRPr="00B6793F">
              <w:rPr>
                <w:rFonts w:ascii="Arial" w:eastAsia="Times New Roman" w:hAnsi="Arial" w:cs="Arial"/>
                <w:color w:val="000000"/>
                <w:sz w:val="8"/>
                <w:szCs w:val="8"/>
                <w:lang w:eastAsia="sq-AL"/>
              </w:rPr>
              <w:br/>
              <w:t>Përafrim me Direktivat e Bashkimit Evropian për tatimet direkte:                                                                        "Council Directive 2009/133/EC of 19 October 2009";  "Council Directive 2016/1164 of 12 July 2016"; dhe "Council Directive 2011/96/EU of 30 November 2011".</w:t>
            </w:r>
          </w:p>
        </w:tc>
        <w:tc>
          <w:tcPr>
            <w:tcW w:w="668" w:type="pct"/>
            <w:tcBorders>
              <w:top w:val="nil"/>
              <w:left w:val="nil"/>
              <w:bottom w:val="single" w:sz="4" w:space="0" w:color="auto"/>
              <w:right w:val="single" w:sz="4" w:space="0" w:color="auto"/>
            </w:tcBorders>
            <w:shd w:val="clear" w:color="000000" w:fill="FFFFFF"/>
            <w:vAlign w:val="center"/>
            <w:hideMark/>
          </w:tcPr>
          <w:p w14:paraId="52FFAF6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Përafrimi i ligjit për tatimin mbi të ardhurat me Direktivat e Bashkimit Evropian në fushën e tatimeve direkte, që lidhen me parashikimet e këtij ligji</w:t>
            </w:r>
          </w:p>
        </w:tc>
        <w:tc>
          <w:tcPr>
            <w:tcW w:w="404" w:type="pct"/>
            <w:tcBorders>
              <w:top w:val="nil"/>
              <w:left w:val="nil"/>
              <w:bottom w:val="single" w:sz="4" w:space="0" w:color="auto"/>
              <w:right w:val="single" w:sz="4" w:space="0" w:color="auto"/>
            </w:tcBorders>
            <w:shd w:val="clear" w:color="000000" w:fill="FFFFFF"/>
            <w:noWrap/>
            <w:vAlign w:val="center"/>
            <w:hideMark/>
          </w:tcPr>
          <w:p w14:paraId="35F85CF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000000" w:fill="FFFFFF"/>
            <w:noWrap/>
            <w:vAlign w:val="center"/>
            <w:hideMark/>
          </w:tcPr>
          <w:p w14:paraId="1412DD6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32C3727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F0AD06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2CE956A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3AE00637"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FA8E44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460" w:type="pct"/>
            <w:tcBorders>
              <w:top w:val="nil"/>
              <w:left w:val="nil"/>
              <w:bottom w:val="single" w:sz="4" w:space="0" w:color="auto"/>
              <w:right w:val="single" w:sz="4" w:space="0" w:color="auto"/>
            </w:tcBorders>
            <w:shd w:val="clear" w:color="000000" w:fill="FFFFFF"/>
            <w:vAlign w:val="center"/>
            <w:hideMark/>
          </w:tcPr>
          <w:p w14:paraId="1D49F87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sigurimin e një niveli minimal global të tatimit për grupet e shoqërive shumëkombëshe"</w:t>
            </w:r>
          </w:p>
        </w:tc>
        <w:tc>
          <w:tcPr>
            <w:tcW w:w="279" w:type="pct"/>
            <w:tcBorders>
              <w:top w:val="nil"/>
              <w:left w:val="nil"/>
              <w:bottom w:val="single" w:sz="4" w:space="0" w:color="auto"/>
              <w:right w:val="single" w:sz="4" w:space="0" w:color="auto"/>
            </w:tcBorders>
            <w:shd w:val="clear" w:color="000000" w:fill="FFFFFF"/>
            <w:vAlign w:val="center"/>
            <w:hideMark/>
          </w:tcPr>
          <w:p w14:paraId="39CDDF6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2A01052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0430927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567000D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Benchmarks për Kapitullin 16</w:t>
            </w:r>
            <w:r w:rsidRPr="00B6793F">
              <w:rPr>
                <w:rFonts w:ascii="Arial" w:eastAsia="Times New Roman" w:hAnsi="Arial" w:cs="Arial"/>
                <w:color w:val="000000"/>
                <w:sz w:val="8"/>
                <w:szCs w:val="8"/>
                <w:lang w:eastAsia="sq-AL"/>
              </w:rPr>
              <w:br/>
              <w:t>Përafrim me "Council Directive 2022/2523/EC"</w:t>
            </w:r>
          </w:p>
        </w:tc>
        <w:tc>
          <w:tcPr>
            <w:tcW w:w="668" w:type="pct"/>
            <w:tcBorders>
              <w:top w:val="nil"/>
              <w:left w:val="nil"/>
              <w:bottom w:val="single" w:sz="4" w:space="0" w:color="auto"/>
              <w:right w:val="single" w:sz="4" w:space="0" w:color="auto"/>
            </w:tcBorders>
            <w:shd w:val="clear" w:color="000000" w:fill="FFFFFF"/>
            <w:vAlign w:val="center"/>
            <w:hideMark/>
          </w:tcPr>
          <w:p w14:paraId="21DD7D5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normës minimale efektive të tatimit prej 15%</w:t>
            </w:r>
            <w:r w:rsidRPr="00B6793F">
              <w:rPr>
                <w:rFonts w:ascii="Arial" w:eastAsia="Times New Roman" w:hAnsi="Arial" w:cs="Arial"/>
                <w:color w:val="000000"/>
                <w:sz w:val="8"/>
                <w:szCs w:val="8"/>
                <w:lang w:eastAsia="sq-AL"/>
              </w:rPr>
              <w:br/>
              <w:t>*Rregulli i përfshirjes së të ardhurave (Income Inclusion Rule - IIR)</w:t>
            </w:r>
            <w:r w:rsidRPr="00B6793F">
              <w:rPr>
                <w:rFonts w:ascii="Arial" w:eastAsia="Times New Roman" w:hAnsi="Arial" w:cs="Arial"/>
                <w:color w:val="000000"/>
                <w:sz w:val="8"/>
                <w:szCs w:val="8"/>
                <w:lang w:eastAsia="sq-AL"/>
              </w:rPr>
              <w:br/>
              <w:t>*Rregulli për fitimet e nën-tatuara (Undertaxed Profits Rule - UTPR)</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lastRenderedPageBreak/>
              <w:t>*Tatimi shtesë i brendshëm i kualifikuar (Qualified Domestic Minimum Top-up Tax - QDMTT)</w:t>
            </w:r>
            <w:r w:rsidRPr="00B6793F">
              <w:rPr>
                <w:rFonts w:ascii="Arial" w:eastAsia="Times New Roman" w:hAnsi="Arial" w:cs="Arial"/>
                <w:color w:val="000000"/>
                <w:sz w:val="8"/>
                <w:szCs w:val="8"/>
                <w:lang w:eastAsia="sq-AL"/>
              </w:rPr>
              <w:br/>
              <w:t>*Rregulla administrative dhe raportimi</w:t>
            </w:r>
          </w:p>
        </w:tc>
        <w:tc>
          <w:tcPr>
            <w:tcW w:w="404" w:type="pct"/>
            <w:tcBorders>
              <w:top w:val="nil"/>
              <w:left w:val="nil"/>
              <w:bottom w:val="single" w:sz="4" w:space="0" w:color="auto"/>
              <w:right w:val="single" w:sz="4" w:space="0" w:color="auto"/>
            </w:tcBorders>
            <w:shd w:val="clear" w:color="000000" w:fill="FFFFFF"/>
            <w:noWrap/>
            <w:vAlign w:val="center"/>
            <w:hideMark/>
          </w:tcPr>
          <w:p w14:paraId="491D694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Po, Kapitulli 16</w:t>
            </w:r>
          </w:p>
        </w:tc>
        <w:tc>
          <w:tcPr>
            <w:tcW w:w="685" w:type="pct"/>
            <w:tcBorders>
              <w:top w:val="nil"/>
              <w:left w:val="nil"/>
              <w:bottom w:val="single" w:sz="4" w:space="0" w:color="auto"/>
              <w:right w:val="single" w:sz="4" w:space="0" w:color="auto"/>
            </w:tcBorders>
            <w:shd w:val="clear" w:color="000000" w:fill="FFFFFF"/>
            <w:noWrap/>
            <w:vAlign w:val="center"/>
            <w:hideMark/>
          </w:tcPr>
          <w:p w14:paraId="085C0B3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4E2697E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399DE30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791BCEF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0FDCAAD0"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F5B4B3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460" w:type="pct"/>
            <w:tcBorders>
              <w:top w:val="nil"/>
              <w:left w:val="nil"/>
              <w:bottom w:val="single" w:sz="4" w:space="0" w:color="auto"/>
              <w:right w:val="single" w:sz="4" w:space="0" w:color="auto"/>
            </w:tcBorders>
            <w:shd w:val="clear" w:color="auto" w:fill="auto"/>
            <w:vAlign w:val="center"/>
            <w:hideMark/>
          </w:tcPr>
          <w:p w14:paraId="2C6151A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ndryshime në ligjin nr. 9975, datë 28.7.2008, “Për taksat kombëtare”, të ndryshuar"</w:t>
            </w:r>
          </w:p>
        </w:tc>
        <w:tc>
          <w:tcPr>
            <w:tcW w:w="279" w:type="pct"/>
            <w:tcBorders>
              <w:top w:val="nil"/>
              <w:left w:val="nil"/>
              <w:bottom w:val="single" w:sz="4" w:space="0" w:color="auto"/>
              <w:right w:val="single" w:sz="4" w:space="0" w:color="auto"/>
            </w:tcBorders>
            <w:shd w:val="clear" w:color="auto" w:fill="auto"/>
            <w:vAlign w:val="center"/>
            <w:hideMark/>
          </w:tcPr>
          <w:p w14:paraId="2C8630E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330E374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36C5FB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auto" w:fill="auto"/>
            <w:vAlign w:val="center"/>
            <w:hideMark/>
          </w:tcPr>
          <w:p w14:paraId="2FA0A1A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Benchmarks për Kapitullin 16                                                         Eliminimi i politikave të taksimit diskriminues</w:t>
            </w:r>
          </w:p>
        </w:tc>
        <w:tc>
          <w:tcPr>
            <w:tcW w:w="668" w:type="pct"/>
            <w:tcBorders>
              <w:top w:val="nil"/>
              <w:left w:val="nil"/>
              <w:bottom w:val="single" w:sz="4" w:space="0" w:color="auto"/>
              <w:right w:val="single" w:sz="4" w:space="0" w:color="auto"/>
            </w:tcBorders>
            <w:shd w:val="clear" w:color="auto" w:fill="auto"/>
            <w:vAlign w:val="center"/>
            <w:hideMark/>
          </w:tcPr>
          <w:p w14:paraId="406784E0" w14:textId="77777777" w:rsidR="00723C7D" w:rsidRPr="00B6793F" w:rsidRDefault="00723C7D" w:rsidP="00723C7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Unifiikim i taksës së plastikës, në kuadër të kapitullit 16 të BE-së.</w:t>
            </w:r>
          </w:p>
        </w:tc>
        <w:tc>
          <w:tcPr>
            <w:tcW w:w="404" w:type="pct"/>
            <w:tcBorders>
              <w:top w:val="nil"/>
              <w:left w:val="nil"/>
              <w:bottom w:val="single" w:sz="4" w:space="0" w:color="auto"/>
              <w:right w:val="single" w:sz="4" w:space="0" w:color="auto"/>
            </w:tcBorders>
            <w:shd w:val="clear" w:color="auto" w:fill="auto"/>
            <w:noWrap/>
            <w:vAlign w:val="center"/>
            <w:hideMark/>
          </w:tcPr>
          <w:p w14:paraId="5E61581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auto" w:fill="auto"/>
            <w:noWrap/>
            <w:vAlign w:val="center"/>
            <w:hideMark/>
          </w:tcPr>
          <w:p w14:paraId="577D7EF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auto" w:fill="auto"/>
            <w:vAlign w:val="center"/>
            <w:hideMark/>
          </w:tcPr>
          <w:p w14:paraId="047B9E7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auto" w:fill="auto"/>
            <w:vAlign w:val="center"/>
            <w:hideMark/>
          </w:tcPr>
          <w:p w14:paraId="157A4C6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0FD23F8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5FD4BF50"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F91B5F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460" w:type="pct"/>
            <w:tcBorders>
              <w:top w:val="nil"/>
              <w:left w:val="nil"/>
              <w:bottom w:val="single" w:sz="4" w:space="0" w:color="auto"/>
              <w:right w:val="single" w:sz="4" w:space="0" w:color="auto"/>
            </w:tcBorders>
            <w:shd w:val="clear" w:color="auto" w:fill="auto"/>
            <w:vAlign w:val="center"/>
            <w:hideMark/>
          </w:tcPr>
          <w:p w14:paraId="33FDCA3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ndihmën e ndërsjellë për rekuperimin e pretendimeve që lidhen me tatimet, detyrimet doganore dhe masa të tjera"</w:t>
            </w:r>
          </w:p>
        </w:tc>
        <w:tc>
          <w:tcPr>
            <w:tcW w:w="279" w:type="pct"/>
            <w:tcBorders>
              <w:top w:val="nil"/>
              <w:left w:val="nil"/>
              <w:bottom w:val="single" w:sz="4" w:space="0" w:color="auto"/>
              <w:right w:val="single" w:sz="4" w:space="0" w:color="auto"/>
            </w:tcBorders>
            <w:shd w:val="clear" w:color="auto" w:fill="auto"/>
            <w:vAlign w:val="center"/>
            <w:hideMark/>
          </w:tcPr>
          <w:p w14:paraId="2A43C73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053E995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4D8E85D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auto" w:fill="auto"/>
            <w:vAlign w:val="center"/>
            <w:hideMark/>
          </w:tcPr>
          <w:p w14:paraId="6FB04E2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Benchmarks për Kapitullin 16                                                        Përafrim me "Council Directive 2010/24/EU (16 March 2010)"</w:t>
            </w:r>
          </w:p>
        </w:tc>
        <w:tc>
          <w:tcPr>
            <w:tcW w:w="668" w:type="pct"/>
            <w:tcBorders>
              <w:top w:val="nil"/>
              <w:left w:val="nil"/>
              <w:bottom w:val="single" w:sz="4" w:space="0" w:color="auto"/>
              <w:right w:val="single" w:sz="4" w:space="0" w:color="auto"/>
            </w:tcBorders>
            <w:shd w:val="clear" w:color="auto" w:fill="auto"/>
            <w:vAlign w:val="center"/>
            <w:hideMark/>
          </w:tcPr>
          <w:p w14:paraId="59B34D5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ndihmës së ndërsjellë për rekuperimin e pretendimeve tatimore dhe doganore.</w:t>
            </w:r>
            <w:r w:rsidRPr="00B6793F">
              <w:rPr>
                <w:rFonts w:ascii="Arial" w:eastAsia="Times New Roman" w:hAnsi="Arial" w:cs="Arial"/>
                <w:color w:val="000000"/>
                <w:sz w:val="8"/>
                <w:szCs w:val="8"/>
                <w:lang w:eastAsia="sq-AL"/>
              </w:rPr>
              <w:br/>
              <w:t>*Procedurat për shkëmbimin e informacionit ndërmjet autoriteteve kompetente.</w:t>
            </w:r>
            <w:r w:rsidRPr="00B6793F">
              <w:rPr>
                <w:rFonts w:ascii="Arial" w:eastAsia="Times New Roman" w:hAnsi="Arial" w:cs="Arial"/>
                <w:color w:val="000000"/>
                <w:sz w:val="8"/>
                <w:szCs w:val="8"/>
                <w:lang w:eastAsia="sq-AL"/>
              </w:rPr>
              <w:br/>
              <w:t>*Rregullat për njoftimin e dokumenteve tatimore në juridiksione të tjera.</w:t>
            </w:r>
            <w:r w:rsidRPr="00B6793F">
              <w:rPr>
                <w:rFonts w:ascii="Arial" w:eastAsia="Times New Roman" w:hAnsi="Arial" w:cs="Arial"/>
                <w:color w:val="000000"/>
                <w:sz w:val="8"/>
                <w:szCs w:val="8"/>
                <w:lang w:eastAsia="sq-AL"/>
              </w:rPr>
              <w:br/>
              <w:t>*Mekanizmat për zbatimin e masave të rekuperimit dhe të masave paraprake.</w:t>
            </w:r>
            <w:r w:rsidRPr="00B6793F">
              <w:rPr>
                <w:rFonts w:ascii="Arial" w:eastAsia="Times New Roman" w:hAnsi="Arial" w:cs="Arial"/>
                <w:color w:val="000000"/>
                <w:sz w:val="8"/>
                <w:szCs w:val="8"/>
                <w:lang w:eastAsia="sq-AL"/>
              </w:rPr>
              <w:br/>
              <w:t>*Përdorimi i një instrumenti të unifikuar përpretendimet në shtetet e tjera.</w:t>
            </w:r>
          </w:p>
        </w:tc>
        <w:tc>
          <w:tcPr>
            <w:tcW w:w="404" w:type="pct"/>
            <w:tcBorders>
              <w:top w:val="nil"/>
              <w:left w:val="nil"/>
              <w:bottom w:val="single" w:sz="4" w:space="0" w:color="auto"/>
              <w:right w:val="single" w:sz="4" w:space="0" w:color="auto"/>
            </w:tcBorders>
            <w:shd w:val="clear" w:color="auto" w:fill="auto"/>
            <w:noWrap/>
            <w:vAlign w:val="center"/>
            <w:hideMark/>
          </w:tcPr>
          <w:p w14:paraId="4EA9EEC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auto" w:fill="auto"/>
            <w:noWrap/>
            <w:vAlign w:val="center"/>
            <w:hideMark/>
          </w:tcPr>
          <w:p w14:paraId="6839ED4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auto" w:fill="auto"/>
            <w:vAlign w:val="center"/>
            <w:hideMark/>
          </w:tcPr>
          <w:p w14:paraId="1151BF3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auto" w:fill="auto"/>
            <w:vAlign w:val="center"/>
            <w:hideMark/>
          </w:tcPr>
          <w:p w14:paraId="0820D6A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6ED7975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4697E786"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FBC459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460" w:type="pct"/>
            <w:tcBorders>
              <w:top w:val="nil"/>
              <w:left w:val="nil"/>
              <w:bottom w:val="single" w:sz="4" w:space="0" w:color="auto"/>
              <w:right w:val="single" w:sz="4" w:space="0" w:color="auto"/>
            </w:tcBorders>
            <w:shd w:val="clear" w:color="auto" w:fill="auto"/>
            <w:vAlign w:val="center"/>
            <w:hideMark/>
          </w:tcPr>
          <w:p w14:paraId="74C6906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mekanizmat për zgjidhjen e mosmarrëveshjeve në fushën e tatimeve"</w:t>
            </w:r>
          </w:p>
        </w:tc>
        <w:tc>
          <w:tcPr>
            <w:tcW w:w="279" w:type="pct"/>
            <w:tcBorders>
              <w:top w:val="nil"/>
              <w:left w:val="nil"/>
              <w:bottom w:val="single" w:sz="4" w:space="0" w:color="auto"/>
              <w:right w:val="single" w:sz="4" w:space="0" w:color="auto"/>
            </w:tcBorders>
            <w:shd w:val="clear" w:color="auto" w:fill="auto"/>
            <w:vAlign w:val="center"/>
            <w:hideMark/>
          </w:tcPr>
          <w:p w14:paraId="009F155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7202748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633E768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auto" w:fill="auto"/>
            <w:vAlign w:val="center"/>
            <w:hideMark/>
          </w:tcPr>
          <w:p w14:paraId="6E550F1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 i Planit të Punës për Closing Benchmarks për Kapitullin 16                                                                Përafrim me "Council Directive (EU) 2017/1852 (10 October 2017)"</w:t>
            </w:r>
          </w:p>
        </w:tc>
        <w:tc>
          <w:tcPr>
            <w:tcW w:w="668" w:type="pct"/>
            <w:tcBorders>
              <w:top w:val="nil"/>
              <w:left w:val="nil"/>
              <w:bottom w:val="single" w:sz="4" w:space="0" w:color="auto"/>
              <w:right w:val="single" w:sz="4" w:space="0" w:color="auto"/>
            </w:tcBorders>
            <w:shd w:val="clear" w:color="auto" w:fill="auto"/>
            <w:vAlign w:val="center"/>
            <w:hideMark/>
          </w:tcPr>
          <w:p w14:paraId="503122E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*E drejta për të paraqitur ankesë nga tatimpaguesit.</w:t>
            </w:r>
            <w:r w:rsidRPr="00B6793F">
              <w:rPr>
                <w:rFonts w:ascii="Arial" w:eastAsia="Times New Roman" w:hAnsi="Arial" w:cs="Arial"/>
                <w:color w:val="000000"/>
                <w:sz w:val="8"/>
                <w:szCs w:val="8"/>
                <w:lang w:eastAsia="sq-AL"/>
              </w:rPr>
              <w:br/>
              <w:t>*Procedura e marrëveshjes së ndërsjellë (MAP).</w:t>
            </w:r>
            <w:r w:rsidRPr="00B6793F">
              <w:rPr>
                <w:rFonts w:ascii="Arial" w:eastAsia="Times New Roman" w:hAnsi="Arial" w:cs="Arial"/>
                <w:color w:val="000000"/>
                <w:sz w:val="8"/>
                <w:szCs w:val="8"/>
                <w:lang w:eastAsia="sq-AL"/>
              </w:rPr>
              <w:br/>
              <w:t>*Krijimi i Komisionit Këshillimor.</w:t>
            </w:r>
            <w:r w:rsidRPr="00B6793F">
              <w:rPr>
                <w:rFonts w:ascii="Arial" w:eastAsia="Times New Roman" w:hAnsi="Arial" w:cs="Arial"/>
                <w:color w:val="000000"/>
                <w:sz w:val="8"/>
                <w:szCs w:val="8"/>
                <w:lang w:eastAsia="sq-AL"/>
              </w:rPr>
              <w:br/>
              <w:t>*Transparenca dhe publikimi i vendimeve.</w:t>
            </w:r>
            <w:r w:rsidRPr="00B6793F">
              <w:rPr>
                <w:rFonts w:ascii="Arial" w:eastAsia="Times New Roman" w:hAnsi="Arial" w:cs="Arial"/>
                <w:color w:val="000000"/>
                <w:sz w:val="8"/>
                <w:szCs w:val="8"/>
                <w:lang w:eastAsia="sq-AL"/>
              </w:rPr>
              <w:br/>
              <w:t>*Zgjerimi i fushës së zbatimit përtej çështjeve të transferimit të çmimit.</w:t>
            </w:r>
          </w:p>
        </w:tc>
        <w:tc>
          <w:tcPr>
            <w:tcW w:w="404" w:type="pct"/>
            <w:tcBorders>
              <w:top w:val="nil"/>
              <w:left w:val="nil"/>
              <w:bottom w:val="single" w:sz="4" w:space="0" w:color="auto"/>
              <w:right w:val="single" w:sz="4" w:space="0" w:color="auto"/>
            </w:tcBorders>
            <w:shd w:val="clear" w:color="auto" w:fill="auto"/>
            <w:noWrap/>
            <w:vAlign w:val="center"/>
            <w:hideMark/>
          </w:tcPr>
          <w:p w14:paraId="0815A6D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16</w:t>
            </w:r>
          </w:p>
        </w:tc>
        <w:tc>
          <w:tcPr>
            <w:tcW w:w="685" w:type="pct"/>
            <w:tcBorders>
              <w:top w:val="nil"/>
              <w:left w:val="nil"/>
              <w:bottom w:val="single" w:sz="4" w:space="0" w:color="auto"/>
              <w:right w:val="single" w:sz="4" w:space="0" w:color="auto"/>
            </w:tcBorders>
            <w:shd w:val="clear" w:color="auto" w:fill="auto"/>
            <w:noWrap/>
            <w:vAlign w:val="center"/>
            <w:hideMark/>
          </w:tcPr>
          <w:p w14:paraId="41AEE15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auto" w:fill="auto"/>
            <w:vAlign w:val="center"/>
            <w:hideMark/>
          </w:tcPr>
          <w:p w14:paraId="6D07D93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auto" w:fill="auto"/>
            <w:vAlign w:val="center"/>
            <w:hideMark/>
          </w:tcPr>
          <w:p w14:paraId="6125E50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Strategjia Afatmemse e te Ardhurave Tatimore dhe Plani i Veprimit 2024-2027</w:t>
            </w:r>
          </w:p>
        </w:tc>
        <w:tc>
          <w:tcPr>
            <w:tcW w:w="440" w:type="pct"/>
            <w:tcBorders>
              <w:top w:val="nil"/>
              <w:left w:val="nil"/>
              <w:bottom w:val="single" w:sz="4" w:space="0" w:color="auto"/>
              <w:right w:val="single" w:sz="4" w:space="0" w:color="auto"/>
            </w:tcBorders>
            <w:shd w:val="clear" w:color="000000" w:fill="FFFFFF"/>
            <w:vAlign w:val="center"/>
            <w:hideMark/>
          </w:tcPr>
          <w:p w14:paraId="05D1398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1DE029C3"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C99DB7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23</w:t>
            </w:r>
          </w:p>
        </w:tc>
        <w:tc>
          <w:tcPr>
            <w:tcW w:w="460" w:type="pct"/>
            <w:tcBorders>
              <w:top w:val="nil"/>
              <w:left w:val="nil"/>
              <w:bottom w:val="single" w:sz="4" w:space="0" w:color="auto"/>
              <w:right w:val="single" w:sz="4" w:space="0" w:color="auto"/>
            </w:tcBorders>
            <w:shd w:val="clear" w:color="000000" w:fill="FFFFFF"/>
            <w:vAlign w:val="center"/>
            <w:hideMark/>
          </w:tcPr>
          <w:p w14:paraId="458551A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ndryshime në ligjin nr. 9665/2006 “Për Huamarrjen Shtetërore, Borxhin Shtetëror dhe Garancitë Shtetërore të Huasë në Republikën e Shqipërisë”, i ndryshuar"</w:t>
            </w:r>
          </w:p>
        </w:tc>
        <w:tc>
          <w:tcPr>
            <w:tcW w:w="279" w:type="pct"/>
            <w:tcBorders>
              <w:top w:val="nil"/>
              <w:left w:val="nil"/>
              <w:bottom w:val="single" w:sz="4" w:space="0" w:color="auto"/>
              <w:right w:val="single" w:sz="4" w:space="0" w:color="auto"/>
            </w:tcBorders>
            <w:shd w:val="clear" w:color="000000" w:fill="FFFFFF"/>
            <w:vAlign w:val="center"/>
            <w:hideMark/>
          </w:tcPr>
          <w:p w14:paraId="2699487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617D887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27E946E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3B50CCB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Lehtësimi dhe harmonizimin e procedurave ekzistuese të miratimit të marrëveshjeve të huasë dhe të granteve sipas ligjit nr. 43/2016, i ndryshuar.</w:t>
            </w:r>
          </w:p>
        </w:tc>
        <w:tc>
          <w:tcPr>
            <w:tcW w:w="668" w:type="pct"/>
            <w:tcBorders>
              <w:top w:val="nil"/>
              <w:left w:val="nil"/>
              <w:bottom w:val="single" w:sz="4" w:space="0" w:color="auto"/>
              <w:right w:val="single" w:sz="4" w:space="0" w:color="auto"/>
            </w:tcBorders>
            <w:shd w:val="clear" w:color="000000" w:fill="FFFFFF"/>
            <w:vAlign w:val="center"/>
            <w:hideMark/>
          </w:tcPr>
          <w:p w14:paraId="25C9DA4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Lehtesimin dhe harmonizimin e procedurave ekzituese.</w:t>
            </w:r>
          </w:p>
        </w:tc>
        <w:tc>
          <w:tcPr>
            <w:tcW w:w="404" w:type="pct"/>
            <w:tcBorders>
              <w:top w:val="nil"/>
              <w:left w:val="nil"/>
              <w:bottom w:val="single" w:sz="4" w:space="0" w:color="auto"/>
              <w:right w:val="single" w:sz="4" w:space="0" w:color="auto"/>
            </w:tcBorders>
            <w:shd w:val="clear" w:color="000000" w:fill="FFFFFF"/>
            <w:noWrap/>
            <w:vAlign w:val="center"/>
            <w:hideMark/>
          </w:tcPr>
          <w:p w14:paraId="4BC6A05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noWrap/>
            <w:vAlign w:val="center"/>
            <w:hideMark/>
          </w:tcPr>
          <w:p w14:paraId="1E011FD1"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2C2E46F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665CB8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0A3E94D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532BA5B2"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BAEDFC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w:t>
            </w:r>
          </w:p>
        </w:tc>
        <w:tc>
          <w:tcPr>
            <w:tcW w:w="460" w:type="pct"/>
            <w:tcBorders>
              <w:top w:val="nil"/>
              <w:left w:val="nil"/>
              <w:bottom w:val="single" w:sz="4" w:space="0" w:color="auto"/>
              <w:right w:val="single" w:sz="4" w:space="0" w:color="auto"/>
            </w:tcBorders>
            <w:shd w:val="clear" w:color="000000" w:fill="FFFFFF"/>
            <w:vAlign w:val="center"/>
            <w:hideMark/>
          </w:tcPr>
          <w:p w14:paraId="3ECBA923"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 9831, datë 12.11.2007, “Për dëmshpërblimin e ish-të dënuarve politikë të regjimit komunist”, të ndryshuar</w:t>
            </w:r>
          </w:p>
        </w:tc>
        <w:tc>
          <w:tcPr>
            <w:tcW w:w="279" w:type="pct"/>
            <w:tcBorders>
              <w:top w:val="nil"/>
              <w:left w:val="nil"/>
              <w:bottom w:val="single" w:sz="4" w:space="0" w:color="auto"/>
              <w:right w:val="single" w:sz="4" w:space="0" w:color="auto"/>
            </w:tcBorders>
            <w:shd w:val="clear" w:color="000000" w:fill="FFFFFF"/>
            <w:vAlign w:val="center"/>
            <w:hideMark/>
          </w:tcPr>
          <w:p w14:paraId="2624875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1" w:type="pct"/>
            <w:tcBorders>
              <w:top w:val="nil"/>
              <w:left w:val="nil"/>
              <w:bottom w:val="single" w:sz="4" w:space="0" w:color="auto"/>
              <w:right w:val="single" w:sz="4" w:space="0" w:color="auto"/>
            </w:tcBorders>
            <w:shd w:val="clear" w:color="000000" w:fill="FFFFFF"/>
            <w:vAlign w:val="center"/>
            <w:hideMark/>
          </w:tcPr>
          <w:p w14:paraId="626A115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Financave / Ministri i Drejtësisë</w:t>
            </w:r>
          </w:p>
        </w:tc>
        <w:tc>
          <w:tcPr>
            <w:tcW w:w="314" w:type="pct"/>
            <w:tcBorders>
              <w:top w:val="nil"/>
              <w:left w:val="nil"/>
              <w:bottom w:val="single" w:sz="4" w:space="0" w:color="auto"/>
              <w:right w:val="single" w:sz="4" w:space="0" w:color="auto"/>
            </w:tcBorders>
            <w:shd w:val="clear" w:color="000000" w:fill="FFFFFF"/>
            <w:vAlign w:val="center"/>
            <w:hideMark/>
          </w:tcPr>
          <w:p w14:paraId="1A27270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6B11A9E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kryesore për propozimin e ndryshimit të këtij ligji është përmirësimi dhe përshpejtimi i procesit të shpërndarjes së dëmshpërblimit financiar në favor të ish të dënuarve politik të regjimit komunist. Duke qënë se shume ish të dënuar politike kanë ndërruar jetë dhe përfitues janë trashëgimtaret e tyre, kufizimet e vlerave për pagese në ligjin aktual bejne që të ngadalesohet ecuria e procesit të shlyerjes së detyrimit të qeverise për pagesat e dëmshpërblimit financiar të kësaj kategorie të shoqërise, si një nga angazhimet prioritare të shtetit shqiptar. </w:t>
            </w:r>
          </w:p>
        </w:tc>
        <w:tc>
          <w:tcPr>
            <w:tcW w:w="668" w:type="pct"/>
            <w:tcBorders>
              <w:top w:val="nil"/>
              <w:left w:val="nil"/>
              <w:bottom w:val="single" w:sz="4" w:space="0" w:color="auto"/>
              <w:right w:val="single" w:sz="4" w:space="0" w:color="auto"/>
            </w:tcBorders>
            <w:shd w:val="clear" w:color="000000" w:fill="FFFFFF"/>
            <w:vAlign w:val="center"/>
            <w:hideMark/>
          </w:tcPr>
          <w:p w14:paraId="1FB126F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Realizimin e inciativës së Qeverisë, për përfundimin sa më parë të shpërndarjes së dëmshpërblimit e plotë financiare, në favor të  ish-të dënuarve politik dhe familjarëve të tyre, nëpërmjetë rritjes së pragut limit të pagesës financiare duke e çuar nga 1,000,000 (një milion) lekë që është aktualisht, në 3,000,000 (tre milion) lekë, për çdo këst pagese.</w:t>
            </w:r>
          </w:p>
        </w:tc>
        <w:tc>
          <w:tcPr>
            <w:tcW w:w="404" w:type="pct"/>
            <w:tcBorders>
              <w:top w:val="nil"/>
              <w:left w:val="nil"/>
              <w:bottom w:val="single" w:sz="4" w:space="0" w:color="auto"/>
              <w:right w:val="single" w:sz="4" w:space="0" w:color="auto"/>
            </w:tcBorders>
            <w:shd w:val="clear" w:color="000000" w:fill="FFFFFF"/>
            <w:vAlign w:val="center"/>
            <w:hideMark/>
          </w:tcPr>
          <w:p w14:paraId="6A30B65B"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69D0BF1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083F9CC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B6DC2A7"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0CD1440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 financiar, ekonomik  dhe social.                                   Është parashikuar në PBA 2026-2028.</w:t>
            </w:r>
          </w:p>
        </w:tc>
      </w:tr>
      <w:tr w:rsidR="00723C7D" w:rsidRPr="00B6793F" w14:paraId="41C4F5EF"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C807FB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25</w:t>
            </w:r>
          </w:p>
        </w:tc>
        <w:tc>
          <w:tcPr>
            <w:tcW w:w="460" w:type="pct"/>
            <w:tcBorders>
              <w:top w:val="nil"/>
              <w:left w:val="nil"/>
              <w:bottom w:val="single" w:sz="4" w:space="0" w:color="auto"/>
              <w:right w:val="single" w:sz="4" w:space="0" w:color="auto"/>
            </w:tcBorders>
            <w:shd w:val="clear" w:color="FFFFFF" w:fill="FFFFFF"/>
            <w:vAlign w:val="center"/>
            <w:hideMark/>
          </w:tcPr>
          <w:p w14:paraId="78B1934E"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dokumentit të programit buxhetor afatmesëm 2027-2029, të rishikuar"</w:t>
            </w:r>
          </w:p>
        </w:tc>
        <w:tc>
          <w:tcPr>
            <w:tcW w:w="279" w:type="pct"/>
            <w:tcBorders>
              <w:top w:val="nil"/>
              <w:left w:val="nil"/>
              <w:bottom w:val="single" w:sz="4" w:space="0" w:color="auto"/>
              <w:right w:val="single" w:sz="4" w:space="0" w:color="auto"/>
            </w:tcBorders>
            <w:shd w:val="clear" w:color="000000" w:fill="FFFFFF"/>
            <w:vAlign w:val="center"/>
            <w:hideMark/>
          </w:tcPr>
          <w:p w14:paraId="4F6D1E2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2829CF8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670A307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0CF27D0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përvitshëm sipas përcaktimeve të Ligjit nr.9936 datë 26.06.2008 “Për menaxhimin e sistemit buxhetor në Republikën e Shqipërisë”i ndryshuar</w:t>
            </w:r>
          </w:p>
        </w:tc>
        <w:tc>
          <w:tcPr>
            <w:tcW w:w="668" w:type="pct"/>
            <w:tcBorders>
              <w:top w:val="nil"/>
              <w:left w:val="nil"/>
              <w:bottom w:val="single" w:sz="4" w:space="0" w:color="auto"/>
              <w:right w:val="single" w:sz="4" w:space="0" w:color="auto"/>
            </w:tcBorders>
            <w:shd w:val="clear" w:color="000000" w:fill="FFFFFF"/>
            <w:vAlign w:val="center"/>
            <w:hideMark/>
          </w:tcPr>
          <w:p w14:paraId="4DB3650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Dokument informues, i cili paraqet në mënyre të detajuar kotimin e politikave publike dhe refomave strukturore deri në nivel produkti, të shoqëruar në cdo rast me KPI në nivel qellimi dhe objektivi, për të gjitha Ministritë e Linjës dhe Institucionet e tjera buxhetore, në zbatim dhe përputhje të plotë me tavanet buxhetore përfundimtare të miratuara.  </w:t>
            </w:r>
          </w:p>
        </w:tc>
        <w:tc>
          <w:tcPr>
            <w:tcW w:w="404" w:type="pct"/>
            <w:tcBorders>
              <w:top w:val="nil"/>
              <w:left w:val="nil"/>
              <w:bottom w:val="single" w:sz="4" w:space="0" w:color="auto"/>
              <w:right w:val="single" w:sz="4" w:space="0" w:color="auto"/>
            </w:tcBorders>
            <w:shd w:val="clear" w:color="000000" w:fill="FFFFFF"/>
            <w:vAlign w:val="center"/>
            <w:hideMark/>
          </w:tcPr>
          <w:p w14:paraId="7637EEE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5AD4C53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2F9EE344"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7D816D1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6942C679"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723C7D" w:rsidRPr="00B6793F" w14:paraId="2A030D3E" w14:textId="77777777" w:rsidTr="00723C7D">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C1BB3D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26</w:t>
            </w:r>
          </w:p>
        </w:tc>
        <w:tc>
          <w:tcPr>
            <w:tcW w:w="460" w:type="pct"/>
            <w:tcBorders>
              <w:top w:val="nil"/>
              <w:left w:val="nil"/>
              <w:bottom w:val="single" w:sz="4" w:space="0" w:color="auto"/>
              <w:right w:val="single" w:sz="4" w:space="0" w:color="auto"/>
            </w:tcBorders>
            <w:shd w:val="clear" w:color="FFFFFF" w:fill="FFFFFF"/>
            <w:vAlign w:val="center"/>
            <w:hideMark/>
          </w:tcPr>
          <w:p w14:paraId="0DCEBC56"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buxhetin e vitit 2027"</w:t>
            </w:r>
          </w:p>
        </w:tc>
        <w:tc>
          <w:tcPr>
            <w:tcW w:w="279" w:type="pct"/>
            <w:tcBorders>
              <w:top w:val="nil"/>
              <w:left w:val="nil"/>
              <w:bottom w:val="single" w:sz="4" w:space="0" w:color="auto"/>
              <w:right w:val="single" w:sz="4" w:space="0" w:color="auto"/>
            </w:tcBorders>
            <w:shd w:val="clear" w:color="000000" w:fill="FFFFFF"/>
            <w:vAlign w:val="center"/>
            <w:hideMark/>
          </w:tcPr>
          <w:p w14:paraId="4F1BED6F"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1" w:type="pct"/>
            <w:tcBorders>
              <w:top w:val="nil"/>
              <w:left w:val="nil"/>
              <w:bottom w:val="single" w:sz="4" w:space="0" w:color="auto"/>
              <w:right w:val="single" w:sz="4" w:space="0" w:color="auto"/>
            </w:tcBorders>
            <w:shd w:val="clear" w:color="000000" w:fill="FFFFFF"/>
            <w:vAlign w:val="center"/>
            <w:hideMark/>
          </w:tcPr>
          <w:p w14:paraId="7D708C0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Financave </w:t>
            </w:r>
          </w:p>
        </w:tc>
        <w:tc>
          <w:tcPr>
            <w:tcW w:w="314" w:type="pct"/>
            <w:tcBorders>
              <w:top w:val="nil"/>
              <w:left w:val="nil"/>
              <w:bottom w:val="single" w:sz="4" w:space="0" w:color="auto"/>
              <w:right w:val="single" w:sz="4" w:space="0" w:color="auto"/>
            </w:tcBorders>
            <w:shd w:val="clear" w:color="000000" w:fill="FFFFFF"/>
            <w:vAlign w:val="center"/>
            <w:hideMark/>
          </w:tcPr>
          <w:p w14:paraId="61B88DB5"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58" w:type="pct"/>
            <w:tcBorders>
              <w:top w:val="nil"/>
              <w:left w:val="nil"/>
              <w:bottom w:val="single" w:sz="4" w:space="0" w:color="auto"/>
              <w:right w:val="single" w:sz="4" w:space="0" w:color="auto"/>
            </w:tcBorders>
            <w:shd w:val="clear" w:color="000000" w:fill="FFFFFF"/>
            <w:vAlign w:val="center"/>
            <w:hideMark/>
          </w:tcPr>
          <w:p w14:paraId="00213632"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 i përvitshem sipas përcaktimeve të Ligjit nr.9936 datë 26.06.2008 “Për menaxhimin e sistemit buxhetor në Republikën e Shqipërisë”, i ndryshuar</w:t>
            </w:r>
          </w:p>
        </w:tc>
        <w:tc>
          <w:tcPr>
            <w:tcW w:w="668" w:type="pct"/>
            <w:tcBorders>
              <w:top w:val="nil"/>
              <w:left w:val="nil"/>
              <w:bottom w:val="single" w:sz="4" w:space="0" w:color="auto"/>
              <w:right w:val="single" w:sz="4" w:space="0" w:color="auto"/>
            </w:tcBorders>
            <w:shd w:val="clear" w:color="000000" w:fill="FFFFFF"/>
            <w:vAlign w:val="center"/>
            <w:hideMark/>
          </w:tcPr>
          <w:p w14:paraId="1528BCB0"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të ardhurave  dhe Shpenzimeve të Buxhetit të shtetit, duke synuar në rritjen progresive të të ardhurave, dhe eficencë në mënyret e përdorimit të fondeve publike në sektorët prioritar dhe jo vetëm, duke mbajtur në konsideratë nga ana tjetër uljen e Deficitit Buxhetor dhe të Borxhit Publik.</w:t>
            </w:r>
          </w:p>
        </w:tc>
        <w:tc>
          <w:tcPr>
            <w:tcW w:w="404" w:type="pct"/>
            <w:tcBorders>
              <w:top w:val="nil"/>
              <w:left w:val="nil"/>
              <w:bottom w:val="single" w:sz="4" w:space="0" w:color="auto"/>
              <w:right w:val="single" w:sz="4" w:space="0" w:color="auto"/>
            </w:tcBorders>
            <w:shd w:val="clear" w:color="000000" w:fill="FFFFFF"/>
            <w:vAlign w:val="center"/>
            <w:hideMark/>
          </w:tcPr>
          <w:p w14:paraId="56DB58F8"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685" w:type="pct"/>
            <w:tcBorders>
              <w:top w:val="nil"/>
              <w:left w:val="nil"/>
              <w:bottom w:val="single" w:sz="4" w:space="0" w:color="auto"/>
              <w:right w:val="single" w:sz="4" w:space="0" w:color="auto"/>
            </w:tcBorders>
            <w:shd w:val="clear" w:color="000000" w:fill="FFFFFF"/>
            <w:vAlign w:val="center"/>
            <w:hideMark/>
          </w:tcPr>
          <w:p w14:paraId="37F110A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8" w:type="pct"/>
            <w:tcBorders>
              <w:top w:val="nil"/>
              <w:left w:val="nil"/>
              <w:bottom w:val="single" w:sz="4" w:space="0" w:color="auto"/>
              <w:right w:val="single" w:sz="4" w:space="0" w:color="auto"/>
            </w:tcBorders>
            <w:shd w:val="clear" w:color="000000" w:fill="FFFFFF"/>
            <w:vAlign w:val="center"/>
            <w:hideMark/>
          </w:tcPr>
          <w:p w14:paraId="361955BA"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8" w:type="pct"/>
            <w:tcBorders>
              <w:top w:val="nil"/>
              <w:left w:val="nil"/>
              <w:bottom w:val="single" w:sz="4" w:space="0" w:color="auto"/>
              <w:right w:val="single" w:sz="4" w:space="0" w:color="auto"/>
            </w:tcBorders>
            <w:shd w:val="clear" w:color="000000" w:fill="FFFFFF"/>
            <w:vAlign w:val="center"/>
            <w:hideMark/>
          </w:tcPr>
          <w:p w14:paraId="04FA7FBD"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0" w:type="pct"/>
            <w:tcBorders>
              <w:top w:val="nil"/>
              <w:left w:val="nil"/>
              <w:bottom w:val="single" w:sz="4" w:space="0" w:color="auto"/>
              <w:right w:val="single" w:sz="4" w:space="0" w:color="auto"/>
            </w:tcBorders>
            <w:shd w:val="clear" w:color="000000" w:fill="FFFFFF"/>
            <w:vAlign w:val="center"/>
            <w:hideMark/>
          </w:tcPr>
          <w:p w14:paraId="19032DDC" w14:textId="77777777" w:rsidR="00723C7D" w:rsidRPr="00B6793F" w:rsidRDefault="00723C7D" w:rsidP="00723C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bl>
    <w:p w14:paraId="2A36E7DC" w14:textId="3BD8C678" w:rsidR="00A53D1E" w:rsidRPr="00B6793F" w:rsidRDefault="00A53D1E" w:rsidP="00AC5BDD">
      <w:pPr>
        <w:spacing w:after="0" w:line="240" w:lineRule="auto"/>
        <w:ind w:firstLine="284"/>
        <w:jc w:val="center"/>
        <w:rPr>
          <w:rFonts w:ascii="Garamond" w:hAnsi="Garamond"/>
          <w:b/>
          <w:sz w:val="24"/>
        </w:rPr>
      </w:pPr>
    </w:p>
    <w:p w14:paraId="0642C84F" w14:textId="4B0B2E0E" w:rsidR="00EA0173" w:rsidRPr="00B6793F" w:rsidRDefault="00EA0173" w:rsidP="00AC5BDD">
      <w:pPr>
        <w:spacing w:after="0" w:line="240" w:lineRule="auto"/>
        <w:ind w:firstLine="284"/>
        <w:jc w:val="center"/>
        <w:rPr>
          <w:rFonts w:ascii="Garamond" w:hAnsi="Garamond"/>
          <w:b/>
          <w:sz w:val="24"/>
        </w:rPr>
      </w:pPr>
    </w:p>
    <w:p w14:paraId="06F2A123" w14:textId="251C6B39" w:rsidR="00EA0173" w:rsidRPr="00B6793F" w:rsidRDefault="00EA0173" w:rsidP="00AC5BDD">
      <w:pPr>
        <w:spacing w:after="0" w:line="240" w:lineRule="auto"/>
        <w:ind w:firstLine="284"/>
        <w:jc w:val="center"/>
        <w:rPr>
          <w:rFonts w:ascii="Garamond" w:hAnsi="Garamond"/>
          <w:b/>
          <w:sz w:val="24"/>
        </w:rPr>
      </w:pPr>
    </w:p>
    <w:p w14:paraId="4E4A2354" w14:textId="0D3A1B25" w:rsidR="00EA0173" w:rsidRPr="00B6793F" w:rsidRDefault="00EA0173" w:rsidP="00AC5BDD">
      <w:pPr>
        <w:spacing w:after="0" w:line="240" w:lineRule="auto"/>
        <w:ind w:firstLine="284"/>
        <w:jc w:val="center"/>
        <w:rPr>
          <w:rFonts w:ascii="Garamond" w:hAnsi="Garamond"/>
          <w:b/>
          <w:sz w:val="24"/>
        </w:rPr>
      </w:pPr>
    </w:p>
    <w:p w14:paraId="093014D0" w14:textId="149B3626" w:rsidR="00EA0173" w:rsidRPr="00B6793F" w:rsidRDefault="00EA0173" w:rsidP="00AC5BDD">
      <w:pPr>
        <w:spacing w:after="0" w:line="240" w:lineRule="auto"/>
        <w:ind w:firstLine="284"/>
        <w:jc w:val="center"/>
        <w:rPr>
          <w:rFonts w:ascii="Garamond" w:hAnsi="Garamond"/>
          <w:b/>
          <w:sz w:val="24"/>
        </w:rPr>
      </w:pPr>
    </w:p>
    <w:p w14:paraId="21790754" w14:textId="014EFB9D" w:rsidR="00EA0173" w:rsidRPr="00B6793F" w:rsidRDefault="00EA0173" w:rsidP="00AC5BDD">
      <w:pPr>
        <w:spacing w:after="0" w:line="240" w:lineRule="auto"/>
        <w:ind w:firstLine="284"/>
        <w:jc w:val="center"/>
        <w:rPr>
          <w:rFonts w:ascii="Garamond" w:hAnsi="Garamond"/>
          <w:b/>
          <w:sz w:val="24"/>
        </w:rPr>
      </w:pPr>
    </w:p>
    <w:p w14:paraId="4E17629E" w14:textId="722F2428" w:rsidR="008A575E" w:rsidRPr="00B6793F" w:rsidRDefault="008A575E" w:rsidP="00AC5BDD">
      <w:pPr>
        <w:spacing w:after="0" w:line="240" w:lineRule="auto"/>
        <w:ind w:firstLine="284"/>
        <w:jc w:val="center"/>
        <w:rPr>
          <w:rFonts w:ascii="Garamond" w:hAnsi="Garamond"/>
          <w:b/>
          <w:sz w:val="24"/>
        </w:rPr>
      </w:pPr>
    </w:p>
    <w:p w14:paraId="158B1941" w14:textId="14549CDF" w:rsidR="008A575E" w:rsidRPr="00B6793F" w:rsidRDefault="008A575E" w:rsidP="00AC5BDD">
      <w:pPr>
        <w:spacing w:after="0" w:line="240" w:lineRule="auto"/>
        <w:ind w:firstLine="284"/>
        <w:jc w:val="center"/>
        <w:rPr>
          <w:rFonts w:ascii="Garamond" w:hAnsi="Garamond"/>
          <w:b/>
          <w:sz w:val="24"/>
        </w:rPr>
      </w:pPr>
    </w:p>
    <w:p w14:paraId="0D12CAB7" w14:textId="24F78EB2" w:rsidR="008A575E" w:rsidRPr="00B6793F" w:rsidRDefault="008A575E" w:rsidP="00AC5BDD">
      <w:pPr>
        <w:spacing w:after="0" w:line="240" w:lineRule="auto"/>
        <w:ind w:firstLine="284"/>
        <w:jc w:val="center"/>
        <w:rPr>
          <w:rFonts w:ascii="Garamond" w:hAnsi="Garamond"/>
          <w:b/>
          <w:sz w:val="24"/>
        </w:rPr>
      </w:pPr>
    </w:p>
    <w:p w14:paraId="482A0FB1" w14:textId="10A8C8A7" w:rsidR="008A575E" w:rsidRPr="00B6793F" w:rsidRDefault="008A575E" w:rsidP="00AC5BDD">
      <w:pPr>
        <w:spacing w:after="0" w:line="240" w:lineRule="auto"/>
        <w:ind w:firstLine="284"/>
        <w:jc w:val="center"/>
        <w:rPr>
          <w:rFonts w:ascii="Garamond" w:hAnsi="Garamond"/>
          <w:b/>
          <w:sz w:val="24"/>
        </w:rPr>
      </w:pPr>
    </w:p>
    <w:p w14:paraId="36266FDB" w14:textId="7B9DFF71" w:rsidR="008A575E" w:rsidRPr="00B6793F" w:rsidRDefault="008A575E" w:rsidP="00AC5BDD">
      <w:pPr>
        <w:spacing w:after="0" w:line="240" w:lineRule="auto"/>
        <w:ind w:firstLine="284"/>
        <w:jc w:val="center"/>
        <w:rPr>
          <w:rFonts w:ascii="Garamond" w:hAnsi="Garamond"/>
          <w:b/>
          <w:sz w:val="24"/>
        </w:rPr>
      </w:pPr>
    </w:p>
    <w:p w14:paraId="775D9EEA" w14:textId="5DA6636D" w:rsidR="008A575E" w:rsidRPr="00B6793F" w:rsidRDefault="008A575E" w:rsidP="00AC5BDD">
      <w:pPr>
        <w:spacing w:after="0" w:line="240" w:lineRule="auto"/>
        <w:ind w:firstLine="284"/>
        <w:jc w:val="center"/>
        <w:rPr>
          <w:rFonts w:ascii="Garamond" w:hAnsi="Garamond"/>
          <w:b/>
          <w:sz w:val="24"/>
        </w:rPr>
      </w:pPr>
    </w:p>
    <w:p w14:paraId="53414681" w14:textId="0A3AB103" w:rsidR="008A575E" w:rsidRPr="00B6793F" w:rsidRDefault="008A575E" w:rsidP="00AC5BDD">
      <w:pPr>
        <w:spacing w:after="0" w:line="240" w:lineRule="auto"/>
        <w:ind w:firstLine="284"/>
        <w:jc w:val="center"/>
        <w:rPr>
          <w:rFonts w:ascii="Garamond" w:hAnsi="Garamond"/>
          <w:b/>
          <w:sz w:val="24"/>
        </w:rPr>
      </w:pPr>
    </w:p>
    <w:tbl>
      <w:tblPr>
        <w:tblW w:w="5000" w:type="pct"/>
        <w:jc w:val="center"/>
        <w:tblLook w:val="04A0" w:firstRow="1" w:lastRow="0" w:firstColumn="1" w:lastColumn="0" w:noHBand="0" w:noVBand="1"/>
      </w:tblPr>
      <w:tblGrid>
        <w:gridCol w:w="499"/>
        <w:gridCol w:w="1512"/>
        <w:gridCol w:w="1119"/>
        <w:gridCol w:w="1264"/>
        <w:gridCol w:w="968"/>
        <w:gridCol w:w="1526"/>
        <w:gridCol w:w="1721"/>
        <w:gridCol w:w="1001"/>
        <w:gridCol w:w="1208"/>
        <w:gridCol w:w="1024"/>
        <w:gridCol w:w="2106"/>
      </w:tblGrid>
      <w:tr w:rsidR="008A575E" w:rsidRPr="00B6793F" w14:paraId="0C0E29F2" w14:textId="77777777" w:rsidTr="008A575E">
        <w:trPr>
          <w:trHeight w:val="53"/>
          <w:jc w:val="center"/>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1E3FAE4B" w14:textId="77777777" w:rsidR="008A575E" w:rsidRPr="00B6793F" w:rsidRDefault="008A575E" w:rsidP="008A575E">
            <w:pPr>
              <w:spacing w:after="0" w:line="240" w:lineRule="auto"/>
              <w:jc w:val="center"/>
              <w:rPr>
                <w:rFonts w:ascii="Arial" w:eastAsia="Times New Roman" w:hAnsi="Arial" w:cs="Arial"/>
                <w:b/>
                <w:bCs/>
                <w:color w:val="000000"/>
                <w:sz w:val="12"/>
                <w:szCs w:val="8"/>
                <w:lang w:eastAsia="sq-AL"/>
              </w:rPr>
            </w:pPr>
            <w:bookmarkStart w:id="3" w:name="RANGE!A1:K22"/>
            <w:r w:rsidRPr="00B6793F">
              <w:rPr>
                <w:rFonts w:ascii="Arial" w:eastAsia="Times New Roman" w:hAnsi="Arial" w:cs="Arial"/>
                <w:b/>
                <w:bCs/>
                <w:color w:val="000000"/>
                <w:sz w:val="12"/>
                <w:szCs w:val="8"/>
                <w:lang w:eastAsia="sq-AL"/>
              </w:rPr>
              <w:t>Programi i Përgjithshëm Analitik i Projektakteve për vitin 2026</w:t>
            </w:r>
            <w:bookmarkEnd w:id="3"/>
          </w:p>
        </w:tc>
      </w:tr>
      <w:tr w:rsidR="008A575E" w:rsidRPr="00B6793F" w14:paraId="4662526D" w14:textId="77777777" w:rsidTr="008A575E">
        <w:trPr>
          <w:trHeight w:val="450"/>
          <w:jc w:val="center"/>
        </w:trPr>
        <w:tc>
          <w:tcPr>
            <w:tcW w:w="5000" w:type="pct"/>
            <w:gridSpan w:val="11"/>
            <w:vMerge w:val="restart"/>
            <w:tcBorders>
              <w:top w:val="single" w:sz="4" w:space="0" w:color="auto"/>
              <w:left w:val="single" w:sz="4" w:space="0" w:color="auto"/>
              <w:bottom w:val="single" w:sz="4" w:space="0" w:color="000000"/>
              <w:right w:val="single" w:sz="4" w:space="0" w:color="000000"/>
            </w:tcBorders>
            <w:shd w:val="clear" w:color="000000" w:fill="F2F2F2"/>
            <w:vAlign w:val="center"/>
            <w:hideMark/>
          </w:tcPr>
          <w:p w14:paraId="166BF352" w14:textId="77777777" w:rsidR="008A575E" w:rsidRPr="00B6793F" w:rsidRDefault="008A575E" w:rsidP="008A575E">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Turizmit, Kulturës dhe Sportit</w:t>
            </w:r>
          </w:p>
        </w:tc>
      </w:tr>
      <w:tr w:rsidR="008A575E" w:rsidRPr="00B6793F" w14:paraId="521A8799" w14:textId="77777777" w:rsidTr="008A575E">
        <w:trPr>
          <w:trHeight w:val="450"/>
          <w:jc w:val="center"/>
        </w:trPr>
        <w:tc>
          <w:tcPr>
            <w:tcW w:w="5000" w:type="pct"/>
            <w:gridSpan w:val="11"/>
            <w:vMerge/>
            <w:tcBorders>
              <w:top w:val="single" w:sz="4" w:space="0" w:color="auto"/>
              <w:left w:val="single" w:sz="4" w:space="0" w:color="auto"/>
              <w:bottom w:val="single" w:sz="4" w:space="0" w:color="000000"/>
              <w:right w:val="single" w:sz="4" w:space="0" w:color="000000"/>
            </w:tcBorders>
            <w:vAlign w:val="center"/>
            <w:hideMark/>
          </w:tcPr>
          <w:p w14:paraId="4500FDEF" w14:textId="77777777" w:rsidR="008A575E" w:rsidRPr="00B6793F" w:rsidRDefault="008A575E" w:rsidP="008A575E">
            <w:pPr>
              <w:spacing w:after="0" w:line="240" w:lineRule="auto"/>
              <w:rPr>
                <w:rFonts w:ascii="Arial" w:eastAsia="Times New Roman" w:hAnsi="Arial" w:cs="Arial"/>
                <w:b/>
                <w:bCs/>
                <w:color w:val="000000"/>
                <w:sz w:val="8"/>
                <w:szCs w:val="8"/>
                <w:lang w:eastAsia="sq-AL"/>
              </w:rPr>
            </w:pPr>
          </w:p>
        </w:tc>
      </w:tr>
      <w:tr w:rsidR="008A575E" w:rsidRPr="00B6793F" w14:paraId="55D44F29"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C00000"/>
            <w:vAlign w:val="center"/>
            <w:hideMark/>
          </w:tcPr>
          <w:p w14:paraId="5ED0E740"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Nr.</w:t>
            </w:r>
          </w:p>
        </w:tc>
        <w:tc>
          <w:tcPr>
            <w:tcW w:w="542" w:type="pct"/>
            <w:tcBorders>
              <w:top w:val="nil"/>
              <w:left w:val="nil"/>
              <w:bottom w:val="single" w:sz="4" w:space="0" w:color="auto"/>
              <w:right w:val="single" w:sz="4" w:space="0" w:color="auto"/>
            </w:tcBorders>
            <w:shd w:val="clear" w:color="000000" w:fill="C00000"/>
            <w:vAlign w:val="center"/>
            <w:hideMark/>
          </w:tcPr>
          <w:p w14:paraId="0F4466F5"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Titulli i projektaktit</w:t>
            </w:r>
          </w:p>
        </w:tc>
        <w:tc>
          <w:tcPr>
            <w:tcW w:w="401" w:type="pct"/>
            <w:tcBorders>
              <w:top w:val="nil"/>
              <w:left w:val="nil"/>
              <w:bottom w:val="single" w:sz="4" w:space="0" w:color="auto"/>
              <w:right w:val="single" w:sz="4" w:space="0" w:color="auto"/>
            </w:tcBorders>
            <w:shd w:val="clear" w:color="000000" w:fill="C00000"/>
            <w:vAlign w:val="center"/>
            <w:hideMark/>
          </w:tcPr>
          <w:p w14:paraId="4E2E7D46"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Lloji i projektaktit</w:t>
            </w:r>
          </w:p>
        </w:tc>
        <w:tc>
          <w:tcPr>
            <w:tcW w:w="453" w:type="pct"/>
            <w:tcBorders>
              <w:top w:val="nil"/>
              <w:left w:val="nil"/>
              <w:bottom w:val="single" w:sz="4" w:space="0" w:color="auto"/>
              <w:right w:val="single" w:sz="4" w:space="0" w:color="auto"/>
            </w:tcBorders>
            <w:shd w:val="clear" w:color="000000" w:fill="C00000"/>
            <w:vAlign w:val="center"/>
            <w:hideMark/>
          </w:tcPr>
          <w:p w14:paraId="6888D014"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Ministri propozues</w:t>
            </w:r>
          </w:p>
        </w:tc>
        <w:tc>
          <w:tcPr>
            <w:tcW w:w="347" w:type="pct"/>
            <w:tcBorders>
              <w:top w:val="nil"/>
              <w:left w:val="nil"/>
              <w:bottom w:val="single" w:sz="4" w:space="0" w:color="auto"/>
              <w:right w:val="single" w:sz="4" w:space="0" w:color="auto"/>
            </w:tcBorders>
            <w:shd w:val="clear" w:color="000000" w:fill="C00000"/>
            <w:vAlign w:val="center"/>
            <w:hideMark/>
          </w:tcPr>
          <w:p w14:paraId="63A36D73"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Katërmujori</w:t>
            </w:r>
          </w:p>
        </w:tc>
        <w:tc>
          <w:tcPr>
            <w:tcW w:w="547" w:type="pct"/>
            <w:tcBorders>
              <w:top w:val="nil"/>
              <w:left w:val="nil"/>
              <w:bottom w:val="single" w:sz="4" w:space="0" w:color="auto"/>
              <w:right w:val="single" w:sz="4" w:space="0" w:color="auto"/>
            </w:tcBorders>
            <w:shd w:val="clear" w:color="000000" w:fill="C00000"/>
            <w:vAlign w:val="center"/>
            <w:hideMark/>
          </w:tcPr>
          <w:p w14:paraId="0FAABAFC"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Arsyet kryesore për propozimin e projektaktit</w:t>
            </w:r>
          </w:p>
        </w:tc>
        <w:tc>
          <w:tcPr>
            <w:tcW w:w="617" w:type="pct"/>
            <w:tcBorders>
              <w:top w:val="nil"/>
              <w:left w:val="nil"/>
              <w:bottom w:val="single" w:sz="4" w:space="0" w:color="auto"/>
              <w:right w:val="single" w:sz="4" w:space="0" w:color="auto"/>
            </w:tcBorders>
            <w:shd w:val="clear" w:color="000000" w:fill="C00000"/>
            <w:vAlign w:val="center"/>
            <w:hideMark/>
          </w:tcPr>
          <w:p w14:paraId="23D3FFBC"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 xml:space="preserve">Çështjet kryesore që parashikon të rregullojë projektakti </w:t>
            </w:r>
          </w:p>
        </w:tc>
        <w:tc>
          <w:tcPr>
            <w:tcW w:w="359" w:type="pct"/>
            <w:tcBorders>
              <w:top w:val="nil"/>
              <w:left w:val="nil"/>
              <w:bottom w:val="single" w:sz="4" w:space="0" w:color="auto"/>
              <w:right w:val="single" w:sz="4" w:space="0" w:color="auto"/>
            </w:tcBorders>
            <w:shd w:val="clear" w:color="000000" w:fill="C00000"/>
            <w:vAlign w:val="center"/>
            <w:hideMark/>
          </w:tcPr>
          <w:p w14:paraId="17068CE4"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A është parashikuar projektakti në PKIE?</w:t>
            </w:r>
            <w:r w:rsidRPr="00B6793F">
              <w:rPr>
                <w:rFonts w:ascii="Arial" w:eastAsia="Times New Roman" w:hAnsi="Arial" w:cs="Arial"/>
                <w:color w:val="FFFFFF"/>
                <w:sz w:val="8"/>
                <w:szCs w:val="8"/>
                <w:lang w:eastAsia="sq-AL"/>
              </w:rPr>
              <w:br/>
            </w:r>
            <w:r w:rsidRPr="00B6793F">
              <w:rPr>
                <w:rFonts w:ascii="Arial" w:eastAsia="Times New Roman" w:hAnsi="Arial" w:cs="Arial"/>
                <w:color w:val="FFFFFF"/>
                <w:sz w:val="8"/>
                <w:szCs w:val="8"/>
                <w:lang w:eastAsia="sq-AL"/>
              </w:rPr>
              <w:br/>
              <w:t>Nëse po, të specifikohet kapitulli përkatës</w:t>
            </w:r>
          </w:p>
        </w:tc>
        <w:tc>
          <w:tcPr>
            <w:tcW w:w="433" w:type="pct"/>
            <w:tcBorders>
              <w:top w:val="nil"/>
              <w:left w:val="nil"/>
              <w:bottom w:val="single" w:sz="4" w:space="0" w:color="auto"/>
              <w:right w:val="single" w:sz="4" w:space="0" w:color="auto"/>
            </w:tcBorders>
            <w:shd w:val="clear" w:color="000000" w:fill="C00000"/>
            <w:vAlign w:val="center"/>
            <w:hideMark/>
          </w:tcPr>
          <w:p w14:paraId="7157C624"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Përputhshmëria e projektaktit me programin politik qeverisës 2025-2030</w:t>
            </w:r>
            <w:r w:rsidRPr="00B6793F">
              <w:rPr>
                <w:rFonts w:ascii="Arial" w:eastAsia="Times New Roman" w:hAnsi="Arial" w:cs="Arial"/>
                <w:color w:val="FFFFFF"/>
                <w:sz w:val="8"/>
                <w:szCs w:val="8"/>
                <w:lang w:eastAsia="sq-AL"/>
              </w:rPr>
              <w:br/>
            </w:r>
            <w:r w:rsidRPr="00B6793F">
              <w:rPr>
                <w:rFonts w:ascii="Arial" w:eastAsia="Times New Roman" w:hAnsi="Arial" w:cs="Arial"/>
                <w:color w:val="FFFFFF"/>
                <w:sz w:val="8"/>
                <w:szCs w:val="8"/>
                <w:lang w:eastAsia="sq-AL"/>
              </w:rPr>
              <w:br/>
              <w:t>Nëse përputhet, të jepet  referenca e saktë në progam</w:t>
            </w:r>
          </w:p>
        </w:tc>
        <w:tc>
          <w:tcPr>
            <w:tcW w:w="367" w:type="pct"/>
            <w:tcBorders>
              <w:top w:val="nil"/>
              <w:left w:val="nil"/>
              <w:bottom w:val="single" w:sz="4" w:space="0" w:color="auto"/>
              <w:right w:val="single" w:sz="4" w:space="0" w:color="auto"/>
            </w:tcBorders>
            <w:shd w:val="clear" w:color="000000" w:fill="C00000"/>
            <w:vAlign w:val="center"/>
            <w:hideMark/>
          </w:tcPr>
          <w:p w14:paraId="4F593F93"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Lidhja e projektaktit me strategjitë kombëtare dhe sektoriale</w:t>
            </w:r>
            <w:r w:rsidRPr="00B6793F">
              <w:rPr>
                <w:rFonts w:ascii="Arial" w:eastAsia="Times New Roman" w:hAnsi="Arial" w:cs="Arial"/>
                <w:color w:val="FFFFFF"/>
                <w:sz w:val="8"/>
                <w:szCs w:val="8"/>
                <w:lang w:eastAsia="sq-AL"/>
              </w:rPr>
              <w:br/>
            </w:r>
            <w:r w:rsidRPr="00B6793F">
              <w:rPr>
                <w:rFonts w:ascii="Arial" w:eastAsia="Times New Roman" w:hAnsi="Arial" w:cs="Arial"/>
                <w:color w:val="FFFFFF"/>
                <w:sz w:val="8"/>
                <w:szCs w:val="8"/>
                <w:lang w:eastAsia="sq-AL"/>
              </w:rPr>
              <w:br/>
              <w:t>Nëse lidhet, të specifikohen strategjitë</w:t>
            </w:r>
          </w:p>
        </w:tc>
        <w:tc>
          <w:tcPr>
            <w:tcW w:w="755" w:type="pct"/>
            <w:tcBorders>
              <w:top w:val="nil"/>
              <w:left w:val="nil"/>
              <w:bottom w:val="single" w:sz="4" w:space="0" w:color="auto"/>
              <w:right w:val="single" w:sz="4" w:space="0" w:color="auto"/>
            </w:tcBorders>
            <w:shd w:val="clear" w:color="000000" w:fill="C00000"/>
            <w:vAlign w:val="center"/>
            <w:hideMark/>
          </w:tcPr>
          <w:p w14:paraId="2DE8C4D8" w14:textId="77777777" w:rsidR="008A575E" w:rsidRPr="00B6793F" w:rsidRDefault="008A575E" w:rsidP="008A575E">
            <w:pPr>
              <w:spacing w:after="0" w:line="240" w:lineRule="auto"/>
              <w:jc w:val="center"/>
              <w:rPr>
                <w:rFonts w:ascii="Arial" w:eastAsia="Times New Roman" w:hAnsi="Arial" w:cs="Arial"/>
                <w:color w:val="FFFFFF"/>
                <w:sz w:val="8"/>
                <w:szCs w:val="8"/>
                <w:lang w:eastAsia="sq-AL"/>
              </w:rPr>
            </w:pPr>
            <w:r w:rsidRPr="00B6793F">
              <w:rPr>
                <w:rFonts w:ascii="Arial" w:eastAsia="Times New Roman" w:hAnsi="Arial" w:cs="Arial"/>
                <w:color w:val="FFFFFF"/>
                <w:sz w:val="8"/>
                <w:szCs w:val="8"/>
                <w:lang w:eastAsia="sq-AL"/>
              </w:rPr>
              <w:t>Ndikimet e mundshme ekonomike, financiare, sociale dhe mjedisore</w:t>
            </w:r>
            <w:r w:rsidRPr="00B6793F">
              <w:rPr>
                <w:rFonts w:ascii="Arial" w:eastAsia="Times New Roman" w:hAnsi="Arial" w:cs="Arial"/>
                <w:color w:val="FFFFFF"/>
                <w:sz w:val="8"/>
                <w:szCs w:val="8"/>
                <w:lang w:eastAsia="sq-AL"/>
              </w:rPr>
              <w:br/>
            </w:r>
            <w:r w:rsidRPr="00B6793F">
              <w:rPr>
                <w:rFonts w:ascii="Arial" w:eastAsia="Times New Roman" w:hAnsi="Arial" w:cs="Arial"/>
                <w:color w:val="FFFFFF"/>
                <w:sz w:val="8"/>
                <w:szCs w:val="8"/>
                <w:lang w:eastAsia="sq-AL"/>
              </w:rPr>
              <w:br/>
              <w:t xml:space="preserve">Përgjigjuni me Po/Jo për ndikimet përkatëse </w:t>
            </w:r>
          </w:p>
        </w:tc>
      </w:tr>
      <w:tr w:rsidR="008A575E" w:rsidRPr="00B6793F" w14:paraId="7BAE0E1F"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4CEDB6A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w:t>
            </w:r>
          </w:p>
        </w:tc>
        <w:tc>
          <w:tcPr>
            <w:tcW w:w="542" w:type="pct"/>
            <w:tcBorders>
              <w:top w:val="nil"/>
              <w:left w:val="nil"/>
              <w:bottom w:val="single" w:sz="4" w:space="0" w:color="auto"/>
              <w:right w:val="single" w:sz="4" w:space="0" w:color="auto"/>
            </w:tcBorders>
            <w:shd w:val="clear" w:color="000000" w:fill="FFFFFF"/>
            <w:vAlign w:val="center"/>
            <w:hideMark/>
          </w:tcPr>
          <w:p w14:paraId="5686026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deklarimin  pasuri kulturore e paluajtshme e Zonës Arkeologjike A te Qytetit Antik të Bushatit</w:t>
            </w:r>
          </w:p>
        </w:tc>
        <w:tc>
          <w:tcPr>
            <w:tcW w:w="401" w:type="pct"/>
            <w:tcBorders>
              <w:top w:val="nil"/>
              <w:left w:val="nil"/>
              <w:bottom w:val="single" w:sz="4" w:space="0" w:color="auto"/>
              <w:right w:val="single" w:sz="4" w:space="0" w:color="auto"/>
            </w:tcBorders>
            <w:shd w:val="clear" w:color="000000" w:fill="FFFFFF"/>
            <w:vAlign w:val="center"/>
            <w:hideMark/>
          </w:tcPr>
          <w:p w14:paraId="6E18324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314D41A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7BDC93A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47" w:type="pct"/>
            <w:tcBorders>
              <w:top w:val="nil"/>
              <w:left w:val="nil"/>
              <w:bottom w:val="single" w:sz="4" w:space="0" w:color="auto"/>
              <w:right w:val="single" w:sz="4" w:space="0" w:color="auto"/>
            </w:tcBorders>
            <w:shd w:val="clear" w:color="000000" w:fill="FFFFFF"/>
            <w:vAlign w:val="center"/>
            <w:hideMark/>
          </w:tcPr>
          <w:p w14:paraId="581A8F9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Shkronja “a” dhe ç e pikës 3, të nenit 9, dhe</w:t>
            </w:r>
            <w:r w:rsidRPr="00B6793F">
              <w:rPr>
                <w:rFonts w:ascii="Arial" w:eastAsia="Times New Roman" w:hAnsi="Arial" w:cs="Arial"/>
                <w:sz w:val="8"/>
                <w:szCs w:val="8"/>
                <w:lang w:eastAsia="sq-AL"/>
              </w:rPr>
              <w:br/>
              <w:t>të nënparagrafit “iv”, të shkronjës “b”, të</w:t>
            </w:r>
            <w:r w:rsidRPr="00B6793F">
              <w:rPr>
                <w:rFonts w:ascii="Arial" w:eastAsia="Times New Roman" w:hAnsi="Arial" w:cs="Arial"/>
                <w:sz w:val="8"/>
                <w:szCs w:val="8"/>
                <w:lang w:eastAsia="sq-AL"/>
              </w:rPr>
              <w:br/>
              <w:t>pikës 3, të nenit 53, të ligjit nr. 27/2018, “Për</w:t>
            </w:r>
            <w:r w:rsidRPr="00B6793F">
              <w:rPr>
                <w:rFonts w:ascii="Arial" w:eastAsia="Times New Roman" w:hAnsi="Arial" w:cs="Arial"/>
                <w:sz w:val="8"/>
                <w:szCs w:val="8"/>
                <w:lang w:eastAsia="sq-AL"/>
              </w:rPr>
              <w:br/>
              <w:t>trashëgiminë kulturore dhe muzet</w:t>
            </w:r>
          </w:p>
        </w:tc>
        <w:tc>
          <w:tcPr>
            <w:tcW w:w="617" w:type="pct"/>
            <w:tcBorders>
              <w:top w:val="nil"/>
              <w:left w:val="nil"/>
              <w:bottom w:val="single" w:sz="4" w:space="0" w:color="auto"/>
              <w:right w:val="single" w:sz="4" w:space="0" w:color="auto"/>
            </w:tcBorders>
            <w:shd w:val="clear" w:color="000000" w:fill="FFFFFF"/>
            <w:vAlign w:val="center"/>
            <w:hideMark/>
          </w:tcPr>
          <w:p w14:paraId="0E0481B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Vlerësimin, ruajtjen, mbrojtjen, restaurimin, konservimin e integruar dhe administrimin e trashëgimisë kulturore dhe peisazhit të zonës arkeologjike “A”  të qytetit antik të Bushatit mbështetur në ligjin Nr. 27/2018 "Për trashëgiminë kulturore dhe Muzetë", i ndryshuar Gjithashtu, ky projektvendim synon përcaktimin e rregullave, procedurave dhe autoriteteve shtetërore përgjegjëse për vlerësimin, ruajtjen, mbrojtjen, dhe administrimin e pasurisë dhe vlerave të trashëgimisë kulturore të zonës arkeologjike “A”  të qytetit antik të Bushatit. </w:t>
            </w:r>
          </w:p>
        </w:tc>
        <w:tc>
          <w:tcPr>
            <w:tcW w:w="359" w:type="pct"/>
            <w:tcBorders>
              <w:top w:val="nil"/>
              <w:left w:val="nil"/>
              <w:bottom w:val="single" w:sz="4" w:space="0" w:color="auto"/>
              <w:right w:val="single" w:sz="4" w:space="0" w:color="auto"/>
            </w:tcBorders>
            <w:shd w:val="clear" w:color="000000" w:fill="FFFFFF"/>
            <w:vAlign w:val="center"/>
            <w:hideMark/>
          </w:tcPr>
          <w:p w14:paraId="5DF1BAE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1D9BECD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01D99B1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për Kulturen 2019-2025</w:t>
            </w:r>
          </w:p>
        </w:tc>
        <w:tc>
          <w:tcPr>
            <w:tcW w:w="755" w:type="pct"/>
            <w:tcBorders>
              <w:top w:val="nil"/>
              <w:left w:val="nil"/>
              <w:bottom w:val="single" w:sz="4" w:space="0" w:color="auto"/>
              <w:right w:val="single" w:sz="4" w:space="0" w:color="auto"/>
            </w:tcBorders>
            <w:shd w:val="clear" w:color="000000" w:fill="FFFFFF"/>
            <w:vAlign w:val="center"/>
            <w:hideMark/>
          </w:tcPr>
          <w:p w14:paraId="141EC66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32A7EE09"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5F60AEA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w:t>
            </w:r>
          </w:p>
        </w:tc>
        <w:tc>
          <w:tcPr>
            <w:tcW w:w="542" w:type="pct"/>
            <w:tcBorders>
              <w:top w:val="nil"/>
              <w:left w:val="nil"/>
              <w:bottom w:val="single" w:sz="4" w:space="0" w:color="auto"/>
              <w:right w:val="single" w:sz="4" w:space="0" w:color="auto"/>
            </w:tcBorders>
            <w:shd w:val="clear" w:color="000000" w:fill="FFFFFF"/>
            <w:vAlign w:val="center"/>
            <w:hideMark/>
          </w:tcPr>
          <w:p w14:paraId="1B190C0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Strategjisë Kombëtare për Kulturën 2026-2030</w:t>
            </w:r>
          </w:p>
        </w:tc>
        <w:tc>
          <w:tcPr>
            <w:tcW w:w="401" w:type="pct"/>
            <w:tcBorders>
              <w:top w:val="nil"/>
              <w:left w:val="nil"/>
              <w:bottom w:val="single" w:sz="4" w:space="0" w:color="auto"/>
              <w:right w:val="single" w:sz="4" w:space="0" w:color="auto"/>
            </w:tcBorders>
            <w:shd w:val="clear" w:color="000000" w:fill="FFFFFF"/>
            <w:vAlign w:val="center"/>
            <w:hideMark/>
          </w:tcPr>
          <w:p w14:paraId="2AEEDD0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28A14A4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4EAA5FC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47" w:type="pct"/>
            <w:tcBorders>
              <w:top w:val="nil"/>
              <w:left w:val="nil"/>
              <w:bottom w:val="single" w:sz="4" w:space="0" w:color="auto"/>
              <w:right w:val="single" w:sz="4" w:space="0" w:color="auto"/>
            </w:tcBorders>
            <w:shd w:val="clear" w:color="000000" w:fill="FFFFFF"/>
            <w:vAlign w:val="center"/>
            <w:hideMark/>
          </w:tcPr>
          <w:p w14:paraId="7928352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Neni 100 i Kushtetutës dhe ligjet sektoriale</w:t>
            </w:r>
          </w:p>
        </w:tc>
        <w:tc>
          <w:tcPr>
            <w:tcW w:w="617" w:type="pct"/>
            <w:tcBorders>
              <w:top w:val="nil"/>
              <w:left w:val="nil"/>
              <w:bottom w:val="single" w:sz="4" w:space="0" w:color="auto"/>
              <w:right w:val="single" w:sz="4" w:space="0" w:color="auto"/>
            </w:tcBorders>
            <w:shd w:val="clear" w:color="000000" w:fill="FFFFFF"/>
            <w:vAlign w:val="center"/>
            <w:hideMark/>
          </w:tcPr>
          <w:p w14:paraId="168CAC75" w14:textId="77777777" w:rsidR="008A575E" w:rsidRPr="00B6793F" w:rsidRDefault="008A575E" w:rsidP="008A575E">
            <w:pPr>
              <w:spacing w:after="0" w:line="240" w:lineRule="auto"/>
              <w:rPr>
                <w:rFonts w:ascii="Arial" w:eastAsia="Times New Roman" w:hAnsi="Arial" w:cs="Arial"/>
                <w:sz w:val="8"/>
                <w:szCs w:val="8"/>
                <w:lang w:eastAsia="sq-AL"/>
              </w:rPr>
            </w:pPr>
            <w:r w:rsidRPr="00B6793F">
              <w:rPr>
                <w:rFonts w:ascii="Arial" w:eastAsia="Times New Roman" w:hAnsi="Arial" w:cs="Arial"/>
                <w:sz w:val="8"/>
                <w:szCs w:val="8"/>
                <w:lang w:eastAsia="sq-AL"/>
              </w:rPr>
              <w:t>Ky dokument ka për qëllim të ofrojë një pasqyrë të politikave kulturore në vend, prirjet e zhvillimit të sektorit kulturor dhe krijues, si dhe të paraqesë planin e veprimit drejt krijimit të një mjedisi të favorshëm për rritjen e rolit të kulturës në zhvillimin e qëndrueshëm të Shqipërisë, të shoqërisë së saj dhe të çdo individi.</w:t>
            </w:r>
          </w:p>
        </w:tc>
        <w:tc>
          <w:tcPr>
            <w:tcW w:w="359" w:type="pct"/>
            <w:tcBorders>
              <w:top w:val="nil"/>
              <w:left w:val="nil"/>
              <w:bottom w:val="single" w:sz="4" w:space="0" w:color="auto"/>
              <w:right w:val="single" w:sz="4" w:space="0" w:color="auto"/>
            </w:tcBorders>
            <w:shd w:val="clear" w:color="000000" w:fill="FFFFFF"/>
            <w:vAlign w:val="center"/>
            <w:hideMark/>
          </w:tcPr>
          <w:p w14:paraId="2DC0C57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5764529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3EC0C44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5" w:type="pct"/>
            <w:tcBorders>
              <w:top w:val="nil"/>
              <w:left w:val="nil"/>
              <w:bottom w:val="single" w:sz="4" w:space="0" w:color="auto"/>
              <w:right w:val="single" w:sz="4" w:space="0" w:color="auto"/>
            </w:tcBorders>
            <w:shd w:val="clear" w:color="000000" w:fill="FFFFFF"/>
            <w:vAlign w:val="center"/>
            <w:hideMark/>
          </w:tcPr>
          <w:p w14:paraId="0436500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0704794A"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6F63A78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w:t>
            </w:r>
          </w:p>
        </w:tc>
        <w:tc>
          <w:tcPr>
            <w:tcW w:w="542" w:type="pct"/>
            <w:tcBorders>
              <w:top w:val="nil"/>
              <w:left w:val="nil"/>
              <w:bottom w:val="single" w:sz="4" w:space="0" w:color="auto"/>
              <w:right w:val="single" w:sz="4" w:space="0" w:color="auto"/>
            </w:tcBorders>
            <w:shd w:val="clear" w:color="000000" w:fill="FFFFFF"/>
            <w:vAlign w:val="center"/>
            <w:hideMark/>
          </w:tcPr>
          <w:p w14:paraId="5D1F0B8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deklarimin pasuri kulturore e paluajtshme "Ansambël Arkitektonik Urban" të një zone të qytetit të Delvinës, përcaktimin e zonës mbrojtëse të tij dhe miratimin e planit për ruajtjen, mbrojtjen dhe administrimin e tyre</w:t>
            </w:r>
          </w:p>
        </w:tc>
        <w:tc>
          <w:tcPr>
            <w:tcW w:w="401" w:type="pct"/>
            <w:tcBorders>
              <w:top w:val="nil"/>
              <w:left w:val="nil"/>
              <w:bottom w:val="single" w:sz="4" w:space="0" w:color="auto"/>
              <w:right w:val="single" w:sz="4" w:space="0" w:color="auto"/>
            </w:tcBorders>
            <w:shd w:val="clear" w:color="000000" w:fill="FFFFFF"/>
            <w:vAlign w:val="center"/>
            <w:hideMark/>
          </w:tcPr>
          <w:p w14:paraId="0B0B503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4C11B4C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5E5061B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47" w:type="pct"/>
            <w:tcBorders>
              <w:top w:val="nil"/>
              <w:left w:val="nil"/>
              <w:bottom w:val="single" w:sz="4" w:space="0" w:color="auto"/>
              <w:right w:val="single" w:sz="4" w:space="0" w:color="auto"/>
            </w:tcBorders>
            <w:shd w:val="clear" w:color="000000" w:fill="FFFFFF"/>
            <w:vAlign w:val="center"/>
            <w:hideMark/>
          </w:tcPr>
          <w:p w14:paraId="4CC0E71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Shkronja “a” dhe ç e pikës 3, të nenit 9, dhe</w:t>
            </w:r>
            <w:r w:rsidRPr="00B6793F">
              <w:rPr>
                <w:rFonts w:ascii="Arial" w:eastAsia="Times New Roman" w:hAnsi="Arial" w:cs="Arial"/>
                <w:sz w:val="8"/>
                <w:szCs w:val="8"/>
                <w:lang w:eastAsia="sq-AL"/>
              </w:rPr>
              <w:br/>
              <w:t>të nënparagrafit “iv”, të shkronjës “b”, të</w:t>
            </w:r>
            <w:r w:rsidRPr="00B6793F">
              <w:rPr>
                <w:rFonts w:ascii="Arial" w:eastAsia="Times New Roman" w:hAnsi="Arial" w:cs="Arial"/>
                <w:sz w:val="8"/>
                <w:szCs w:val="8"/>
                <w:lang w:eastAsia="sq-AL"/>
              </w:rPr>
              <w:br/>
              <w:t>pikës 3, të nenit 53, të ligjit nr. 27/2018, “Për</w:t>
            </w:r>
            <w:r w:rsidRPr="00B6793F">
              <w:rPr>
                <w:rFonts w:ascii="Arial" w:eastAsia="Times New Roman" w:hAnsi="Arial" w:cs="Arial"/>
                <w:sz w:val="8"/>
                <w:szCs w:val="8"/>
                <w:lang w:eastAsia="sq-AL"/>
              </w:rPr>
              <w:br/>
              <w:t>trashëgiminë kulturore dhe muzet</w:t>
            </w:r>
          </w:p>
        </w:tc>
        <w:tc>
          <w:tcPr>
            <w:tcW w:w="617" w:type="pct"/>
            <w:tcBorders>
              <w:top w:val="nil"/>
              <w:left w:val="nil"/>
              <w:bottom w:val="single" w:sz="4" w:space="0" w:color="auto"/>
              <w:right w:val="single" w:sz="4" w:space="0" w:color="auto"/>
            </w:tcBorders>
            <w:shd w:val="clear" w:color="000000" w:fill="FFFFFF"/>
            <w:vAlign w:val="center"/>
            <w:hideMark/>
          </w:tcPr>
          <w:p w14:paraId="1F6E601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Deklarimin pasuri kulturore e paluajtshme të ansamblit arkitektonik  urban te nje zone ne qytetin e Delvines. 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359" w:type="pct"/>
            <w:tcBorders>
              <w:top w:val="nil"/>
              <w:left w:val="nil"/>
              <w:bottom w:val="single" w:sz="4" w:space="0" w:color="auto"/>
              <w:right w:val="single" w:sz="4" w:space="0" w:color="auto"/>
            </w:tcBorders>
            <w:shd w:val="clear" w:color="000000" w:fill="FFFFFF"/>
            <w:vAlign w:val="center"/>
            <w:hideMark/>
          </w:tcPr>
          <w:p w14:paraId="6869C43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3C99A56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6D6C6E4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për Kulturen 2019-2025</w:t>
            </w:r>
          </w:p>
        </w:tc>
        <w:tc>
          <w:tcPr>
            <w:tcW w:w="755" w:type="pct"/>
            <w:tcBorders>
              <w:top w:val="nil"/>
              <w:left w:val="nil"/>
              <w:bottom w:val="single" w:sz="4" w:space="0" w:color="auto"/>
              <w:right w:val="single" w:sz="4" w:space="0" w:color="auto"/>
            </w:tcBorders>
            <w:shd w:val="clear" w:color="000000" w:fill="FFFFFF"/>
            <w:vAlign w:val="center"/>
            <w:hideMark/>
          </w:tcPr>
          <w:p w14:paraId="73CFD3F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278C5976"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51ADC06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4</w:t>
            </w:r>
          </w:p>
        </w:tc>
        <w:tc>
          <w:tcPr>
            <w:tcW w:w="542" w:type="pct"/>
            <w:tcBorders>
              <w:top w:val="nil"/>
              <w:left w:val="nil"/>
              <w:bottom w:val="single" w:sz="4" w:space="0" w:color="auto"/>
              <w:right w:val="single" w:sz="4" w:space="0" w:color="auto"/>
            </w:tcBorders>
            <w:shd w:val="clear" w:color="000000" w:fill="FFFFFF"/>
            <w:vAlign w:val="center"/>
            <w:hideMark/>
          </w:tcPr>
          <w:p w14:paraId="11BB3C4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VKM Nr. 285, datë 29.04.2022 “Për Kriteret e Vendosjes dhe të Funksionimit të Stacioneve Sezonale të Ankorimit/Bregëzimit” </w:t>
            </w:r>
          </w:p>
        </w:tc>
        <w:tc>
          <w:tcPr>
            <w:tcW w:w="401" w:type="pct"/>
            <w:tcBorders>
              <w:top w:val="nil"/>
              <w:left w:val="nil"/>
              <w:bottom w:val="single" w:sz="4" w:space="0" w:color="auto"/>
              <w:right w:val="single" w:sz="4" w:space="0" w:color="auto"/>
            </w:tcBorders>
            <w:shd w:val="clear" w:color="000000" w:fill="FFFFFF"/>
            <w:vAlign w:val="center"/>
            <w:hideMark/>
          </w:tcPr>
          <w:p w14:paraId="5704829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63123B3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4D7753F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47" w:type="pct"/>
            <w:tcBorders>
              <w:top w:val="nil"/>
              <w:left w:val="nil"/>
              <w:bottom w:val="single" w:sz="4" w:space="0" w:color="auto"/>
              <w:right w:val="single" w:sz="4" w:space="0" w:color="auto"/>
            </w:tcBorders>
            <w:shd w:val="clear" w:color="000000" w:fill="FFFFFF"/>
            <w:vAlign w:val="center"/>
            <w:hideMark/>
          </w:tcPr>
          <w:p w14:paraId="75DD55D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2, të nenit 21, të ligjit nr. 43/2020, “Për aktivitetet e turizmit detar"</w:t>
            </w:r>
          </w:p>
        </w:tc>
        <w:tc>
          <w:tcPr>
            <w:tcW w:w="617" w:type="pct"/>
            <w:tcBorders>
              <w:top w:val="nil"/>
              <w:left w:val="nil"/>
              <w:bottom w:val="single" w:sz="4" w:space="0" w:color="auto"/>
              <w:right w:val="single" w:sz="4" w:space="0" w:color="auto"/>
            </w:tcBorders>
            <w:shd w:val="clear" w:color="000000" w:fill="FFFFFF"/>
            <w:vAlign w:val="center"/>
            <w:hideMark/>
          </w:tcPr>
          <w:p w14:paraId="4733FA6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Ndryshimet vijnë si rezultat i nevojës për rishikimin e metologjisë së  tarifimit të subjekteve që ushtrojnë veprimtarinë e stacionit sezonal të ankorimit/bregëzimit, duke u bazuar në vlerat e referencës sipas secilës zonë dhe funksionimin e Komisionit e Komisionit të Shqyrtimit të kërkesave për stacion sezonal ankorimi/ bregëzimi</w:t>
            </w:r>
          </w:p>
        </w:tc>
        <w:tc>
          <w:tcPr>
            <w:tcW w:w="359" w:type="pct"/>
            <w:tcBorders>
              <w:top w:val="nil"/>
              <w:left w:val="nil"/>
              <w:bottom w:val="single" w:sz="4" w:space="0" w:color="auto"/>
              <w:right w:val="single" w:sz="4" w:space="0" w:color="auto"/>
            </w:tcBorders>
            <w:shd w:val="clear" w:color="000000" w:fill="FFFFFF"/>
            <w:vAlign w:val="center"/>
            <w:hideMark/>
          </w:tcPr>
          <w:p w14:paraId="3019B8F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65D92E5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auto" w:fill="auto"/>
            <w:vAlign w:val="center"/>
            <w:hideMark/>
          </w:tcPr>
          <w:p w14:paraId="57D2FD25"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2025–2034</w:t>
            </w:r>
          </w:p>
        </w:tc>
        <w:tc>
          <w:tcPr>
            <w:tcW w:w="755" w:type="pct"/>
            <w:tcBorders>
              <w:top w:val="nil"/>
              <w:left w:val="nil"/>
              <w:bottom w:val="single" w:sz="4" w:space="0" w:color="auto"/>
              <w:right w:val="single" w:sz="4" w:space="0" w:color="auto"/>
            </w:tcBorders>
            <w:shd w:val="clear" w:color="000000" w:fill="FFFFFF"/>
            <w:vAlign w:val="center"/>
            <w:hideMark/>
          </w:tcPr>
          <w:p w14:paraId="544649D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6305270D"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4E50C3D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5</w:t>
            </w:r>
          </w:p>
        </w:tc>
        <w:tc>
          <w:tcPr>
            <w:tcW w:w="542" w:type="pct"/>
            <w:tcBorders>
              <w:top w:val="nil"/>
              <w:left w:val="nil"/>
              <w:bottom w:val="single" w:sz="4" w:space="0" w:color="auto"/>
              <w:right w:val="single" w:sz="4" w:space="0" w:color="auto"/>
            </w:tcBorders>
            <w:shd w:val="clear" w:color="000000" w:fill="FFFFFF"/>
            <w:vAlign w:val="center"/>
            <w:hideMark/>
          </w:tcPr>
          <w:p w14:paraId="0B76870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krijimin e Parkut Arkeologjik Bylis - Klos</w:t>
            </w:r>
          </w:p>
        </w:tc>
        <w:tc>
          <w:tcPr>
            <w:tcW w:w="401" w:type="pct"/>
            <w:tcBorders>
              <w:top w:val="nil"/>
              <w:left w:val="nil"/>
              <w:bottom w:val="single" w:sz="4" w:space="0" w:color="auto"/>
              <w:right w:val="single" w:sz="4" w:space="0" w:color="auto"/>
            </w:tcBorders>
            <w:shd w:val="clear" w:color="000000" w:fill="FFFFFF"/>
            <w:vAlign w:val="center"/>
            <w:hideMark/>
          </w:tcPr>
          <w:p w14:paraId="5D278CB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514DE22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33EAE42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47" w:type="pct"/>
            <w:tcBorders>
              <w:top w:val="nil"/>
              <w:left w:val="nil"/>
              <w:bottom w:val="single" w:sz="4" w:space="0" w:color="auto"/>
              <w:right w:val="single" w:sz="4" w:space="0" w:color="auto"/>
            </w:tcBorders>
            <w:shd w:val="clear" w:color="000000" w:fill="FFFFFF"/>
            <w:vAlign w:val="center"/>
            <w:hideMark/>
          </w:tcPr>
          <w:p w14:paraId="553FF6D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3 e nenit, 9, shkronja "b" e ligjit 27/2018 “Për 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11EDC9A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projektvendim synon organizimin dhe funksionimin e Parkut Arkeologjik Bylis dhe Klos, përgjegjësitë funksionale, misionin dhe financimin e veprimtarisë.</w:t>
            </w:r>
          </w:p>
        </w:tc>
        <w:tc>
          <w:tcPr>
            <w:tcW w:w="359" w:type="pct"/>
            <w:tcBorders>
              <w:top w:val="nil"/>
              <w:left w:val="nil"/>
              <w:bottom w:val="single" w:sz="4" w:space="0" w:color="auto"/>
              <w:right w:val="single" w:sz="4" w:space="0" w:color="auto"/>
            </w:tcBorders>
            <w:shd w:val="clear" w:color="000000" w:fill="FFFFFF"/>
            <w:vAlign w:val="center"/>
            <w:hideMark/>
          </w:tcPr>
          <w:p w14:paraId="6A5D2DC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13B23B0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378E7E0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per Kulturen 2019-2025</w:t>
            </w:r>
          </w:p>
        </w:tc>
        <w:tc>
          <w:tcPr>
            <w:tcW w:w="755" w:type="pct"/>
            <w:tcBorders>
              <w:top w:val="nil"/>
              <w:left w:val="nil"/>
              <w:bottom w:val="single" w:sz="4" w:space="0" w:color="auto"/>
              <w:right w:val="single" w:sz="4" w:space="0" w:color="auto"/>
            </w:tcBorders>
            <w:shd w:val="clear" w:color="000000" w:fill="FFFFFF"/>
            <w:vAlign w:val="center"/>
            <w:hideMark/>
          </w:tcPr>
          <w:p w14:paraId="708615F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5F843608"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57B80FD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6</w:t>
            </w:r>
          </w:p>
        </w:tc>
        <w:tc>
          <w:tcPr>
            <w:tcW w:w="542" w:type="pct"/>
            <w:tcBorders>
              <w:top w:val="nil"/>
              <w:left w:val="nil"/>
              <w:bottom w:val="single" w:sz="4" w:space="0" w:color="auto"/>
              <w:right w:val="single" w:sz="4" w:space="0" w:color="auto"/>
            </w:tcBorders>
            <w:shd w:val="clear" w:color="000000" w:fill="FFFFFF"/>
            <w:vAlign w:val="center"/>
            <w:hideMark/>
          </w:tcPr>
          <w:p w14:paraId="4B44771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krijimin e Parkut Arkeologjik të Apollonise dhe rregulloren e administrimit</w:t>
            </w:r>
          </w:p>
        </w:tc>
        <w:tc>
          <w:tcPr>
            <w:tcW w:w="401" w:type="pct"/>
            <w:tcBorders>
              <w:top w:val="nil"/>
              <w:left w:val="nil"/>
              <w:bottom w:val="single" w:sz="4" w:space="0" w:color="auto"/>
              <w:right w:val="single" w:sz="4" w:space="0" w:color="auto"/>
            </w:tcBorders>
            <w:shd w:val="clear" w:color="000000" w:fill="FFFFFF"/>
            <w:vAlign w:val="center"/>
            <w:hideMark/>
          </w:tcPr>
          <w:p w14:paraId="1C99418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3E73131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5FB0EED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47" w:type="pct"/>
            <w:tcBorders>
              <w:top w:val="nil"/>
              <w:left w:val="nil"/>
              <w:bottom w:val="single" w:sz="4" w:space="0" w:color="auto"/>
              <w:right w:val="single" w:sz="4" w:space="0" w:color="auto"/>
            </w:tcBorders>
            <w:shd w:val="clear" w:color="000000" w:fill="FFFFFF"/>
            <w:vAlign w:val="center"/>
            <w:hideMark/>
          </w:tcPr>
          <w:p w14:paraId="21C6930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3 e nenit, 9, shkronja "b" e ligjit 27/2018 “Për 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5A02675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Nw kuadwr tw ndarjes sw Parkut Arkeologjik Apoloni-Bylis do tw rishikohen kufijtw e Parkut Arkeologjik tw Apollonisw dhe struktura adiministruese</w:t>
            </w:r>
          </w:p>
        </w:tc>
        <w:tc>
          <w:tcPr>
            <w:tcW w:w="359" w:type="pct"/>
            <w:tcBorders>
              <w:top w:val="nil"/>
              <w:left w:val="nil"/>
              <w:bottom w:val="single" w:sz="4" w:space="0" w:color="auto"/>
              <w:right w:val="single" w:sz="4" w:space="0" w:color="auto"/>
            </w:tcBorders>
            <w:shd w:val="clear" w:color="000000" w:fill="FFFFFF"/>
            <w:vAlign w:val="center"/>
            <w:hideMark/>
          </w:tcPr>
          <w:p w14:paraId="2943C74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2841CC7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7F4E800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per Kulturen 2019-2027</w:t>
            </w:r>
          </w:p>
        </w:tc>
        <w:tc>
          <w:tcPr>
            <w:tcW w:w="755" w:type="pct"/>
            <w:tcBorders>
              <w:top w:val="nil"/>
              <w:left w:val="nil"/>
              <w:bottom w:val="single" w:sz="4" w:space="0" w:color="auto"/>
              <w:right w:val="single" w:sz="4" w:space="0" w:color="auto"/>
            </w:tcBorders>
            <w:shd w:val="clear" w:color="000000" w:fill="FFFFFF"/>
            <w:vAlign w:val="center"/>
            <w:hideMark/>
          </w:tcPr>
          <w:p w14:paraId="01922AE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533B0ACF"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6E19BC8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7</w:t>
            </w:r>
          </w:p>
        </w:tc>
        <w:tc>
          <w:tcPr>
            <w:tcW w:w="542" w:type="pct"/>
            <w:tcBorders>
              <w:top w:val="nil"/>
              <w:left w:val="nil"/>
              <w:bottom w:val="single" w:sz="4" w:space="0" w:color="auto"/>
              <w:right w:val="single" w:sz="4" w:space="0" w:color="auto"/>
            </w:tcBorders>
            <w:shd w:val="clear" w:color="000000" w:fill="FFFFFF"/>
            <w:vAlign w:val="center"/>
            <w:hideMark/>
          </w:tcPr>
          <w:p w14:paraId="6C617FD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Per disa ndryshime ne  VKM Nr. 29, datë 20.1.2016 "Për shpalljen e qendrës historike të fshatit Dhërmi dhe miratimin e rregullores për administrimin e saj e të zonës së mbrojtur përreth" </w:t>
            </w:r>
          </w:p>
        </w:tc>
        <w:tc>
          <w:tcPr>
            <w:tcW w:w="401" w:type="pct"/>
            <w:tcBorders>
              <w:top w:val="nil"/>
              <w:left w:val="nil"/>
              <w:bottom w:val="single" w:sz="4" w:space="0" w:color="auto"/>
              <w:right w:val="single" w:sz="4" w:space="0" w:color="auto"/>
            </w:tcBorders>
            <w:shd w:val="clear" w:color="000000" w:fill="FFFFFF"/>
            <w:vAlign w:val="center"/>
            <w:hideMark/>
          </w:tcPr>
          <w:p w14:paraId="7373742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2F3B52B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11E1BF0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47" w:type="pct"/>
            <w:tcBorders>
              <w:top w:val="nil"/>
              <w:left w:val="nil"/>
              <w:bottom w:val="single" w:sz="4" w:space="0" w:color="auto"/>
              <w:right w:val="single" w:sz="4" w:space="0" w:color="auto"/>
            </w:tcBorders>
            <w:shd w:val="clear" w:color="000000" w:fill="FFFFFF"/>
            <w:vAlign w:val="center"/>
            <w:hideMark/>
          </w:tcPr>
          <w:p w14:paraId="1C6B3DE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Shkronja “a” dhe “ç” të pikës 3 e nenit 9, pikës 3 të nenit 62,  pika 1 e nenit 96, të ligjit nr. 27/2018, “Për 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5931804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Deklarimin pasuri kulturore e paluajtshme të ansamblit arkitektonik  urban te nje zone ne qytetin e Delvines. 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359" w:type="pct"/>
            <w:tcBorders>
              <w:top w:val="nil"/>
              <w:left w:val="nil"/>
              <w:bottom w:val="single" w:sz="4" w:space="0" w:color="auto"/>
              <w:right w:val="single" w:sz="4" w:space="0" w:color="auto"/>
            </w:tcBorders>
            <w:shd w:val="clear" w:color="000000" w:fill="FFFFFF"/>
            <w:vAlign w:val="center"/>
            <w:hideMark/>
          </w:tcPr>
          <w:p w14:paraId="5B13360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0B0D802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1FF9C2B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per Kulturen 2019-2028</w:t>
            </w:r>
          </w:p>
        </w:tc>
        <w:tc>
          <w:tcPr>
            <w:tcW w:w="755" w:type="pct"/>
            <w:tcBorders>
              <w:top w:val="nil"/>
              <w:left w:val="nil"/>
              <w:bottom w:val="single" w:sz="4" w:space="0" w:color="auto"/>
              <w:right w:val="single" w:sz="4" w:space="0" w:color="auto"/>
            </w:tcBorders>
            <w:shd w:val="clear" w:color="000000" w:fill="FFFFFF"/>
            <w:vAlign w:val="center"/>
            <w:hideMark/>
          </w:tcPr>
          <w:p w14:paraId="4BB0A87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8A575E" w:rsidRPr="00B6793F" w14:paraId="3F408318"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1B1A888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8</w:t>
            </w:r>
          </w:p>
        </w:tc>
        <w:tc>
          <w:tcPr>
            <w:tcW w:w="542" w:type="pct"/>
            <w:tcBorders>
              <w:top w:val="nil"/>
              <w:left w:val="nil"/>
              <w:bottom w:val="single" w:sz="4" w:space="0" w:color="auto"/>
              <w:right w:val="single" w:sz="4" w:space="0" w:color="auto"/>
            </w:tcBorders>
            <w:shd w:val="clear" w:color="000000" w:fill="FFFFFF"/>
            <w:vAlign w:val="center"/>
            <w:hideMark/>
          </w:tcPr>
          <w:p w14:paraId="63F4A15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procedurën e shpalljes publike të pasurive kulturore që zbulohen në det</w:t>
            </w:r>
          </w:p>
        </w:tc>
        <w:tc>
          <w:tcPr>
            <w:tcW w:w="401" w:type="pct"/>
            <w:tcBorders>
              <w:top w:val="nil"/>
              <w:left w:val="nil"/>
              <w:bottom w:val="single" w:sz="4" w:space="0" w:color="auto"/>
              <w:right w:val="single" w:sz="4" w:space="0" w:color="auto"/>
            </w:tcBorders>
            <w:shd w:val="clear" w:color="000000" w:fill="FFFFFF"/>
            <w:vAlign w:val="center"/>
            <w:hideMark/>
          </w:tcPr>
          <w:p w14:paraId="3ADF9CC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2F8EE51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17F6CEC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47" w:type="pct"/>
            <w:tcBorders>
              <w:top w:val="nil"/>
              <w:left w:val="nil"/>
              <w:bottom w:val="single" w:sz="4" w:space="0" w:color="auto"/>
              <w:right w:val="single" w:sz="4" w:space="0" w:color="auto"/>
            </w:tcBorders>
            <w:shd w:val="clear" w:color="000000" w:fill="FFFFFF"/>
            <w:vAlign w:val="center"/>
            <w:hideMark/>
          </w:tcPr>
          <w:p w14:paraId="7266E5E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2 e të nenit 154 të ligjit nr. 27/2018, “Për 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708ED1A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Vlerësimin, ruajtjen, mbrojtjen, restaurimin, konservimin e integruar dhe administrimin e trashëgimisë kulturore dhe peisazhit të zonës arkeologjike “A”  të qytetit antik te Bushatit mbështetur në ligjin Nr. 27/2018 "Për trashëgiminë kulturore dhe Muzetë", i ndryshuar </w:t>
            </w:r>
            <w:r w:rsidRPr="00B6793F">
              <w:rPr>
                <w:rFonts w:ascii="Arial" w:eastAsia="Times New Roman" w:hAnsi="Arial" w:cs="Arial"/>
                <w:sz w:val="8"/>
                <w:szCs w:val="8"/>
                <w:lang w:eastAsia="sq-AL"/>
              </w:rPr>
              <w:lastRenderedPageBreak/>
              <w:t>Gjithashtu, ky projektvendim synon përcaktimin e rregullave,</w:t>
            </w:r>
          </w:p>
        </w:tc>
        <w:tc>
          <w:tcPr>
            <w:tcW w:w="359" w:type="pct"/>
            <w:tcBorders>
              <w:top w:val="nil"/>
              <w:left w:val="nil"/>
              <w:bottom w:val="single" w:sz="4" w:space="0" w:color="auto"/>
              <w:right w:val="single" w:sz="4" w:space="0" w:color="auto"/>
            </w:tcBorders>
            <w:shd w:val="clear" w:color="000000" w:fill="FFFFFF"/>
            <w:vAlign w:val="center"/>
            <w:hideMark/>
          </w:tcPr>
          <w:p w14:paraId="320E659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Jo</w:t>
            </w:r>
          </w:p>
        </w:tc>
        <w:tc>
          <w:tcPr>
            <w:tcW w:w="433" w:type="pct"/>
            <w:tcBorders>
              <w:top w:val="nil"/>
              <w:left w:val="nil"/>
              <w:bottom w:val="single" w:sz="4" w:space="0" w:color="auto"/>
              <w:right w:val="single" w:sz="4" w:space="0" w:color="auto"/>
            </w:tcBorders>
            <w:shd w:val="clear" w:color="000000" w:fill="FFFFFF"/>
            <w:vAlign w:val="center"/>
            <w:hideMark/>
          </w:tcPr>
          <w:p w14:paraId="6D5CFF7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23C06FD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per Kulturen 2019-2029</w:t>
            </w:r>
          </w:p>
        </w:tc>
        <w:tc>
          <w:tcPr>
            <w:tcW w:w="755" w:type="pct"/>
            <w:tcBorders>
              <w:top w:val="nil"/>
              <w:left w:val="nil"/>
              <w:bottom w:val="single" w:sz="4" w:space="0" w:color="auto"/>
              <w:right w:val="single" w:sz="4" w:space="0" w:color="auto"/>
            </w:tcBorders>
            <w:shd w:val="clear" w:color="000000" w:fill="FFFFFF"/>
            <w:vAlign w:val="center"/>
            <w:hideMark/>
          </w:tcPr>
          <w:p w14:paraId="289034A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8A575E" w:rsidRPr="00B6793F" w14:paraId="6741D456"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28F211C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9</w:t>
            </w:r>
          </w:p>
        </w:tc>
        <w:tc>
          <w:tcPr>
            <w:tcW w:w="542" w:type="pct"/>
            <w:tcBorders>
              <w:top w:val="nil"/>
              <w:left w:val="nil"/>
              <w:bottom w:val="single" w:sz="4" w:space="0" w:color="auto"/>
              <w:right w:val="single" w:sz="4" w:space="0" w:color="auto"/>
            </w:tcBorders>
            <w:shd w:val="clear" w:color="000000" w:fill="FFFFFF"/>
            <w:vAlign w:val="center"/>
            <w:hideMark/>
          </w:tcPr>
          <w:p w14:paraId="69A1B66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ushtrimin e funksioneve të fondacionit "Marubi"</w:t>
            </w:r>
          </w:p>
        </w:tc>
        <w:tc>
          <w:tcPr>
            <w:tcW w:w="401" w:type="pct"/>
            <w:tcBorders>
              <w:top w:val="nil"/>
              <w:left w:val="nil"/>
              <w:bottom w:val="single" w:sz="4" w:space="0" w:color="auto"/>
              <w:right w:val="single" w:sz="4" w:space="0" w:color="auto"/>
            </w:tcBorders>
            <w:shd w:val="clear" w:color="000000" w:fill="FFFFFF"/>
            <w:vAlign w:val="center"/>
            <w:hideMark/>
          </w:tcPr>
          <w:p w14:paraId="7BDF211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3A0699B3"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2A43302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47" w:type="pct"/>
            <w:tcBorders>
              <w:top w:val="nil"/>
              <w:left w:val="nil"/>
              <w:bottom w:val="single" w:sz="4" w:space="0" w:color="auto"/>
              <w:right w:val="single" w:sz="4" w:space="0" w:color="auto"/>
            </w:tcBorders>
            <w:shd w:val="clear" w:color="000000" w:fill="FFFFFF"/>
            <w:vAlign w:val="center"/>
            <w:hideMark/>
          </w:tcPr>
          <w:p w14:paraId="6E9C51D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4, neni 206 i ligjit nr.27/2018 "Për</w:t>
            </w:r>
            <w:r w:rsidRPr="00B6793F">
              <w:rPr>
                <w:rFonts w:ascii="Arial" w:eastAsia="Times New Roman" w:hAnsi="Arial" w:cs="Arial"/>
                <w:sz w:val="8"/>
                <w:szCs w:val="8"/>
                <w:lang w:eastAsia="sq-AL"/>
              </w:rPr>
              <w:br/>
              <w:t>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7DFC8BF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Ngritja dhe funksionimi i fondacionit</w:t>
            </w:r>
            <w:r w:rsidRPr="00B6793F">
              <w:rPr>
                <w:rFonts w:ascii="Arial" w:eastAsia="Times New Roman" w:hAnsi="Arial" w:cs="Arial"/>
                <w:sz w:val="8"/>
                <w:szCs w:val="8"/>
                <w:lang w:eastAsia="sq-AL"/>
              </w:rPr>
              <w:br/>
              <w:t>“Marubi”, prane Muzeut Kombetar te</w:t>
            </w:r>
            <w:r w:rsidRPr="00B6793F">
              <w:rPr>
                <w:rFonts w:ascii="Arial" w:eastAsia="Times New Roman" w:hAnsi="Arial" w:cs="Arial"/>
                <w:sz w:val="8"/>
                <w:szCs w:val="8"/>
                <w:lang w:eastAsia="sq-AL"/>
              </w:rPr>
              <w:br/>
              <w:t>Fotografise Marubi, Shkoder. Referuar ligjit</w:t>
            </w:r>
            <w:r w:rsidRPr="00B6793F">
              <w:rPr>
                <w:rFonts w:ascii="Arial" w:eastAsia="Times New Roman" w:hAnsi="Arial" w:cs="Arial"/>
                <w:sz w:val="8"/>
                <w:szCs w:val="8"/>
                <w:lang w:eastAsia="sq-AL"/>
              </w:rPr>
              <w:br/>
              <w:t>nr.27/2018 "Per trashegimine kulturore dhe</w:t>
            </w:r>
            <w:r w:rsidRPr="00B6793F">
              <w:rPr>
                <w:rFonts w:ascii="Arial" w:eastAsia="Times New Roman" w:hAnsi="Arial" w:cs="Arial"/>
                <w:sz w:val="8"/>
                <w:szCs w:val="8"/>
                <w:lang w:eastAsia="sq-AL"/>
              </w:rPr>
              <w:br/>
              <w:t>muzete". ky fondacion,midis të tjerave, hërben për formimin e restauratorëve të ardhshëm të materialeve fotografike</w:t>
            </w:r>
          </w:p>
        </w:tc>
        <w:tc>
          <w:tcPr>
            <w:tcW w:w="359" w:type="pct"/>
            <w:tcBorders>
              <w:top w:val="nil"/>
              <w:left w:val="nil"/>
              <w:bottom w:val="single" w:sz="4" w:space="0" w:color="auto"/>
              <w:right w:val="single" w:sz="4" w:space="0" w:color="auto"/>
            </w:tcBorders>
            <w:shd w:val="clear" w:color="000000" w:fill="FFFFFF"/>
            <w:vAlign w:val="center"/>
            <w:hideMark/>
          </w:tcPr>
          <w:p w14:paraId="5C93052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0F39BBC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34E6935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per Kulturen 2019-2029</w:t>
            </w:r>
          </w:p>
        </w:tc>
        <w:tc>
          <w:tcPr>
            <w:tcW w:w="755" w:type="pct"/>
            <w:tcBorders>
              <w:top w:val="nil"/>
              <w:left w:val="nil"/>
              <w:bottom w:val="single" w:sz="4" w:space="0" w:color="auto"/>
              <w:right w:val="single" w:sz="4" w:space="0" w:color="auto"/>
            </w:tcBorders>
            <w:shd w:val="clear" w:color="000000" w:fill="FFFFFF"/>
            <w:vAlign w:val="center"/>
            <w:hideMark/>
          </w:tcPr>
          <w:p w14:paraId="0CB06C9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3A56198B"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637BC30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10</w:t>
            </w:r>
          </w:p>
        </w:tc>
        <w:tc>
          <w:tcPr>
            <w:tcW w:w="542" w:type="pct"/>
            <w:tcBorders>
              <w:top w:val="nil"/>
              <w:left w:val="nil"/>
              <w:bottom w:val="single" w:sz="4" w:space="0" w:color="auto"/>
              <w:right w:val="single" w:sz="4" w:space="0" w:color="auto"/>
            </w:tcBorders>
            <w:shd w:val="clear" w:color="auto" w:fill="auto"/>
            <w:vAlign w:val="center"/>
            <w:hideMark/>
          </w:tcPr>
          <w:p w14:paraId="1DF5D0F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vendimin nr.22,datë12.1.2018 “Për miratimin e kritereve e të procedurave për certifikimin e veprimtarisë së agroturizmit dhe ndërtimin e strukturave/objekteve në funksion të tij”</w:t>
            </w:r>
          </w:p>
        </w:tc>
        <w:tc>
          <w:tcPr>
            <w:tcW w:w="401" w:type="pct"/>
            <w:tcBorders>
              <w:top w:val="nil"/>
              <w:left w:val="nil"/>
              <w:bottom w:val="single" w:sz="4" w:space="0" w:color="auto"/>
              <w:right w:val="single" w:sz="4" w:space="0" w:color="auto"/>
            </w:tcBorders>
            <w:shd w:val="clear" w:color="000000" w:fill="FFFFFF"/>
            <w:vAlign w:val="center"/>
            <w:hideMark/>
          </w:tcPr>
          <w:p w14:paraId="7A5D688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6C7F8E48"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000000" w:fill="FFFFFF"/>
            <w:vAlign w:val="center"/>
            <w:hideMark/>
          </w:tcPr>
          <w:p w14:paraId="7482439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47" w:type="pct"/>
            <w:tcBorders>
              <w:top w:val="nil"/>
              <w:left w:val="nil"/>
              <w:bottom w:val="single" w:sz="4" w:space="0" w:color="auto"/>
              <w:right w:val="single" w:sz="4" w:space="0" w:color="auto"/>
            </w:tcBorders>
            <w:shd w:val="clear" w:color="auto" w:fill="auto"/>
            <w:vAlign w:val="center"/>
            <w:hideMark/>
          </w:tcPr>
          <w:p w14:paraId="4467ACD4"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Pika 2 e nenit 4, të ligjit nr. 93/2015, “Përturizmin”, të ndryshuar</w:t>
            </w:r>
          </w:p>
        </w:tc>
        <w:tc>
          <w:tcPr>
            <w:tcW w:w="617" w:type="pct"/>
            <w:tcBorders>
              <w:top w:val="nil"/>
              <w:left w:val="nil"/>
              <w:bottom w:val="single" w:sz="4" w:space="0" w:color="auto"/>
              <w:right w:val="single" w:sz="4" w:space="0" w:color="auto"/>
            </w:tcBorders>
            <w:shd w:val="clear" w:color="auto" w:fill="auto"/>
            <w:vAlign w:val="center"/>
            <w:hideMark/>
          </w:tcPr>
          <w:p w14:paraId="585E2B0A"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Lehtësimi i kritereve dhe procedurave për certifikimin e veprimtarisë së agroturizmit dhe rritja e standardeve.</w:t>
            </w:r>
          </w:p>
        </w:tc>
        <w:tc>
          <w:tcPr>
            <w:tcW w:w="359" w:type="pct"/>
            <w:tcBorders>
              <w:top w:val="nil"/>
              <w:left w:val="nil"/>
              <w:bottom w:val="single" w:sz="4" w:space="0" w:color="auto"/>
              <w:right w:val="single" w:sz="4" w:space="0" w:color="auto"/>
            </w:tcBorders>
            <w:shd w:val="clear" w:color="auto" w:fill="auto"/>
            <w:vAlign w:val="center"/>
            <w:hideMark/>
          </w:tcPr>
          <w:p w14:paraId="2FA5F94C"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0D59AA3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000000" w:fill="FFFFFF"/>
            <w:vAlign w:val="center"/>
            <w:hideMark/>
          </w:tcPr>
          <w:p w14:paraId="43E385AD"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755" w:type="pct"/>
            <w:tcBorders>
              <w:top w:val="nil"/>
              <w:left w:val="nil"/>
              <w:bottom w:val="single" w:sz="4" w:space="0" w:color="auto"/>
              <w:right w:val="single" w:sz="4" w:space="0" w:color="auto"/>
            </w:tcBorders>
            <w:shd w:val="clear" w:color="auto" w:fill="auto"/>
            <w:vAlign w:val="center"/>
            <w:hideMark/>
          </w:tcPr>
          <w:p w14:paraId="0A8C1033"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7A93BFD1"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141EB8F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11</w:t>
            </w:r>
          </w:p>
        </w:tc>
        <w:tc>
          <w:tcPr>
            <w:tcW w:w="542" w:type="pct"/>
            <w:tcBorders>
              <w:top w:val="nil"/>
              <w:left w:val="nil"/>
              <w:bottom w:val="single" w:sz="4" w:space="0" w:color="auto"/>
              <w:right w:val="single" w:sz="4" w:space="0" w:color="auto"/>
            </w:tcBorders>
            <w:shd w:val="clear" w:color="auto" w:fill="auto"/>
            <w:vAlign w:val="center"/>
            <w:hideMark/>
          </w:tcPr>
          <w:p w14:paraId="79ABDDC2"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 93/2015 "Për turizmin"</w:t>
            </w:r>
          </w:p>
        </w:tc>
        <w:tc>
          <w:tcPr>
            <w:tcW w:w="401" w:type="pct"/>
            <w:tcBorders>
              <w:top w:val="nil"/>
              <w:left w:val="nil"/>
              <w:bottom w:val="single" w:sz="4" w:space="0" w:color="auto"/>
              <w:right w:val="single" w:sz="4" w:space="0" w:color="auto"/>
            </w:tcBorders>
            <w:shd w:val="clear" w:color="auto" w:fill="auto"/>
            <w:vAlign w:val="center"/>
            <w:hideMark/>
          </w:tcPr>
          <w:p w14:paraId="5167547C"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453" w:type="pct"/>
            <w:tcBorders>
              <w:top w:val="nil"/>
              <w:left w:val="nil"/>
              <w:bottom w:val="single" w:sz="4" w:space="0" w:color="auto"/>
              <w:right w:val="single" w:sz="4" w:space="0" w:color="auto"/>
            </w:tcBorders>
            <w:shd w:val="clear" w:color="000000" w:fill="FFFFFF"/>
            <w:vAlign w:val="center"/>
            <w:hideMark/>
          </w:tcPr>
          <w:p w14:paraId="0421006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011828DD"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16E44C6D"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Nenet 78 dhe 83, pika 1, të Kushtetutës. </w:t>
            </w:r>
          </w:p>
        </w:tc>
        <w:tc>
          <w:tcPr>
            <w:tcW w:w="617" w:type="pct"/>
            <w:tcBorders>
              <w:top w:val="nil"/>
              <w:left w:val="nil"/>
              <w:bottom w:val="single" w:sz="4" w:space="0" w:color="auto"/>
              <w:right w:val="single" w:sz="4" w:space="0" w:color="auto"/>
            </w:tcBorders>
            <w:shd w:val="clear" w:color="auto" w:fill="auto"/>
            <w:vAlign w:val="center"/>
            <w:hideMark/>
          </w:tcPr>
          <w:p w14:paraId="4F54B688"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Rritja e  konkurrencës dhe lehtësimi i qarkullimit rajonal të shërbimeve në fushën e turizmit.Në kuadër të aderimit të shtetit shqiptar në Marrëveshjen për Amendimin dhe Zgjerimin e Tregtisë së Lirë të Evropës Qendrore (CEFTA) nënshkruar me datë 19 dhjetor 2006, hyrë në fuqi me 26 korrik 2007 dhe Vendimit te Komitetit të Përbashkët të CEFTA-s  nr. 6/22024 “Për lehtësimin e tregtisë së shërbimeve të ofruara nga agjencitë dhe operatorët turistikë”, i miratuar më 9 tetor 2024, buron detyrimi për ndryshime në kuadrin ligjor të turizmit duke e integruar më tej Shqipërinë në tregun rajonal të CEFTA-s.</w:t>
            </w:r>
            <w:r w:rsidRPr="00B6793F">
              <w:rPr>
                <w:rFonts w:ascii="Arial" w:eastAsia="Times New Roman" w:hAnsi="Arial" w:cs="Arial"/>
                <w:color w:val="000000"/>
                <w:sz w:val="8"/>
                <w:szCs w:val="8"/>
                <w:lang w:eastAsia="sq-AL"/>
              </w:rPr>
              <w:br/>
              <w:t>Gjithashtu, në kuadër të integrimit të Republikës së Shqipërisë në Bashkimin Evropian (BE)  dhe hapjes së negociatave për grup kapitujt e Acquis të BE-së, konkretisht ne zbatim te Kapitullit 3, “E Drejta e Vendosjes dhe Liria për të Ofruar Shërbime” dhe Planit te tij te Veprimit, nëpërmjet eksperteve janë rekomanduar te bëhen ndryshime në kuadrin ligjor të  turizmit.</w:t>
            </w:r>
          </w:p>
        </w:tc>
        <w:tc>
          <w:tcPr>
            <w:tcW w:w="359" w:type="pct"/>
            <w:tcBorders>
              <w:top w:val="nil"/>
              <w:left w:val="nil"/>
              <w:bottom w:val="single" w:sz="4" w:space="0" w:color="auto"/>
              <w:right w:val="single" w:sz="4" w:space="0" w:color="auto"/>
            </w:tcBorders>
            <w:shd w:val="clear" w:color="auto" w:fill="auto"/>
            <w:vAlign w:val="center"/>
            <w:hideMark/>
          </w:tcPr>
          <w:p w14:paraId="7FEB68F0"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Po,kapitulli 3.</w:t>
            </w:r>
          </w:p>
        </w:tc>
        <w:tc>
          <w:tcPr>
            <w:tcW w:w="433" w:type="pct"/>
            <w:tcBorders>
              <w:top w:val="nil"/>
              <w:left w:val="nil"/>
              <w:bottom w:val="single" w:sz="4" w:space="0" w:color="auto"/>
              <w:right w:val="single" w:sz="4" w:space="0" w:color="auto"/>
            </w:tcBorders>
            <w:shd w:val="clear" w:color="000000" w:fill="FFFFFF"/>
            <w:vAlign w:val="center"/>
            <w:hideMark/>
          </w:tcPr>
          <w:p w14:paraId="0525CC8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auto" w:fill="auto"/>
            <w:vAlign w:val="center"/>
            <w:hideMark/>
          </w:tcPr>
          <w:p w14:paraId="16233A85"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2025–2030</w:t>
            </w:r>
          </w:p>
        </w:tc>
        <w:tc>
          <w:tcPr>
            <w:tcW w:w="755" w:type="pct"/>
            <w:tcBorders>
              <w:top w:val="nil"/>
              <w:left w:val="nil"/>
              <w:bottom w:val="single" w:sz="4" w:space="0" w:color="auto"/>
              <w:right w:val="single" w:sz="4" w:space="0" w:color="auto"/>
            </w:tcBorders>
            <w:shd w:val="clear" w:color="auto" w:fill="auto"/>
            <w:vAlign w:val="center"/>
            <w:hideMark/>
          </w:tcPr>
          <w:p w14:paraId="6088C8FF"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0856E774"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1132A552"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12</w:t>
            </w:r>
          </w:p>
        </w:tc>
        <w:tc>
          <w:tcPr>
            <w:tcW w:w="542" w:type="pct"/>
            <w:tcBorders>
              <w:top w:val="nil"/>
              <w:left w:val="nil"/>
              <w:bottom w:val="nil"/>
              <w:right w:val="nil"/>
            </w:tcBorders>
            <w:shd w:val="clear" w:color="auto" w:fill="auto"/>
            <w:vAlign w:val="center"/>
            <w:hideMark/>
          </w:tcPr>
          <w:p w14:paraId="5EFCFFF2"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vendimin nr. 710, datë 12.10.2016 “Për miratimin e rregullores “Për kërkesat dhe kriteret për ushtrimin e veprimtarisë së operatorit turistik”</w:t>
            </w:r>
          </w:p>
        </w:tc>
        <w:tc>
          <w:tcPr>
            <w:tcW w:w="401" w:type="pct"/>
            <w:tcBorders>
              <w:top w:val="nil"/>
              <w:left w:val="single" w:sz="4" w:space="0" w:color="auto"/>
              <w:bottom w:val="single" w:sz="4" w:space="0" w:color="auto"/>
              <w:right w:val="single" w:sz="4" w:space="0" w:color="auto"/>
            </w:tcBorders>
            <w:shd w:val="clear" w:color="000000" w:fill="FFFFFF"/>
            <w:vAlign w:val="center"/>
            <w:hideMark/>
          </w:tcPr>
          <w:p w14:paraId="2AF3D9D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67F9727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67A8F2C7"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5776BB4C"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Pika 3, të nenit 51, të ligjit nr. 93/2015, “Përturizmin” i ndryshuar.</w:t>
            </w:r>
          </w:p>
        </w:tc>
        <w:tc>
          <w:tcPr>
            <w:tcW w:w="617" w:type="pct"/>
            <w:tcBorders>
              <w:top w:val="nil"/>
              <w:left w:val="nil"/>
              <w:bottom w:val="single" w:sz="4" w:space="0" w:color="auto"/>
              <w:right w:val="single" w:sz="4" w:space="0" w:color="auto"/>
            </w:tcBorders>
            <w:shd w:val="clear" w:color="auto" w:fill="auto"/>
            <w:vAlign w:val="center"/>
            <w:hideMark/>
          </w:tcPr>
          <w:p w14:paraId="00FC27E2"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Rritja e  konkurrencës dhe lehtësimi i qarkullimit rajonal të shërbimeve te agjencive të udhëtimit dhe operatorëve turistik.Në vijim të ndryshimeve ligjore të ligjit të turizmit, në kuadër të aderimit në CEFTA dhe të integrimit në BE </w:t>
            </w:r>
          </w:p>
        </w:tc>
        <w:tc>
          <w:tcPr>
            <w:tcW w:w="359" w:type="pct"/>
            <w:tcBorders>
              <w:top w:val="nil"/>
              <w:left w:val="nil"/>
              <w:bottom w:val="single" w:sz="4" w:space="0" w:color="auto"/>
              <w:right w:val="single" w:sz="4" w:space="0" w:color="auto"/>
            </w:tcBorders>
            <w:shd w:val="clear" w:color="auto" w:fill="auto"/>
            <w:vAlign w:val="center"/>
            <w:hideMark/>
          </w:tcPr>
          <w:p w14:paraId="6492B156"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3.</w:t>
            </w:r>
          </w:p>
        </w:tc>
        <w:tc>
          <w:tcPr>
            <w:tcW w:w="433" w:type="pct"/>
            <w:tcBorders>
              <w:top w:val="nil"/>
              <w:left w:val="nil"/>
              <w:bottom w:val="single" w:sz="4" w:space="0" w:color="auto"/>
              <w:right w:val="single" w:sz="4" w:space="0" w:color="auto"/>
            </w:tcBorders>
            <w:shd w:val="clear" w:color="000000" w:fill="FFFFFF"/>
            <w:vAlign w:val="center"/>
            <w:hideMark/>
          </w:tcPr>
          <w:p w14:paraId="6AAA1ED6"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auto" w:fill="auto"/>
            <w:vAlign w:val="center"/>
            <w:hideMark/>
          </w:tcPr>
          <w:p w14:paraId="1B6DE0F2"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2025–2031</w:t>
            </w:r>
          </w:p>
        </w:tc>
        <w:tc>
          <w:tcPr>
            <w:tcW w:w="755" w:type="pct"/>
            <w:tcBorders>
              <w:top w:val="nil"/>
              <w:left w:val="nil"/>
              <w:bottom w:val="single" w:sz="4" w:space="0" w:color="auto"/>
              <w:right w:val="single" w:sz="4" w:space="0" w:color="auto"/>
            </w:tcBorders>
            <w:shd w:val="clear" w:color="auto" w:fill="auto"/>
            <w:vAlign w:val="center"/>
            <w:hideMark/>
          </w:tcPr>
          <w:p w14:paraId="615B584A"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56911EFF"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08F9F51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13</w:t>
            </w:r>
          </w:p>
        </w:tc>
        <w:tc>
          <w:tcPr>
            <w:tcW w:w="542" w:type="pct"/>
            <w:tcBorders>
              <w:top w:val="single" w:sz="4" w:space="0" w:color="auto"/>
              <w:left w:val="nil"/>
              <w:bottom w:val="single" w:sz="4" w:space="0" w:color="auto"/>
              <w:right w:val="single" w:sz="4" w:space="0" w:color="auto"/>
            </w:tcBorders>
            <w:shd w:val="clear" w:color="auto" w:fill="auto"/>
            <w:vAlign w:val="center"/>
            <w:hideMark/>
          </w:tcPr>
          <w:p w14:paraId="783BD2F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ndryshime në vendimin nr. 709, datë 12.10.2016 "Për miratimin e rregullores “Për kërkesat dhe kriteret për ushtrimin e veprimtarisë së agjencisë së udhëtimit”</w:t>
            </w:r>
          </w:p>
        </w:tc>
        <w:tc>
          <w:tcPr>
            <w:tcW w:w="401" w:type="pct"/>
            <w:tcBorders>
              <w:top w:val="nil"/>
              <w:left w:val="nil"/>
              <w:bottom w:val="single" w:sz="4" w:space="0" w:color="auto"/>
              <w:right w:val="single" w:sz="4" w:space="0" w:color="auto"/>
            </w:tcBorders>
            <w:shd w:val="clear" w:color="000000" w:fill="FFFFFF"/>
            <w:vAlign w:val="center"/>
            <w:hideMark/>
          </w:tcPr>
          <w:p w14:paraId="2A19FBC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41DC6F8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40AFB2BC"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2F68B994"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Pika 3, të nenit 48, të ligjit nr. 93/2015, “Përturizmin”, i ndryshuar</w:t>
            </w:r>
          </w:p>
        </w:tc>
        <w:tc>
          <w:tcPr>
            <w:tcW w:w="617" w:type="pct"/>
            <w:tcBorders>
              <w:top w:val="nil"/>
              <w:left w:val="nil"/>
              <w:bottom w:val="single" w:sz="4" w:space="0" w:color="auto"/>
              <w:right w:val="single" w:sz="4" w:space="0" w:color="auto"/>
            </w:tcBorders>
            <w:shd w:val="clear" w:color="auto" w:fill="auto"/>
            <w:vAlign w:val="center"/>
            <w:hideMark/>
          </w:tcPr>
          <w:p w14:paraId="5FA43017"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 vijim të ndryshimeve ligjore të ligjit të turizmit, në kuadër të aderimit në CEFTA dhe të integrimit në BE </w:t>
            </w:r>
            <w:r w:rsidRPr="00B6793F">
              <w:rPr>
                <w:rFonts w:ascii="Arial" w:eastAsia="Times New Roman" w:hAnsi="Arial" w:cs="Arial"/>
                <w:color w:val="000000"/>
                <w:sz w:val="8"/>
                <w:szCs w:val="8"/>
                <w:lang w:eastAsia="sq-AL"/>
              </w:rPr>
              <w:br/>
              <w:t>Rritja e  konkurrencës dhe lehtësimi i qarkullimit rajonal të shërbimeve te agjencive të udhëtimit dhe operatorëve turistik.</w:t>
            </w:r>
          </w:p>
        </w:tc>
        <w:tc>
          <w:tcPr>
            <w:tcW w:w="359" w:type="pct"/>
            <w:tcBorders>
              <w:top w:val="nil"/>
              <w:left w:val="nil"/>
              <w:bottom w:val="single" w:sz="4" w:space="0" w:color="auto"/>
              <w:right w:val="single" w:sz="4" w:space="0" w:color="auto"/>
            </w:tcBorders>
            <w:shd w:val="clear" w:color="auto" w:fill="auto"/>
            <w:vAlign w:val="center"/>
            <w:hideMark/>
          </w:tcPr>
          <w:p w14:paraId="38D5CD94"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3.</w:t>
            </w:r>
          </w:p>
        </w:tc>
        <w:tc>
          <w:tcPr>
            <w:tcW w:w="433" w:type="pct"/>
            <w:tcBorders>
              <w:top w:val="nil"/>
              <w:left w:val="nil"/>
              <w:bottom w:val="single" w:sz="4" w:space="0" w:color="auto"/>
              <w:right w:val="single" w:sz="4" w:space="0" w:color="auto"/>
            </w:tcBorders>
            <w:shd w:val="clear" w:color="000000" w:fill="FFFFFF"/>
            <w:vAlign w:val="center"/>
            <w:hideMark/>
          </w:tcPr>
          <w:p w14:paraId="7D3C7DD4"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auto" w:fill="auto"/>
            <w:vAlign w:val="center"/>
            <w:hideMark/>
          </w:tcPr>
          <w:p w14:paraId="14B430C5"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2025–2032</w:t>
            </w:r>
          </w:p>
        </w:tc>
        <w:tc>
          <w:tcPr>
            <w:tcW w:w="755" w:type="pct"/>
            <w:tcBorders>
              <w:top w:val="nil"/>
              <w:left w:val="nil"/>
              <w:bottom w:val="single" w:sz="4" w:space="0" w:color="auto"/>
              <w:right w:val="single" w:sz="4" w:space="0" w:color="auto"/>
            </w:tcBorders>
            <w:shd w:val="clear" w:color="auto" w:fill="auto"/>
            <w:vAlign w:val="center"/>
            <w:hideMark/>
          </w:tcPr>
          <w:p w14:paraId="5FBFA7B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1C4D2C5F"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185EF37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14</w:t>
            </w:r>
          </w:p>
        </w:tc>
        <w:tc>
          <w:tcPr>
            <w:tcW w:w="542" w:type="pct"/>
            <w:tcBorders>
              <w:top w:val="nil"/>
              <w:left w:val="nil"/>
              <w:bottom w:val="single" w:sz="4" w:space="0" w:color="auto"/>
              <w:right w:val="single" w:sz="4" w:space="0" w:color="auto"/>
            </w:tcBorders>
            <w:shd w:val="clear" w:color="auto" w:fill="auto"/>
            <w:vAlign w:val="center"/>
            <w:hideMark/>
          </w:tcPr>
          <w:p w14:paraId="0DAF7D2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ndryshime në vendimin nr. 845, datë 28.10.2020 "Për miratimin e rregullave të hollësishme për zhvillimin e aktiviteteve turistike detare, që kryhen nëpërmjet mjeteve lundruese për qëllime turistike dhe argëtimi"</w:t>
            </w:r>
          </w:p>
        </w:tc>
        <w:tc>
          <w:tcPr>
            <w:tcW w:w="401" w:type="pct"/>
            <w:tcBorders>
              <w:top w:val="nil"/>
              <w:left w:val="nil"/>
              <w:bottom w:val="single" w:sz="4" w:space="0" w:color="auto"/>
              <w:right w:val="single" w:sz="4" w:space="0" w:color="auto"/>
            </w:tcBorders>
            <w:shd w:val="clear" w:color="000000" w:fill="FFFFFF"/>
            <w:vAlign w:val="center"/>
            <w:hideMark/>
          </w:tcPr>
          <w:p w14:paraId="2061990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5B38D3D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2E24F78A"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5B3947B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Pika 2, të nenit 4, të ligjit nr. 43/2020, “Përaktivitetet e turizmit detar”, të ndryshuar</w:t>
            </w:r>
          </w:p>
        </w:tc>
        <w:tc>
          <w:tcPr>
            <w:tcW w:w="617" w:type="pct"/>
            <w:tcBorders>
              <w:top w:val="nil"/>
              <w:left w:val="nil"/>
              <w:bottom w:val="single" w:sz="4" w:space="0" w:color="auto"/>
              <w:right w:val="single" w:sz="4" w:space="0" w:color="auto"/>
            </w:tcBorders>
            <w:shd w:val="clear" w:color="auto" w:fill="auto"/>
            <w:vAlign w:val="center"/>
            <w:hideMark/>
          </w:tcPr>
          <w:p w14:paraId="3F8033FB" w14:textId="77777777" w:rsidR="008A575E" w:rsidRPr="00B6793F" w:rsidRDefault="008A575E" w:rsidP="008A575E">
            <w:pPr>
              <w:spacing w:after="24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Në kuadër të ndryshimeve të propozuara nga procesi "Screening" mbi integrimin e Shqipërisë  në BE, në lidhje me Kapitullin 3.</w:t>
            </w:r>
            <w:r w:rsidRPr="00B6793F">
              <w:rPr>
                <w:rFonts w:ascii="Arial" w:eastAsia="Times New Roman" w:hAnsi="Arial" w:cs="Arial"/>
                <w:color w:val="000000"/>
                <w:sz w:val="8"/>
                <w:szCs w:val="8"/>
                <w:lang w:eastAsia="sq-AL"/>
              </w:rPr>
              <w:br/>
              <w:t xml:space="preserve">Përshtatja e VKM-së, në një mënyrë që kriteret dhe kushtet e nevojshme për fitimin e certifikatës së "udhëheqësit të restorantit" të jenë të qarta dhe të padiskutueshme, të bëhen publike paraprakisht dhe të jenë transparente dhe të arritshme.                                          </w:t>
            </w:r>
            <w:r w:rsidRPr="00B6793F">
              <w:rPr>
                <w:rFonts w:ascii="Arial" w:eastAsia="Times New Roman" w:hAnsi="Arial" w:cs="Arial"/>
                <w:color w:val="000000"/>
                <w:sz w:val="8"/>
                <w:szCs w:val="8"/>
                <w:lang w:eastAsia="sq-AL"/>
              </w:rPr>
              <w:br/>
              <w:t xml:space="preserve"> Përcaktimi i qartë i njohjes se një garancie ekuivalente të lëshuar nga një bankë ose kompani sigurimi me seli në një shtet anëtar të BE-së ose EEA-së për operatorin e turizmit detar.</w:t>
            </w:r>
          </w:p>
        </w:tc>
        <w:tc>
          <w:tcPr>
            <w:tcW w:w="359" w:type="pct"/>
            <w:tcBorders>
              <w:top w:val="nil"/>
              <w:left w:val="nil"/>
              <w:bottom w:val="single" w:sz="4" w:space="0" w:color="auto"/>
              <w:right w:val="single" w:sz="4" w:space="0" w:color="auto"/>
            </w:tcBorders>
            <w:shd w:val="clear" w:color="auto" w:fill="auto"/>
            <w:vAlign w:val="center"/>
            <w:hideMark/>
          </w:tcPr>
          <w:p w14:paraId="3457067E"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3.</w:t>
            </w:r>
          </w:p>
        </w:tc>
        <w:tc>
          <w:tcPr>
            <w:tcW w:w="433" w:type="pct"/>
            <w:tcBorders>
              <w:top w:val="nil"/>
              <w:left w:val="nil"/>
              <w:bottom w:val="single" w:sz="4" w:space="0" w:color="auto"/>
              <w:right w:val="single" w:sz="4" w:space="0" w:color="auto"/>
            </w:tcBorders>
            <w:shd w:val="clear" w:color="000000" w:fill="FFFFFF"/>
            <w:vAlign w:val="center"/>
            <w:hideMark/>
          </w:tcPr>
          <w:p w14:paraId="09A0CF3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Rritja ekonomike e qendrueshme</w:t>
            </w:r>
          </w:p>
        </w:tc>
        <w:tc>
          <w:tcPr>
            <w:tcW w:w="367" w:type="pct"/>
            <w:tcBorders>
              <w:top w:val="nil"/>
              <w:left w:val="nil"/>
              <w:bottom w:val="single" w:sz="4" w:space="0" w:color="auto"/>
              <w:right w:val="single" w:sz="4" w:space="0" w:color="auto"/>
            </w:tcBorders>
            <w:shd w:val="clear" w:color="auto" w:fill="auto"/>
            <w:vAlign w:val="center"/>
            <w:hideMark/>
          </w:tcPr>
          <w:p w14:paraId="793B2B3A"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2025–2033</w:t>
            </w:r>
          </w:p>
        </w:tc>
        <w:tc>
          <w:tcPr>
            <w:tcW w:w="755" w:type="pct"/>
            <w:tcBorders>
              <w:top w:val="nil"/>
              <w:left w:val="nil"/>
              <w:bottom w:val="single" w:sz="4" w:space="0" w:color="auto"/>
              <w:right w:val="single" w:sz="4" w:space="0" w:color="auto"/>
            </w:tcBorders>
            <w:shd w:val="clear" w:color="auto" w:fill="auto"/>
            <w:vAlign w:val="center"/>
            <w:hideMark/>
          </w:tcPr>
          <w:p w14:paraId="6DF648A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790B166F"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57ABF0E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15</w:t>
            </w:r>
          </w:p>
        </w:tc>
        <w:tc>
          <w:tcPr>
            <w:tcW w:w="542" w:type="pct"/>
            <w:tcBorders>
              <w:top w:val="nil"/>
              <w:left w:val="nil"/>
              <w:bottom w:val="single" w:sz="4" w:space="0" w:color="auto"/>
              <w:right w:val="single" w:sz="4" w:space="0" w:color="auto"/>
            </w:tcBorders>
            <w:shd w:val="clear" w:color="auto" w:fill="auto"/>
            <w:vAlign w:val="center"/>
            <w:hideMark/>
          </w:tcPr>
          <w:p w14:paraId="7A46D20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Mbi paketat e udhëtimit</w:t>
            </w:r>
          </w:p>
        </w:tc>
        <w:tc>
          <w:tcPr>
            <w:tcW w:w="401" w:type="pct"/>
            <w:tcBorders>
              <w:top w:val="nil"/>
              <w:left w:val="nil"/>
              <w:bottom w:val="single" w:sz="4" w:space="0" w:color="auto"/>
              <w:right w:val="single" w:sz="4" w:space="0" w:color="auto"/>
            </w:tcBorders>
            <w:shd w:val="clear" w:color="000000" w:fill="FFFFFF"/>
            <w:vAlign w:val="center"/>
            <w:hideMark/>
          </w:tcPr>
          <w:p w14:paraId="09F4EC4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141A2D0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4B3D2979"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046CE3F2"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kuadër të harmonizimit të legjislacionit shqiptar mbi paketat e udhëtimit me Direktiven (EU) 2015/2302 , derivon nga ligji "Per mbrojtjen e konsumatorit", dhe do te jete bashkepropozim me MEI</w:t>
            </w:r>
          </w:p>
        </w:tc>
        <w:tc>
          <w:tcPr>
            <w:tcW w:w="617" w:type="pct"/>
            <w:tcBorders>
              <w:top w:val="nil"/>
              <w:left w:val="nil"/>
              <w:bottom w:val="single" w:sz="4" w:space="0" w:color="auto"/>
              <w:right w:val="single" w:sz="4" w:space="0" w:color="auto"/>
            </w:tcBorders>
            <w:shd w:val="clear" w:color="auto" w:fill="auto"/>
            <w:vAlign w:val="center"/>
            <w:hideMark/>
          </w:tcPr>
          <w:p w14:paraId="60717E59"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Direktiva për Paketat e Udhëtimit (konkretisht Direktiva (BE) 2015/2302) është një ligj i BE-së që mbron konsumatorët që blejnë Paketat e Udhëtimit ose proceset e udhëtimi të lidhura me të. Gjithashtu siguron një nivel të lartë mbrojtjeje të konsumatorit duke vendosur të drejta dhe detyrime të qarta si për udhëtarët ashtu edhe për organizatorët e udhëtimeve.</w:t>
            </w:r>
          </w:p>
        </w:tc>
        <w:tc>
          <w:tcPr>
            <w:tcW w:w="359" w:type="pct"/>
            <w:tcBorders>
              <w:top w:val="nil"/>
              <w:left w:val="nil"/>
              <w:bottom w:val="single" w:sz="4" w:space="0" w:color="auto"/>
              <w:right w:val="single" w:sz="4" w:space="0" w:color="auto"/>
            </w:tcBorders>
            <w:shd w:val="clear" w:color="auto" w:fill="auto"/>
            <w:vAlign w:val="center"/>
            <w:hideMark/>
          </w:tcPr>
          <w:p w14:paraId="7D090873"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28.</w:t>
            </w:r>
          </w:p>
        </w:tc>
        <w:tc>
          <w:tcPr>
            <w:tcW w:w="433" w:type="pct"/>
            <w:tcBorders>
              <w:top w:val="nil"/>
              <w:left w:val="nil"/>
              <w:bottom w:val="single" w:sz="4" w:space="0" w:color="auto"/>
              <w:right w:val="single" w:sz="4" w:space="0" w:color="auto"/>
            </w:tcBorders>
            <w:shd w:val="clear" w:color="000000" w:fill="FFFFFF"/>
            <w:vAlign w:val="center"/>
            <w:hideMark/>
          </w:tcPr>
          <w:p w14:paraId="5E962819"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Shqiperia europiane</w:t>
            </w:r>
          </w:p>
        </w:tc>
        <w:tc>
          <w:tcPr>
            <w:tcW w:w="367" w:type="pct"/>
            <w:tcBorders>
              <w:top w:val="nil"/>
              <w:left w:val="nil"/>
              <w:bottom w:val="single" w:sz="4" w:space="0" w:color="auto"/>
              <w:right w:val="single" w:sz="4" w:space="0" w:color="auto"/>
            </w:tcBorders>
            <w:shd w:val="clear" w:color="auto" w:fill="auto"/>
            <w:vAlign w:val="center"/>
            <w:hideMark/>
          </w:tcPr>
          <w:p w14:paraId="418D3EE5"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për Zhvillimin e</w:t>
            </w:r>
            <w:r w:rsidRPr="00B6793F">
              <w:rPr>
                <w:rFonts w:ascii="Arial" w:eastAsia="Times New Roman" w:hAnsi="Arial" w:cs="Arial"/>
                <w:color w:val="000000"/>
                <w:sz w:val="8"/>
                <w:szCs w:val="8"/>
                <w:lang w:eastAsia="sq-AL"/>
              </w:rPr>
              <w:br/>
              <w:t>Turizmit 2025–2034</w:t>
            </w:r>
          </w:p>
        </w:tc>
        <w:tc>
          <w:tcPr>
            <w:tcW w:w="755" w:type="pct"/>
            <w:tcBorders>
              <w:top w:val="nil"/>
              <w:left w:val="nil"/>
              <w:bottom w:val="single" w:sz="4" w:space="0" w:color="auto"/>
              <w:right w:val="single" w:sz="4" w:space="0" w:color="auto"/>
            </w:tcBorders>
            <w:shd w:val="clear" w:color="auto" w:fill="auto"/>
            <w:vAlign w:val="center"/>
            <w:hideMark/>
          </w:tcPr>
          <w:p w14:paraId="62B29BAD"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7A612C0D"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3968915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16</w:t>
            </w:r>
          </w:p>
        </w:tc>
        <w:tc>
          <w:tcPr>
            <w:tcW w:w="542" w:type="pct"/>
            <w:tcBorders>
              <w:top w:val="nil"/>
              <w:left w:val="nil"/>
              <w:bottom w:val="single" w:sz="4" w:space="0" w:color="auto"/>
              <w:right w:val="single" w:sz="4" w:space="0" w:color="auto"/>
            </w:tcBorders>
            <w:shd w:val="clear" w:color="auto" w:fill="auto"/>
            <w:vAlign w:val="center"/>
            <w:hideMark/>
          </w:tcPr>
          <w:p w14:paraId="7B9BA6F7"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Ndryshimi i Ligjit "Për Artin dhe Kulturën"</w:t>
            </w:r>
          </w:p>
        </w:tc>
        <w:tc>
          <w:tcPr>
            <w:tcW w:w="401" w:type="pct"/>
            <w:tcBorders>
              <w:top w:val="nil"/>
              <w:left w:val="nil"/>
              <w:bottom w:val="single" w:sz="4" w:space="0" w:color="auto"/>
              <w:right w:val="single" w:sz="4" w:space="0" w:color="auto"/>
            </w:tcBorders>
            <w:shd w:val="clear" w:color="auto" w:fill="auto"/>
            <w:noWrap/>
            <w:vAlign w:val="center"/>
            <w:hideMark/>
          </w:tcPr>
          <w:p w14:paraId="1D614A1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453" w:type="pct"/>
            <w:tcBorders>
              <w:top w:val="nil"/>
              <w:left w:val="nil"/>
              <w:bottom w:val="single" w:sz="4" w:space="0" w:color="auto"/>
              <w:right w:val="single" w:sz="4" w:space="0" w:color="auto"/>
            </w:tcBorders>
            <w:shd w:val="clear" w:color="000000" w:fill="FFFFFF"/>
            <w:vAlign w:val="center"/>
            <w:hideMark/>
          </w:tcPr>
          <w:p w14:paraId="38633D3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5230A5BF"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2F537BC3"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Nenet 78 dhe 83 pika 1 të Kushtetutës</w:t>
            </w:r>
          </w:p>
        </w:tc>
        <w:tc>
          <w:tcPr>
            <w:tcW w:w="617" w:type="pct"/>
            <w:tcBorders>
              <w:top w:val="nil"/>
              <w:left w:val="nil"/>
              <w:bottom w:val="single" w:sz="4" w:space="0" w:color="auto"/>
              <w:right w:val="single" w:sz="4" w:space="0" w:color="auto"/>
            </w:tcBorders>
            <w:shd w:val="clear" w:color="auto" w:fill="auto"/>
            <w:vAlign w:val="center"/>
            <w:hideMark/>
          </w:tcPr>
          <w:p w14:paraId="30BFA67B"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Ndryshimet do të jenë konkretisht në lidhje me tatimin në burim per artistet, financimin e Art në Hapësira Publike, vendosjen e tarifave të cilësisë artistike, masa e shperblimit për rezultate të larta ndërkombëtare, etj. Ligji Nr. 10352, dt.18.11.2010 "Për artin dhe kulturën" duhet të pësojë ndryshime rrënjësore. Përsa I përket Sektorit të Teatrit duhen ndryshime konkrete veçanërisht në </w:t>
            </w:r>
            <w:r w:rsidRPr="00B6793F">
              <w:rPr>
                <w:rFonts w:ascii="Arial" w:eastAsia="Times New Roman" w:hAnsi="Arial" w:cs="Arial"/>
                <w:color w:val="000000"/>
                <w:sz w:val="8"/>
                <w:szCs w:val="8"/>
                <w:lang w:eastAsia="sq-AL"/>
              </w:rPr>
              <w:lastRenderedPageBreak/>
              <w:t>ndarjen e detyrave mes Bordit Artistik dhe Ttitullarit të Institucionit.</w:t>
            </w:r>
          </w:p>
        </w:tc>
        <w:tc>
          <w:tcPr>
            <w:tcW w:w="359" w:type="pct"/>
            <w:tcBorders>
              <w:top w:val="nil"/>
              <w:left w:val="nil"/>
              <w:bottom w:val="single" w:sz="4" w:space="0" w:color="auto"/>
              <w:right w:val="single" w:sz="4" w:space="0" w:color="auto"/>
            </w:tcBorders>
            <w:shd w:val="clear" w:color="auto" w:fill="auto"/>
            <w:vAlign w:val="center"/>
            <w:hideMark/>
          </w:tcPr>
          <w:p w14:paraId="436290D4"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lastRenderedPageBreak/>
              <w:t>Kap.26 "Arsimi dhe Kultura"</w:t>
            </w:r>
          </w:p>
        </w:tc>
        <w:tc>
          <w:tcPr>
            <w:tcW w:w="433" w:type="pct"/>
            <w:tcBorders>
              <w:top w:val="nil"/>
              <w:left w:val="nil"/>
              <w:bottom w:val="single" w:sz="4" w:space="0" w:color="auto"/>
              <w:right w:val="single" w:sz="4" w:space="0" w:color="auto"/>
            </w:tcBorders>
            <w:shd w:val="clear" w:color="000000" w:fill="FFFFFF"/>
            <w:vAlign w:val="center"/>
            <w:hideMark/>
          </w:tcPr>
          <w:p w14:paraId="375AEE2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Shqiperia europiane</w:t>
            </w:r>
          </w:p>
        </w:tc>
        <w:tc>
          <w:tcPr>
            <w:tcW w:w="367" w:type="pct"/>
            <w:tcBorders>
              <w:top w:val="nil"/>
              <w:left w:val="nil"/>
              <w:bottom w:val="single" w:sz="4" w:space="0" w:color="auto"/>
              <w:right w:val="single" w:sz="4" w:space="0" w:color="auto"/>
            </w:tcBorders>
            <w:shd w:val="clear" w:color="auto" w:fill="auto"/>
            <w:vAlign w:val="center"/>
            <w:hideMark/>
          </w:tcPr>
          <w:p w14:paraId="36703A65"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Kombëtare e Kulturës 2019-2025 si dhe 2026-2030</w:t>
            </w:r>
          </w:p>
        </w:tc>
        <w:tc>
          <w:tcPr>
            <w:tcW w:w="755" w:type="pct"/>
            <w:tcBorders>
              <w:top w:val="nil"/>
              <w:left w:val="nil"/>
              <w:bottom w:val="single" w:sz="4" w:space="0" w:color="auto"/>
              <w:right w:val="single" w:sz="4" w:space="0" w:color="auto"/>
            </w:tcBorders>
            <w:shd w:val="clear" w:color="auto" w:fill="auto"/>
            <w:vAlign w:val="center"/>
            <w:hideMark/>
          </w:tcPr>
          <w:p w14:paraId="0A7D0CD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r>
      <w:tr w:rsidR="008A575E" w:rsidRPr="00B6793F" w14:paraId="4420049D"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7CE3DA2B"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17</w:t>
            </w:r>
          </w:p>
        </w:tc>
        <w:tc>
          <w:tcPr>
            <w:tcW w:w="542" w:type="pct"/>
            <w:tcBorders>
              <w:top w:val="nil"/>
              <w:left w:val="nil"/>
              <w:bottom w:val="single" w:sz="4" w:space="0" w:color="auto"/>
              <w:right w:val="single" w:sz="4" w:space="0" w:color="auto"/>
            </w:tcBorders>
            <w:shd w:val="clear" w:color="auto" w:fill="auto"/>
            <w:vAlign w:val="center"/>
            <w:hideMark/>
          </w:tcPr>
          <w:p w14:paraId="4C358FBE"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Ndryshimi i Ligjit te Kinematografise</w:t>
            </w:r>
          </w:p>
        </w:tc>
        <w:tc>
          <w:tcPr>
            <w:tcW w:w="401" w:type="pct"/>
            <w:tcBorders>
              <w:top w:val="nil"/>
              <w:left w:val="nil"/>
              <w:bottom w:val="single" w:sz="4" w:space="0" w:color="auto"/>
              <w:right w:val="single" w:sz="4" w:space="0" w:color="auto"/>
            </w:tcBorders>
            <w:shd w:val="clear" w:color="auto" w:fill="auto"/>
            <w:noWrap/>
            <w:vAlign w:val="center"/>
            <w:hideMark/>
          </w:tcPr>
          <w:p w14:paraId="3DD84A0F"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453" w:type="pct"/>
            <w:tcBorders>
              <w:top w:val="nil"/>
              <w:left w:val="nil"/>
              <w:bottom w:val="single" w:sz="4" w:space="0" w:color="auto"/>
              <w:right w:val="single" w:sz="4" w:space="0" w:color="auto"/>
            </w:tcBorders>
            <w:shd w:val="clear" w:color="000000" w:fill="FFFFFF"/>
            <w:vAlign w:val="center"/>
            <w:hideMark/>
          </w:tcPr>
          <w:p w14:paraId="2D9DF9B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2081BA46"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auto" w:fill="auto"/>
            <w:vAlign w:val="center"/>
            <w:hideMark/>
          </w:tcPr>
          <w:p w14:paraId="2BD3CC46"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Nenet 78 dhe 83 pika 1 të Kushtetutës</w:t>
            </w:r>
          </w:p>
        </w:tc>
        <w:tc>
          <w:tcPr>
            <w:tcW w:w="617" w:type="pct"/>
            <w:tcBorders>
              <w:top w:val="nil"/>
              <w:left w:val="nil"/>
              <w:bottom w:val="single" w:sz="4" w:space="0" w:color="auto"/>
              <w:right w:val="single" w:sz="4" w:space="0" w:color="auto"/>
            </w:tcBorders>
            <w:shd w:val="clear" w:color="auto" w:fill="auto"/>
            <w:vAlign w:val="center"/>
            <w:hideMark/>
          </w:tcPr>
          <w:p w14:paraId="77505FC9"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Përmirësimin e mekanizmave të financimit dhe forcimin e transparencës institucionale;</w:t>
            </w:r>
            <w:r w:rsidRPr="00B6793F">
              <w:rPr>
                <w:rFonts w:ascii="Arial" w:eastAsia="Times New Roman" w:hAnsi="Arial" w:cs="Arial"/>
                <w:color w:val="000000"/>
                <w:sz w:val="8"/>
                <w:szCs w:val="8"/>
                <w:lang w:eastAsia="sq-AL"/>
              </w:rPr>
              <w:br/>
              <w:t>Modernizimin e strukturave të menaxhimit dhe promovimit të sektorit;</w:t>
            </w:r>
            <w:r w:rsidRPr="00B6793F">
              <w:rPr>
                <w:rFonts w:ascii="Arial" w:eastAsia="Times New Roman" w:hAnsi="Arial" w:cs="Arial"/>
                <w:color w:val="000000"/>
                <w:sz w:val="8"/>
                <w:szCs w:val="8"/>
                <w:lang w:eastAsia="sq-AL"/>
              </w:rPr>
              <w:br/>
              <w:t>Rregullimin e marrëdhënieve ndërmjet institucioneve publike dhe operatorëve privatë;  Nxitjen e bashkëprodhimeve dhe të investimeve të huaja në industrinë audiovizuale;</w:t>
            </w:r>
            <w:r w:rsidRPr="00B6793F">
              <w:rPr>
                <w:rFonts w:ascii="Arial" w:eastAsia="Times New Roman" w:hAnsi="Arial" w:cs="Arial"/>
                <w:color w:val="000000"/>
                <w:sz w:val="8"/>
                <w:szCs w:val="8"/>
                <w:lang w:eastAsia="sq-AL"/>
              </w:rPr>
              <w:br/>
              <w:t>Integrimin e standardeve evropiane dhe dixhitalizimin e proceseve të prodhimit dhe shpërndarjes së përmbajtjeve;</w:t>
            </w:r>
            <w:r w:rsidRPr="00B6793F">
              <w:rPr>
                <w:rFonts w:ascii="Arial" w:eastAsia="Times New Roman" w:hAnsi="Arial" w:cs="Arial"/>
                <w:color w:val="000000"/>
                <w:sz w:val="8"/>
                <w:szCs w:val="8"/>
                <w:lang w:eastAsia="sq-AL"/>
              </w:rPr>
              <w:br/>
              <w:t>Forcimin e mekanizmave për edukimin profesional dhe zhvillimin e kapaciteteve njerëzore në industri;</w:t>
            </w:r>
            <w:r w:rsidRPr="00B6793F">
              <w:rPr>
                <w:rFonts w:ascii="Arial" w:eastAsia="Times New Roman" w:hAnsi="Arial" w:cs="Arial"/>
                <w:color w:val="000000"/>
                <w:sz w:val="8"/>
                <w:szCs w:val="8"/>
                <w:lang w:eastAsia="sq-AL"/>
              </w:rPr>
              <w:br/>
              <w:t>Krijimin e incentivave fiskale dhe përfshirjen e mekanizmave të sponsorizimeve në mbështetje të industrisë;</w:t>
            </w:r>
            <w:r w:rsidRPr="00B6793F">
              <w:rPr>
                <w:rFonts w:ascii="Arial" w:eastAsia="Times New Roman" w:hAnsi="Arial" w:cs="Arial"/>
                <w:color w:val="000000"/>
                <w:sz w:val="8"/>
                <w:szCs w:val="8"/>
                <w:lang w:eastAsia="sq-AL"/>
              </w:rPr>
              <w:br/>
              <w:t>Diversifikimin e portofolit të prodhimeve audiovizuale në nivel kombëtar dhe ndërkombëtar;</w:t>
            </w:r>
            <w:r w:rsidRPr="00B6793F">
              <w:rPr>
                <w:rFonts w:ascii="Arial" w:eastAsia="Times New Roman" w:hAnsi="Arial" w:cs="Arial"/>
                <w:color w:val="000000"/>
                <w:sz w:val="8"/>
                <w:szCs w:val="8"/>
                <w:lang w:eastAsia="sq-AL"/>
              </w:rPr>
              <w:br/>
              <w:t>Përcaktimin e statusit të Krijuesit dhe Kineastit, si dhe rregullimin e të drejtave profesionale e sociale të tyre;</w:t>
            </w:r>
            <w:r w:rsidRPr="00B6793F">
              <w:rPr>
                <w:rFonts w:ascii="Arial" w:eastAsia="Times New Roman" w:hAnsi="Arial" w:cs="Arial"/>
                <w:color w:val="000000"/>
                <w:sz w:val="8"/>
                <w:szCs w:val="8"/>
                <w:lang w:eastAsia="sq-AL"/>
              </w:rPr>
              <w:br/>
              <w:t>Rrjetëzimin e sallave të kinemave në rang kombëtar, për të garantuar shpërndarje të barabartë të përmbajtjeve filmike;</w:t>
            </w:r>
            <w:r w:rsidRPr="00B6793F">
              <w:rPr>
                <w:rFonts w:ascii="Arial" w:eastAsia="Times New Roman" w:hAnsi="Arial" w:cs="Arial"/>
                <w:color w:val="000000"/>
                <w:sz w:val="8"/>
                <w:szCs w:val="8"/>
                <w:lang w:eastAsia="sq-AL"/>
              </w:rPr>
              <w:br/>
              <w:t>Përcaktimin e statusit të veçantë për artistët me reputacion ndërkombëtar që përfitojnë shtetësinë shqiptare;</w:t>
            </w:r>
            <w:r w:rsidRPr="00B6793F">
              <w:rPr>
                <w:rFonts w:ascii="Arial" w:eastAsia="Times New Roman" w:hAnsi="Arial" w:cs="Arial"/>
                <w:color w:val="000000"/>
                <w:sz w:val="8"/>
                <w:szCs w:val="8"/>
                <w:lang w:eastAsia="sq-AL"/>
              </w:rPr>
              <w:br/>
              <w:t>Rikonceptimin e hapësirave publike në funksion të zhvillimit të industrisë audiovizuale;</w:t>
            </w:r>
            <w:r w:rsidRPr="00B6793F">
              <w:rPr>
                <w:rFonts w:ascii="Arial" w:eastAsia="Times New Roman" w:hAnsi="Arial" w:cs="Arial"/>
                <w:color w:val="000000"/>
                <w:sz w:val="8"/>
                <w:szCs w:val="8"/>
                <w:lang w:eastAsia="sq-AL"/>
              </w:rPr>
              <w:br/>
              <w:t>Ristrukturimin e institucionit përgjegjës, nga “Qendër” në “Agjenci”, me qëllim rritjen e efikasitetit, autonomisë funksionale dhe bashkërendimit me politikat kombëtare për industrinë kreative dhe audiovizuale.</w:t>
            </w:r>
          </w:p>
        </w:tc>
        <w:tc>
          <w:tcPr>
            <w:tcW w:w="359" w:type="pct"/>
            <w:tcBorders>
              <w:top w:val="nil"/>
              <w:left w:val="nil"/>
              <w:bottom w:val="single" w:sz="4" w:space="0" w:color="auto"/>
              <w:right w:val="single" w:sz="4" w:space="0" w:color="auto"/>
            </w:tcBorders>
            <w:shd w:val="clear" w:color="auto" w:fill="auto"/>
            <w:vAlign w:val="center"/>
            <w:hideMark/>
          </w:tcPr>
          <w:p w14:paraId="6177915C"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33" w:type="pct"/>
            <w:tcBorders>
              <w:top w:val="nil"/>
              <w:left w:val="nil"/>
              <w:bottom w:val="single" w:sz="4" w:space="0" w:color="auto"/>
              <w:right w:val="single" w:sz="4" w:space="0" w:color="auto"/>
            </w:tcBorders>
            <w:shd w:val="clear" w:color="auto" w:fill="auto"/>
            <w:vAlign w:val="center"/>
            <w:hideMark/>
          </w:tcPr>
          <w:p w14:paraId="431073A1"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67" w:type="pct"/>
            <w:tcBorders>
              <w:top w:val="nil"/>
              <w:left w:val="nil"/>
              <w:bottom w:val="single" w:sz="4" w:space="0" w:color="auto"/>
              <w:right w:val="single" w:sz="4" w:space="0" w:color="auto"/>
            </w:tcBorders>
            <w:shd w:val="clear" w:color="auto" w:fill="auto"/>
            <w:vAlign w:val="center"/>
            <w:hideMark/>
          </w:tcPr>
          <w:p w14:paraId="6930AEF8"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Kulturës 2019-2025 si dhe 2026-2030</w:t>
            </w:r>
          </w:p>
        </w:tc>
        <w:tc>
          <w:tcPr>
            <w:tcW w:w="755" w:type="pct"/>
            <w:tcBorders>
              <w:top w:val="nil"/>
              <w:left w:val="nil"/>
              <w:bottom w:val="single" w:sz="4" w:space="0" w:color="auto"/>
              <w:right w:val="single" w:sz="4" w:space="0" w:color="auto"/>
            </w:tcBorders>
            <w:shd w:val="clear" w:color="auto" w:fill="auto"/>
            <w:vAlign w:val="center"/>
            <w:hideMark/>
          </w:tcPr>
          <w:p w14:paraId="0BB544E0"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A575E" w:rsidRPr="00B6793F" w14:paraId="4BBA57F1" w14:textId="77777777" w:rsidTr="008A575E">
        <w:trPr>
          <w:trHeight w:val="180"/>
          <w:jc w:val="center"/>
        </w:trPr>
        <w:tc>
          <w:tcPr>
            <w:tcW w:w="179" w:type="pct"/>
            <w:tcBorders>
              <w:top w:val="nil"/>
              <w:left w:val="single" w:sz="4" w:space="0" w:color="auto"/>
              <w:bottom w:val="single" w:sz="4" w:space="0" w:color="auto"/>
              <w:right w:val="single" w:sz="4" w:space="0" w:color="auto"/>
            </w:tcBorders>
            <w:shd w:val="clear" w:color="000000" w:fill="FFFFFF"/>
            <w:vAlign w:val="center"/>
            <w:hideMark/>
          </w:tcPr>
          <w:p w14:paraId="1B5DE091"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18</w:t>
            </w:r>
          </w:p>
        </w:tc>
        <w:tc>
          <w:tcPr>
            <w:tcW w:w="542" w:type="pct"/>
            <w:tcBorders>
              <w:top w:val="nil"/>
              <w:left w:val="nil"/>
              <w:bottom w:val="single" w:sz="4" w:space="0" w:color="auto"/>
              <w:right w:val="single" w:sz="4" w:space="0" w:color="auto"/>
            </w:tcBorders>
            <w:shd w:val="clear" w:color="000000" w:fill="FFFFFF"/>
            <w:vAlign w:val="center"/>
            <w:hideMark/>
          </w:tcPr>
          <w:p w14:paraId="7B7CD2DE"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shpalljen e qendrës historike të fshatit Vuno dhe miratimin e rregullores për administrimin e saj e të zonës së mbrojtur përreth" </w:t>
            </w:r>
          </w:p>
        </w:tc>
        <w:tc>
          <w:tcPr>
            <w:tcW w:w="401" w:type="pct"/>
            <w:tcBorders>
              <w:top w:val="nil"/>
              <w:left w:val="nil"/>
              <w:bottom w:val="single" w:sz="4" w:space="0" w:color="auto"/>
              <w:right w:val="single" w:sz="4" w:space="0" w:color="auto"/>
            </w:tcBorders>
            <w:shd w:val="clear" w:color="000000" w:fill="FFFFFF"/>
            <w:vAlign w:val="center"/>
            <w:hideMark/>
          </w:tcPr>
          <w:p w14:paraId="7EB297B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453" w:type="pct"/>
            <w:tcBorders>
              <w:top w:val="nil"/>
              <w:left w:val="nil"/>
              <w:bottom w:val="single" w:sz="4" w:space="0" w:color="auto"/>
              <w:right w:val="single" w:sz="4" w:space="0" w:color="auto"/>
            </w:tcBorders>
            <w:shd w:val="clear" w:color="000000" w:fill="FFFFFF"/>
            <w:vAlign w:val="center"/>
            <w:hideMark/>
          </w:tcPr>
          <w:p w14:paraId="247243A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Turizmit, Kulturës dhe Sportit</w:t>
            </w:r>
          </w:p>
        </w:tc>
        <w:tc>
          <w:tcPr>
            <w:tcW w:w="347" w:type="pct"/>
            <w:tcBorders>
              <w:top w:val="nil"/>
              <w:left w:val="nil"/>
              <w:bottom w:val="single" w:sz="4" w:space="0" w:color="auto"/>
              <w:right w:val="single" w:sz="4" w:space="0" w:color="auto"/>
            </w:tcBorders>
            <w:shd w:val="clear" w:color="auto" w:fill="auto"/>
            <w:vAlign w:val="center"/>
            <w:hideMark/>
          </w:tcPr>
          <w:p w14:paraId="4E9B5715" w14:textId="77777777" w:rsidR="008A575E" w:rsidRPr="00B6793F" w:rsidRDefault="008A575E" w:rsidP="008A575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547" w:type="pct"/>
            <w:tcBorders>
              <w:top w:val="nil"/>
              <w:left w:val="nil"/>
              <w:bottom w:val="single" w:sz="4" w:space="0" w:color="auto"/>
              <w:right w:val="single" w:sz="4" w:space="0" w:color="auto"/>
            </w:tcBorders>
            <w:shd w:val="clear" w:color="000000" w:fill="FFFFFF"/>
            <w:vAlign w:val="center"/>
            <w:hideMark/>
          </w:tcPr>
          <w:p w14:paraId="3868978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Shkronja “a” dhe “ç” të pikës 3 e nenit 9, pikës 3 të nenit 62,  pika 1 e nenit 96, të ligjit nr. 27/2018, “Për trashëgiminë kulturore dhe muzetë”, i ndryshuar</w:t>
            </w:r>
          </w:p>
        </w:tc>
        <w:tc>
          <w:tcPr>
            <w:tcW w:w="617" w:type="pct"/>
            <w:tcBorders>
              <w:top w:val="nil"/>
              <w:left w:val="nil"/>
              <w:bottom w:val="single" w:sz="4" w:space="0" w:color="auto"/>
              <w:right w:val="single" w:sz="4" w:space="0" w:color="auto"/>
            </w:tcBorders>
            <w:shd w:val="clear" w:color="000000" w:fill="FFFFFF"/>
            <w:vAlign w:val="center"/>
            <w:hideMark/>
          </w:tcPr>
          <w:p w14:paraId="1F8AA450"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Deklarimin pasuri kulturore e paluajtshme të ansamblit arkitektonik  urban te nje zone ne qytetin e Delvines. 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359" w:type="pct"/>
            <w:tcBorders>
              <w:top w:val="nil"/>
              <w:left w:val="nil"/>
              <w:bottom w:val="single" w:sz="4" w:space="0" w:color="auto"/>
              <w:right w:val="single" w:sz="4" w:space="0" w:color="auto"/>
            </w:tcBorders>
            <w:shd w:val="clear" w:color="000000" w:fill="FFFFFF"/>
            <w:vAlign w:val="center"/>
            <w:hideMark/>
          </w:tcPr>
          <w:p w14:paraId="24CE4B5C"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33" w:type="pct"/>
            <w:tcBorders>
              <w:top w:val="nil"/>
              <w:left w:val="nil"/>
              <w:bottom w:val="single" w:sz="4" w:space="0" w:color="auto"/>
              <w:right w:val="single" w:sz="4" w:space="0" w:color="auto"/>
            </w:tcBorders>
            <w:shd w:val="clear" w:color="000000" w:fill="FFFFFF"/>
            <w:vAlign w:val="center"/>
            <w:hideMark/>
          </w:tcPr>
          <w:p w14:paraId="192DC80A"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67" w:type="pct"/>
            <w:tcBorders>
              <w:top w:val="nil"/>
              <w:left w:val="nil"/>
              <w:bottom w:val="single" w:sz="4" w:space="0" w:color="auto"/>
              <w:right w:val="single" w:sz="4" w:space="0" w:color="auto"/>
            </w:tcBorders>
            <w:shd w:val="clear" w:color="000000" w:fill="FFFFFF"/>
            <w:vAlign w:val="center"/>
            <w:hideMark/>
          </w:tcPr>
          <w:p w14:paraId="0C5FE347"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për Kulturën 2019-2030</w:t>
            </w:r>
          </w:p>
        </w:tc>
        <w:tc>
          <w:tcPr>
            <w:tcW w:w="755" w:type="pct"/>
            <w:tcBorders>
              <w:top w:val="nil"/>
              <w:left w:val="nil"/>
              <w:bottom w:val="single" w:sz="4" w:space="0" w:color="auto"/>
              <w:right w:val="single" w:sz="4" w:space="0" w:color="auto"/>
            </w:tcBorders>
            <w:shd w:val="clear" w:color="000000" w:fill="FFFFFF"/>
            <w:vAlign w:val="center"/>
            <w:hideMark/>
          </w:tcPr>
          <w:p w14:paraId="559EE4BF" w14:textId="77777777" w:rsidR="008A575E" w:rsidRPr="00B6793F" w:rsidRDefault="008A575E" w:rsidP="008A575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bl>
    <w:p w14:paraId="08A57405" w14:textId="7C6F2452" w:rsidR="008A575E" w:rsidRPr="00B6793F" w:rsidRDefault="008A575E" w:rsidP="00AC5BDD">
      <w:pPr>
        <w:spacing w:after="0" w:line="240" w:lineRule="auto"/>
        <w:ind w:firstLine="284"/>
        <w:jc w:val="center"/>
        <w:rPr>
          <w:rFonts w:ascii="Garamond" w:hAnsi="Garamond"/>
          <w:b/>
          <w:sz w:val="24"/>
        </w:rPr>
      </w:pPr>
    </w:p>
    <w:p w14:paraId="4ED1591F" w14:textId="5054D380" w:rsidR="008A575E" w:rsidRPr="00B6793F" w:rsidRDefault="008A575E" w:rsidP="00AC5BDD">
      <w:pPr>
        <w:spacing w:after="0" w:line="240" w:lineRule="auto"/>
        <w:ind w:firstLine="284"/>
        <w:jc w:val="center"/>
        <w:rPr>
          <w:rFonts w:ascii="Garamond" w:hAnsi="Garamond"/>
          <w:b/>
          <w:sz w:val="24"/>
        </w:rPr>
      </w:pPr>
    </w:p>
    <w:p w14:paraId="6142BC26" w14:textId="5838F829" w:rsidR="008A575E" w:rsidRPr="00B6793F" w:rsidRDefault="008A575E" w:rsidP="00AC5BDD">
      <w:pPr>
        <w:spacing w:after="0" w:line="240" w:lineRule="auto"/>
        <w:ind w:firstLine="284"/>
        <w:jc w:val="center"/>
        <w:rPr>
          <w:rFonts w:ascii="Garamond" w:hAnsi="Garamond"/>
          <w:b/>
          <w:sz w:val="24"/>
        </w:rPr>
      </w:pPr>
    </w:p>
    <w:p w14:paraId="1C952E7D" w14:textId="267CEA65" w:rsidR="008A575E" w:rsidRPr="00B6793F" w:rsidRDefault="008A575E" w:rsidP="00AC5BDD">
      <w:pPr>
        <w:spacing w:after="0" w:line="240" w:lineRule="auto"/>
        <w:ind w:firstLine="284"/>
        <w:jc w:val="center"/>
        <w:rPr>
          <w:rFonts w:ascii="Garamond" w:hAnsi="Garamond"/>
          <w:b/>
          <w:sz w:val="24"/>
        </w:rPr>
      </w:pPr>
    </w:p>
    <w:p w14:paraId="2138FD2F" w14:textId="2255BB68" w:rsidR="004C7CDB" w:rsidRPr="00B6793F" w:rsidRDefault="004C7CDB" w:rsidP="00AC5BDD">
      <w:pPr>
        <w:spacing w:after="0" w:line="240" w:lineRule="auto"/>
        <w:ind w:firstLine="284"/>
        <w:jc w:val="center"/>
        <w:rPr>
          <w:rFonts w:ascii="Garamond" w:hAnsi="Garamond"/>
          <w:b/>
          <w:sz w:val="24"/>
        </w:rPr>
      </w:pPr>
    </w:p>
    <w:p w14:paraId="4E035B9F" w14:textId="71DED09B" w:rsidR="004C7CDB" w:rsidRPr="00B6793F" w:rsidRDefault="004C7CDB" w:rsidP="00AC5BDD">
      <w:pPr>
        <w:spacing w:after="0" w:line="240" w:lineRule="auto"/>
        <w:ind w:firstLine="284"/>
        <w:jc w:val="center"/>
        <w:rPr>
          <w:rFonts w:ascii="Garamond" w:hAnsi="Garamond"/>
          <w:b/>
          <w:sz w:val="24"/>
        </w:rPr>
      </w:pPr>
    </w:p>
    <w:p w14:paraId="0BF5AF17" w14:textId="6B4AC4AB" w:rsidR="004C7CDB" w:rsidRPr="00B6793F" w:rsidRDefault="004C7CDB" w:rsidP="00AC5BDD">
      <w:pPr>
        <w:spacing w:after="0" w:line="240" w:lineRule="auto"/>
        <w:ind w:firstLine="284"/>
        <w:jc w:val="center"/>
        <w:rPr>
          <w:rFonts w:ascii="Garamond" w:hAnsi="Garamond"/>
          <w:b/>
          <w:sz w:val="24"/>
        </w:rPr>
      </w:pPr>
    </w:p>
    <w:p w14:paraId="2E67C09E" w14:textId="5D5547D6" w:rsidR="004C7CDB" w:rsidRPr="00B6793F" w:rsidRDefault="004C7CDB" w:rsidP="00AC5BDD">
      <w:pPr>
        <w:spacing w:after="0" w:line="240" w:lineRule="auto"/>
        <w:ind w:firstLine="284"/>
        <w:jc w:val="center"/>
        <w:rPr>
          <w:rFonts w:ascii="Garamond" w:hAnsi="Garamond"/>
          <w:b/>
          <w:sz w:val="24"/>
        </w:rPr>
      </w:pPr>
    </w:p>
    <w:p w14:paraId="2BB1BFCD" w14:textId="5D17D3E4" w:rsidR="004C7CDB" w:rsidRPr="00B6793F" w:rsidRDefault="004C7CDB" w:rsidP="00AC5BDD">
      <w:pPr>
        <w:spacing w:after="0" w:line="240" w:lineRule="auto"/>
        <w:ind w:firstLine="284"/>
        <w:jc w:val="center"/>
        <w:rPr>
          <w:rFonts w:ascii="Garamond" w:hAnsi="Garamond"/>
          <w:b/>
          <w:sz w:val="24"/>
        </w:rPr>
      </w:pPr>
    </w:p>
    <w:p w14:paraId="7628C969" w14:textId="15C3BD74" w:rsidR="004C7CDB" w:rsidRPr="00B6793F" w:rsidRDefault="004C7CDB" w:rsidP="00AC5BDD">
      <w:pPr>
        <w:spacing w:after="0" w:line="240" w:lineRule="auto"/>
        <w:ind w:firstLine="284"/>
        <w:jc w:val="center"/>
        <w:rPr>
          <w:rFonts w:ascii="Garamond" w:hAnsi="Garamond"/>
          <w:b/>
          <w:sz w:val="24"/>
        </w:rPr>
      </w:pPr>
    </w:p>
    <w:p w14:paraId="1147CBCF" w14:textId="0A626E50" w:rsidR="004C7CDB" w:rsidRPr="00B6793F" w:rsidRDefault="004C7CDB" w:rsidP="00AC5BDD">
      <w:pPr>
        <w:spacing w:after="0" w:line="240" w:lineRule="auto"/>
        <w:ind w:firstLine="284"/>
        <w:jc w:val="center"/>
        <w:rPr>
          <w:rFonts w:ascii="Garamond" w:hAnsi="Garamond"/>
          <w:b/>
          <w:sz w:val="24"/>
        </w:rPr>
      </w:pPr>
    </w:p>
    <w:p w14:paraId="7D2EA9AF" w14:textId="02308861" w:rsidR="004C7CDB" w:rsidRPr="00B6793F" w:rsidRDefault="004C7CDB" w:rsidP="00AC5BDD">
      <w:pPr>
        <w:spacing w:after="0" w:line="240" w:lineRule="auto"/>
        <w:ind w:firstLine="284"/>
        <w:jc w:val="center"/>
        <w:rPr>
          <w:rFonts w:ascii="Garamond" w:hAnsi="Garamond"/>
          <w:b/>
          <w:sz w:val="24"/>
        </w:rPr>
      </w:pPr>
    </w:p>
    <w:p w14:paraId="1AEC90A3" w14:textId="007574D1" w:rsidR="004C7CDB" w:rsidRPr="00B6793F" w:rsidRDefault="004C7CDB" w:rsidP="00AC5BDD">
      <w:pPr>
        <w:spacing w:after="0" w:line="240" w:lineRule="auto"/>
        <w:ind w:firstLine="284"/>
        <w:jc w:val="center"/>
        <w:rPr>
          <w:rFonts w:ascii="Garamond" w:hAnsi="Garamond"/>
          <w:b/>
          <w:sz w:val="24"/>
        </w:rPr>
      </w:pPr>
    </w:p>
    <w:p w14:paraId="350F37DD" w14:textId="23DEED22" w:rsidR="004C7CDB" w:rsidRPr="00B6793F" w:rsidRDefault="004C7CDB" w:rsidP="00AC5BDD">
      <w:pPr>
        <w:spacing w:after="0" w:line="240" w:lineRule="auto"/>
        <w:ind w:firstLine="284"/>
        <w:jc w:val="center"/>
        <w:rPr>
          <w:rFonts w:ascii="Garamond" w:hAnsi="Garamond"/>
          <w:b/>
          <w:sz w:val="24"/>
        </w:rPr>
      </w:pPr>
    </w:p>
    <w:p w14:paraId="3A3BFA25" w14:textId="29F835E5" w:rsidR="004C7CDB" w:rsidRPr="00B6793F" w:rsidRDefault="004C7CDB" w:rsidP="00AC5BDD">
      <w:pPr>
        <w:spacing w:after="0" w:line="240" w:lineRule="auto"/>
        <w:ind w:firstLine="284"/>
        <w:jc w:val="center"/>
        <w:rPr>
          <w:rFonts w:ascii="Garamond" w:hAnsi="Garamond"/>
          <w:b/>
          <w:sz w:val="24"/>
        </w:rPr>
      </w:pPr>
    </w:p>
    <w:p w14:paraId="32386942" w14:textId="392AE55D" w:rsidR="004C7CDB" w:rsidRPr="00B6793F" w:rsidRDefault="004C7CDB" w:rsidP="00AC5BDD">
      <w:pPr>
        <w:spacing w:after="0" w:line="240" w:lineRule="auto"/>
        <w:ind w:firstLine="284"/>
        <w:jc w:val="center"/>
        <w:rPr>
          <w:rFonts w:ascii="Garamond" w:hAnsi="Garamond"/>
          <w:b/>
          <w:sz w:val="24"/>
        </w:rPr>
      </w:pPr>
    </w:p>
    <w:p w14:paraId="3DADF933" w14:textId="563E0041" w:rsidR="004C7CDB" w:rsidRPr="00B6793F" w:rsidRDefault="004C7CDB" w:rsidP="00AC5BDD">
      <w:pPr>
        <w:spacing w:after="0" w:line="240" w:lineRule="auto"/>
        <w:ind w:firstLine="284"/>
        <w:jc w:val="center"/>
        <w:rPr>
          <w:rFonts w:ascii="Garamond" w:hAnsi="Garamond"/>
          <w:b/>
          <w:sz w:val="24"/>
        </w:rPr>
      </w:pPr>
    </w:p>
    <w:p w14:paraId="239C9894" w14:textId="49962CDF" w:rsidR="004C7CDB" w:rsidRPr="00B6793F" w:rsidRDefault="004C7CDB" w:rsidP="00AC5BDD">
      <w:pPr>
        <w:spacing w:after="0" w:line="240" w:lineRule="auto"/>
        <w:ind w:firstLine="284"/>
        <w:jc w:val="center"/>
        <w:rPr>
          <w:rFonts w:ascii="Garamond" w:hAnsi="Garamond"/>
          <w:b/>
          <w:sz w:val="24"/>
        </w:rPr>
      </w:pPr>
    </w:p>
    <w:p w14:paraId="21444F50" w14:textId="54A383E8" w:rsidR="004C7CDB" w:rsidRPr="00B6793F" w:rsidRDefault="004C7CDB" w:rsidP="00AC5BDD">
      <w:pPr>
        <w:spacing w:after="0" w:line="240" w:lineRule="auto"/>
        <w:ind w:firstLine="284"/>
        <w:jc w:val="center"/>
        <w:rPr>
          <w:rFonts w:ascii="Garamond" w:hAnsi="Garamond"/>
          <w:b/>
          <w:sz w:val="24"/>
        </w:rPr>
      </w:pPr>
    </w:p>
    <w:tbl>
      <w:tblPr>
        <w:tblW w:w="5087" w:type="pct"/>
        <w:jc w:val="center"/>
        <w:tblLook w:val="04A0" w:firstRow="1" w:lastRow="0" w:firstColumn="1" w:lastColumn="0" w:noHBand="0" w:noVBand="1"/>
      </w:tblPr>
      <w:tblGrid>
        <w:gridCol w:w="505"/>
        <w:gridCol w:w="1658"/>
        <w:gridCol w:w="1115"/>
        <w:gridCol w:w="956"/>
        <w:gridCol w:w="1027"/>
        <w:gridCol w:w="1524"/>
        <w:gridCol w:w="1658"/>
        <w:gridCol w:w="1053"/>
        <w:gridCol w:w="1328"/>
        <w:gridCol w:w="951"/>
        <w:gridCol w:w="1087"/>
        <w:gridCol w:w="1320"/>
        <w:gridCol w:w="9"/>
      </w:tblGrid>
      <w:tr w:rsidR="004C7CDB" w:rsidRPr="00B6793F" w14:paraId="6A289AF1" w14:textId="77777777" w:rsidTr="004C7CDB">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14:paraId="32044DC7" w14:textId="77777777" w:rsidR="004C7CDB" w:rsidRPr="00B6793F" w:rsidRDefault="004C7CDB" w:rsidP="004C7CD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PROGRAMI I PËRGJITHSHËM ANALITIK I PROJEKTAKTEVE PËR VITIN 2026</w:t>
            </w:r>
          </w:p>
        </w:tc>
      </w:tr>
      <w:tr w:rsidR="004C7CDB" w:rsidRPr="00B6793F" w14:paraId="7A9E0D70" w14:textId="77777777" w:rsidTr="004C7CDB">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14:paraId="32CCEC9D" w14:textId="77777777" w:rsidR="004C7CDB" w:rsidRPr="00B6793F" w:rsidRDefault="004C7CDB" w:rsidP="004C7CD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MINISTRIA E MJEDISIT</w:t>
            </w:r>
          </w:p>
        </w:tc>
      </w:tr>
      <w:tr w:rsidR="004C7CDB" w:rsidRPr="00B6793F" w14:paraId="4B49C674"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C00000"/>
            <w:vAlign w:val="center"/>
            <w:hideMark/>
          </w:tcPr>
          <w:p w14:paraId="1C7669B1"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Nr.</w:t>
            </w:r>
          </w:p>
        </w:tc>
        <w:tc>
          <w:tcPr>
            <w:tcW w:w="584" w:type="pct"/>
            <w:tcBorders>
              <w:top w:val="nil"/>
              <w:left w:val="nil"/>
              <w:bottom w:val="single" w:sz="4" w:space="0" w:color="auto"/>
              <w:right w:val="single" w:sz="4" w:space="0" w:color="auto"/>
            </w:tcBorders>
            <w:shd w:val="clear" w:color="000000" w:fill="C00000"/>
            <w:vAlign w:val="center"/>
            <w:hideMark/>
          </w:tcPr>
          <w:p w14:paraId="05C16347"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Titulli i projektaktit</w:t>
            </w:r>
          </w:p>
        </w:tc>
        <w:tc>
          <w:tcPr>
            <w:tcW w:w="393" w:type="pct"/>
            <w:tcBorders>
              <w:top w:val="nil"/>
              <w:left w:val="nil"/>
              <w:bottom w:val="single" w:sz="4" w:space="0" w:color="auto"/>
              <w:right w:val="single" w:sz="4" w:space="0" w:color="auto"/>
            </w:tcBorders>
            <w:shd w:val="clear" w:color="000000" w:fill="C00000"/>
            <w:vAlign w:val="center"/>
            <w:hideMark/>
          </w:tcPr>
          <w:p w14:paraId="670A4234"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Lloji i projektaktit</w:t>
            </w:r>
          </w:p>
        </w:tc>
        <w:tc>
          <w:tcPr>
            <w:tcW w:w="337" w:type="pct"/>
            <w:tcBorders>
              <w:top w:val="nil"/>
              <w:left w:val="nil"/>
              <w:bottom w:val="single" w:sz="4" w:space="0" w:color="auto"/>
              <w:right w:val="single" w:sz="4" w:space="0" w:color="auto"/>
            </w:tcBorders>
            <w:shd w:val="clear" w:color="000000" w:fill="C00000"/>
            <w:vAlign w:val="center"/>
            <w:hideMark/>
          </w:tcPr>
          <w:p w14:paraId="0F9AB390"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Ministri propozues</w:t>
            </w:r>
          </w:p>
        </w:tc>
        <w:tc>
          <w:tcPr>
            <w:tcW w:w="362" w:type="pct"/>
            <w:tcBorders>
              <w:top w:val="nil"/>
              <w:left w:val="nil"/>
              <w:bottom w:val="single" w:sz="4" w:space="0" w:color="auto"/>
              <w:right w:val="single" w:sz="4" w:space="0" w:color="auto"/>
            </w:tcBorders>
            <w:shd w:val="clear" w:color="000000" w:fill="C00000"/>
            <w:vAlign w:val="center"/>
            <w:hideMark/>
          </w:tcPr>
          <w:p w14:paraId="3CE759A7"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Katërmujori</w:t>
            </w:r>
          </w:p>
        </w:tc>
        <w:tc>
          <w:tcPr>
            <w:tcW w:w="537" w:type="pct"/>
            <w:tcBorders>
              <w:top w:val="nil"/>
              <w:left w:val="nil"/>
              <w:bottom w:val="single" w:sz="4" w:space="0" w:color="auto"/>
              <w:right w:val="single" w:sz="4" w:space="0" w:color="auto"/>
            </w:tcBorders>
            <w:shd w:val="clear" w:color="000000" w:fill="C00000"/>
            <w:vAlign w:val="center"/>
            <w:hideMark/>
          </w:tcPr>
          <w:p w14:paraId="12673A4E"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Arsyet kryesore për propozimin e projektaktit</w:t>
            </w:r>
          </w:p>
        </w:tc>
        <w:tc>
          <w:tcPr>
            <w:tcW w:w="584" w:type="pct"/>
            <w:tcBorders>
              <w:top w:val="nil"/>
              <w:left w:val="nil"/>
              <w:bottom w:val="single" w:sz="4" w:space="0" w:color="auto"/>
              <w:right w:val="single" w:sz="4" w:space="0" w:color="auto"/>
            </w:tcBorders>
            <w:shd w:val="clear" w:color="000000" w:fill="C00000"/>
            <w:vAlign w:val="center"/>
            <w:hideMark/>
          </w:tcPr>
          <w:p w14:paraId="1D3485A0"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 xml:space="preserve">Çështjet kryesore që parashikon të rregullojë projektakti </w:t>
            </w:r>
          </w:p>
        </w:tc>
        <w:tc>
          <w:tcPr>
            <w:tcW w:w="371" w:type="pct"/>
            <w:tcBorders>
              <w:top w:val="nil"/>
              <w:left w:val="nil"/>
              <w:bottom w:val="single" w:sz="4" w:space="0" w:color="auto"/>
              <w:right w:val="single" w:sz="4" w:space="0" w:color="auto"/>
            </w:tcBorders>
            <w:shd w:val="clear" w:color="000000" w:fill="C00000"/>
            <w:vAlign w:val="center"/>
            <w:hideMark/>
          </w:tcPr>
          <w:p w14:paraId="02F702F3"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A është parashikuar projektakti në PKIE?</w:t>
            </w:r>
            <w:r w:rsidRPr="00B6793F">
              <w:rPr>
                <w:rFonts w:ascii="Arial" w:eastAsia="Times New Roman" w:hAnsi="Arial" w:cs="Arial"/>
                <w:b/>
                <w:bCs/>
                <w:color w:val="E8E8E8"/>
                <w:sz w:val="8"/>
                <w:szCs w:val="8"/>
                <w:lang w:eastAsia="sq-AL"/>
              </w:rPr>
              <w:br/>
            </w:r>
            <w:r w:rsidRPr="00B6793F">
              <w:rPr>
                <w:rFonts w:ascii="Arial" w:eastAsia="Times New Roman" w:hAnsi="Arial" w:cs="Arial"/>
                <w:b/>
                <w:bCs/>
                <w:color w:val="E8E8E8"/>
                <w:sz w:val="8"/>
                <w:szCs w:val="8"/>
                <w:lang w:eastAsia="sq-AL"/>
              </w:rPr>
              <w:br/>
              <w:t>Nëse po, të specifikohet kapitulli përkatës</w:t>
            </w:r>
          </w:p>
        </w:tc>
        <w:tc>
          <w:tcPr>
            <w:tcW w:w="468" w:type="pct"/>
            <w:tcBorders>
              <w:top w:val="nil"/>
              <w:left w:val="nil"/>
              <w:bottom w:val="single" w:sz="4" w:space="0" w:color="auto"/>
              <w:right w:val="single" w:sz="4" w:space="0" w:color="auto"/>
            </w:tcBorders>
            <w:shd w:val="clear" w:color="000000" w:fill="C00000"/>
            <w:vAlign w:val="center"/>
            <w:hideMark/>
          </w:tcPr>
          <w:p w14:paraId="5938E41D"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Përputhshmëria e projektaktit me programin politik qeverisës 2025-2029</w:t>
            </w:r>
            <w:r w:rsidRPr="00B6793F">
              <w:rPr>
                <w:rFonts w:ascii="Arial" w:eastAsia="Times New Roman" w:hAnsi="Arial" w:cs="Arial"/>
                <w:b/>
                <w:bCs/>
                <w:color w:val="E8E8E8"/>
                <w:sz w:val="8"/>
                <w:szCs w:val="8"/>
                <w:lang w:eastAsia="sq-AL"/>
              </w:rPr>
              <w:br/>
            </w:r>
            <w:r w:rsidRPr="00B6793F">
              <w:rPr>
                <w:rFonts w:ascii="Arial" w:eastAsia="Times New Roman" w:hAnsi="Arial" w:cs="Arial"/>
                <w:b/>
                <w:bCs/>
                <w:color w:val="E8E8E8"/>
                <w:sz w:val="8"/>
                <w:szCs w:val="8"/>
                <w:lang w:eastAsia="sq-AL"/>
              </w:rPr>
              <w:br/>
              <w:t>Nëse përputhet, të jepet  referenca e saktë në progam</w:t>
            </w:r>
          </w:p>
        </w:tc>
        <w:tc>
          <w:tcPr>
            <w:tcW w:w="335" w:type="pct"/>
            <w:tcBorders>
              <w:top w:val="nil"/>
              <w:left w:val="nil"/>
              <w:bottom w:val="single" w:sz="4" w:space="0" w:color="auto"/>
              <w:right w:val="single" w:sz="4" w:space="0" w:color="auto"/>
            </w:tcBorders>
            <w:shd w:val="clear" w:color="000000" w:fill="C00000"/>
            <w:vAlign w:val="center"/>
            <w:hideMark/>
          </w:tcPr>
          <w:p w14:paraId="76942372"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A është akt i një rëndësie të veçantë e prioritare?</w:t>
            </w:r>
          </w:p>
        </w:tc>
        <w:tc>
          <w:tcPr>
            <w:tcW w:w="383" w:type="pct"/>
            <w:tcBorders>
              <w:top w:val="nil"/>
              <w:left w:val="nil"/>
              <w:bottom w:val="single" w:sz="4" w:space="0" w:color="auto"/>
              <w:right w:val="single" w:sz="4" w:space="0" w:color="auto"/>
            </w:tcBorders>
            <w:shd w:val="clear" w:color="000000" w:fill="C00000"/>
            <w:vAlign w:val="center"/>
            <w:hideMark/>
          </w:tcPr>
          <w:p w14:paraId="2C20C75F" w14:textId="77777777" w:rsidR="004C7CDB" w:rsidRPr="00B6793F" w:rsidRDefault="004C7CDB" w:rsidP="004C7CDB">
            <w:pPr>
              <w:spacing w:after="0" w:line="240" w:lineRule="auto"/>
              <w:jc w:val="center"/>
              <w:rPr>
                <w:rFonts w:ascii="Arial" w:eastAsia="Times New Roman" w:hAnsi="Arial" w:cs="Arial"/>
                <w:b/>
                <w:bCs/>
                <w:color w:val="E8E8E8"/>
                <w:sz w:val="8"/>
                <w:szCs w:val="8"/>
                <w:lang w:eastAsia="sq-AL"/>
              </w:rPr>
            </w:pPr>
            <w:r w:rsidRPr="00B6793F">
              <w:rPr>
                <w:rFonts w:ascii="Arial" w:eastAsia="Times New Roman" w:hAnsi="Arial" w:cs="Arial"/>
                <w:b/>
                <w:bCs/>
                <w:color w:val="E8E8E8"/>
                <w:sz w:val="8"/>
                <w:szCs w:val="8"/>
                <w:lang w:eastAsia="sq-AL"/>
              </w:rPr>
              <w:t>Lidhja e projektaktit me strategjitë kombëtare dhe sektoriale</w:t>
            </w:r>
            <w:r w:rsidRPr="00B6793F">
              <w:rPr>
                <w:rFonts w:ascii="Arial" w:eastAsia="Times New Roman" w:hAnsi="Arial" w:cs="Arial"/>
                <w:b/>
                <w:bCs/>
                <w:color w:val="E8E8E8"/>
                <w:sz w:val="8"/>
                <w:szCs w:val="8"/>
                <w:lang w:eastAsia="sq-AL"/>
              </w:rPr>
              <w:br/>
            </w:r>
            <w:r w:rsidRPr="00B6793F">
              <w:rPr>
                <w:rFonts w:ascii="Arial" w:eastAsia="Times New Roman" w:hAnsi="Arial" w:cs="Arial"/>
                <w:b/>
                <w:bCs/>
                <w:color w:val="E8E8E8"/>
                <w:sz w:val="8"/>
                <w:szCs w:val="8"/>
                <w:lang w:eastAsia="sq-AL"/>
              </w:rPr>
              <w:br/>
              <w:t>Nëse lidhet, të specifikohen strategjitë</w:t>
            </w:r>
          </w:p>
        </w:tc>
        <w:tc>
          <w:tcPr>
            <w:tcW w:w="465" w:type="pct"/>
            <w:tcBorders>
              <w:top w:val="nil"/>
              <w:left w:val="nil"/>
              <w:bottom w:val="single" w:sz="4" w:space="0" w:color="auto"/>
              <w:right w:val="single" w:sz="8" w:space="0" w:color="auto"/>
            </w:tcBorders>
            <w:shd w:val="clear" w:color="000000" w:fill="C00000"/>
            <w:vAlign w:val="center"/>
            <w:hideMark/>
          </w:tcPr>
          <w:p w14:paraId="008D6434" w14:textId="77777777" w:rsidR="004C7CDB" w:rsidRPr="00B6793F" w:rsidRDefault="004C7CDB" w:rsidP="004C7CDB">
            <w:pPr>
              <w:spacing w:after="0" w:line="240" w:lineRule="auto"/>
              <w:jc w:val="center"/>
              <w:rPr>
                <w:rFonts w:ascii="Arial" w:eastAsia="Times New Roman" w:hAnsi="Arial" w:cs="Arial"/>
                <w:color w:val="E8E8E8"/>
                <w:sz w:val="8"/>
                <w:szCs w:val="8"/>
                <w:lang w:eastAsia="sq-AL"/>
              </w:rPr>
            </w:pPr>
            <w:r w:rsidRPr="00B6793F">
              <w:rPr>
                <w:rFonts w:ascii="Arial" w:eastAsia="Times New Roman" w:hAnsi="Arial" w:cs="Arial"/>
                <w:color w:val="E8E8E8"/>
                <w:sz w:val="8"/>
                <w:szCs w:val="8"/>
                <w:lang w:eastAsia="sq-AL"/>
              </w:rPr>
              <w:t>Ndikimet e mundshme ekonomike, financiare, sociale dhe mjedisore</w:t>
            </w:r>
            <w:r w:rsidRPr="00B6793F">
              <w:rPr>
                <w:rFonts w:ascii="Arial" w:eastAsia="Times New Roman" w:hAnsi="Arial" w:cs="Arial"/>
                <w:color w:val="E8E8E8"/>
                <w:sz w:val="8"/>
                <w:szCs w:val="8"/>
                <w:lang w:eastAsia="sq-AL"/>
              </w:rPr>
              <w:br/>
            </w:r>
            <w:r w:rsidRPr="00B6793F">
              <w:rPr>
                <w:rFonts w:ascii="Arial" w:eastAsia="Times New Roman" w:hAnsi="Arial" w:cs="Arial"/>
                <w:color w:val="E8E8E8"/>
                <w:sz w:val="8"/>
                <w:szCs w:val="8"/>
                <w:lang w:eastAsia="sq-AL"/>
              </w:rPr>
              <w:br/>
              <w:t xml:space="preserve">Përgjigjuni me Po/Jo për ndikimet përkatëse </w:t>
            </w:r>
          </w:p>
        </w:tc>
      </w:tr>
      <w:tr w:rsidR="004C7CDB" w:rsidRPr="00B6793F" w14:paraId="33568155"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84F266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w:t>
            </w:r>
          </w:p>
        </w:tc>
        <w:tc>
          <w:tcPr>
            <w:tcW w:w="584" w:type="pct"/>
            <w:tcBorders>
              <w:top w:val="nil"/>
              <w:left w:val="nil"/>
              <w:bottom w:val="single" w:sz="4" w:space="0" w:color="auto"/>
              <w:right w:val="single" w:sz="4" w:space="0" w:color="auto"/>
            </w:tcBorders>
            <w:shd w:val="clear" w:color="000000" w:fill="FFFFFF"/>
            <w:vAlign w:val="center"/>
            <w:hideMark/>
          </w:tcPr>
          <w:p w14:paraId="3F80658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ndryshime në  Vendimin e Keshillit te Ministrave nr. 994/2008 "Për tërheqjen e mendimit të publikut në vendimmarrje për mjedisin"</w:t>
            </w:r>
          </w:p>
        </w:tc>
        <w:tc>
          <w:tcPr>
            <w:tcW w:w="393" w:type="pct"/>
            <w:tcBorders>
              <w:top w:val="nil"/>
              <w:left w:val="nil"/>
              <w:bottom w:val="single" w:sz="4" w:space="0" w:color="auto"/>
              <w:right w:val="single" w:sz="4" w:space="0" w:color="auto"/>
            </w:tcBorders>
            <w:shd w:val="clear" w:color="000000" w:fill="FFFFFF"/>
            <w:vAlign w:val="center"/>
            <w:hideMark/>
          </w:tcPr>
          <w:p w14:paraId="3BC3C36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602C650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222D1EE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3808525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te pikës 1, të nenit 3, të Konventës së Aarhusit, ratifikuar me ligjin nr.8672, datë 26.10.2000 “Për ratifikimin e konventës së Aarhusit “Për të drejtën e publikut për të pasur informacion, për të marrë pjesë në vendimmarrje dhe për t’iu drejtuar gjykatës për çështjet e mjedisit”, si dhe si detyrim për perafrimin e  Directives 2003/35/EC </w:t>
            </w:r>
          </w:p>
        </w:tc>
        <w:tc>
          <w:tcPr>
            <w:tcW w:w="584" w:type="pct"/>
            <w:tcBorders>
              <w:top w:val="nil"/>
              <w:left w:val="nil"/>
              <w:bottom w:val="single" w:sz="4" w:space="0" w:color="auto"/>
              <w:right w:val="single" w:sz="4" w:space="0" w:color="auto"/>
            </w:tcBorders>
            <w:shd w:val="clear" w:color="000000" w:fill="FFFFFF"/>
            <w:vAlign w:val="center"/>
            <w:hideMark/>
          </w:tcPr>
          <w:p w14:paraId="324B070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Duhen ripercaktuar dhe njehere ne menyre me te detajuar Planet programet dhe startegjite qe do i nenshtrohen terheqjen e publikut ne vendimmarrje per te transpozuar Directiven 2003/35/EC  2. Do hiqet paragrafi per terheqjen e publikut per VNM-ne pasi ky proces eshte i perfshire ne legjislacionin e fushes se VNM-se.  </w:t>
            </w:r>
          </w:p>
        </w:tc>
        <w:tc>
          <w:tcPr>
            <w:tcW w:w="371" w:type="pct"/>
            <w:tcBorders>
              <w:top w:val="nil"/>
              <w:left w:val="nil"/>
              <w:bottom w:val="single" w:sz="4" w:space="0" w:color="auto"/>
              <w:right w:val="single" w:sz="4" w:space="0" w:color="auto"/>
            </w:tcBorders>
            <w:shd w:val="clear" w:color="000000" w:fill="FFFFFF"/>
            <w:vAlign w:val="center"/>
            <w:hideMark/>
          </w:tcPr>
          <w:p w14:paraId="03597F5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1B76363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210ADC7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38B9483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000000"/>
              <w:right w:val="single" w:sz="4" w:space="0" w:color="000000"/>
            </w:tcBorders>
            <w:shd w:val="clear" w:color="000000" w:fill="FFFFFF"/>
            <w:vAlign w:val="center"/>
            <w:hideMark/>
          </w:tcPr>
          <w:p w14:paraId="3714C85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social dhe mjedisor</w:t>
            </w:r>
          </w:p>
        </w:tc>
      </w:tr>
      <w:tr w:rsidR="004C7CDB" w:rsidRPr="00B6793F" w14:paraId="50B769B9"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8AC578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w:t>
            </w:r>
          </w:p>
        </w:tc>
        <w:tc>
          <w:tcPr>
            <w:tcW w:w="584" w:type="pct"/>
            <w:tcBorders>
              <w:top w:val="nil"/>
              <w:left w:val="nil"/>
              <w:bottom w:val="single" w:sz="4" w:space="0" w:color="auto"/>
              <w:right w:val="single" w:sz="4" w:space="0" w:color="auto"/>
            </w:tcBorders>
            <w:shd w:val="clear" w:color="000000" w:fill="FFFFFF"/>
            <w:vAlign w:val="center"/>
            <w:hideMark/>
          </w:tcPr>
          <w:p w14:paraId="26A75C2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planit kombëtar për përshtatjen ndaj ndryshimeve klimatike 2026-2036</w:t>
            </w:r>
          </w:p>
        </w:tc>
        <w:tc>
          <w:tcPr>
            <w:tcW w:w="393" w:type="pct"/>
            <w:tcBorders>
              <w:top w:val="nil"/>
              <w:left w:val="nil"/>
              <w:bottom w:val="single" w:sz="4" w:space="0" w:color="auto"/>
              <w:right w:val="single" w:sz="4" w:space="0" w:color="auto"/>
            </w:tcBorders>
            <w:shd w:val="clear" w:color="000000" w:fill="FFFFFF"/>
            <w:vAlign w:val="center"/>
            <w:hideMark/>
          </w:tcPr>
          <w:p w14:paraId="7D86B97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48571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7E717D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62DBF18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5 të ligjit nr. 155/2020 “Për ndryshimet klimatike”, të ndryshuar</w:t>
            </w:r>
          </w:p>
        </w:tc>
        <w:tc>
          <w:tcPr>
            <w:tcW w:w="584" w:type="pct"/>
            <w:tcBorders>
              <w:top w:val="nil"/>
              <w:left w:val="nil"/>
              <w:bottom w:val="single" w:sz="4" w:space="0" w:color="auto"/>
              <w:right w:val="single" w:sz="4" w:space="0" w:color="auto"/>
            </w:tcBorders>
            <w:shd w:val="clear" w:color="000000" w:fill="FFFFFF"/>
            <w:vAlign w:val="center"/>
            <w:hideMark/>
          </w:tcPr>
          <w:p w14:paraId="2ACD9B4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“Për miratimin e Planit Kombëtar për Përshtatjen ndaj Ndryshimeve Klimatike 2026–2036” synon të vendosë një kornizë të unifikuar strategjike dhe operacionale për rritjen e qëndrueshmërisë së Shqipërisë ndaj ndikimeve të ndryshimeve klimatike. Ai rregullon identifikimin dhe prioritizimin e rreziqeve klimatike bazuar në vlerësime shkencore, përcakton masa konkrete përshtatjeje për sektorët prioritarë dhe nivelin vendor, si dhe forcon mekanizmat e koordinimit institucional ndërmjet institucioneve qendrore dhe vendore. Projektvendimi parashikon gjithashtu integrimin e masave të përshtatjes në politikat sektoriale dhe proceset e planifikimit dhe buxhetimit, krijimin e një sistemi monitorimi, raportimi dhe vlerësimi të progresit, si dhe nxitjen e aksesit në financim kombëtar dhe ndërkombëtar për zbatimin e NAP-it, në përputhje me angazhimet e Shqipërisë në kuadër të UNFCCC dhe procesit të integrimit evropian.</w:t>
            </w:r>
          </w:p>
        </w:tc>
        <w:tc>
          <w:tcPr>
            <w:tcW w:w="371" w:type="pct"/>
            <w:tcBorders>
              <w:top w:val="nil"/>
              <w:left w:val="nil"/>
              <w:bottom w:val="single" w:sz="4" w:space="0" w:color="auto"/>
              <w:right w:val="single" w:sz="4" w:space="0" w:color="auto"/>
            </w:tcBorders>
            <w:shd w:val="clear" w:color="000000" w:fill="FFFFFF"/>
            <w:vAlign w:val="center"/>
            <w:hideMark/>
          </w:tcPr>
          <w:p w14:paraId="2CCB382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0B361AF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 -Mirëqënie për të gjithë. Pika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35B463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644D5DB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 nr. 466, datë 3.7.2019 “Për miratimin e dokumentit strategjik dhe të planeve kombëtare për zbutjen e gazeve me efekt serrë dhe për përshtatjen ndaj ndryshimeve klimatike”</w:t>
            </w:r>
          </w:p>
        </w:tc>
        <w:tc>
          <w:tcPr>
            <w:tcW w:w="465" w:type="pct"/>
            <w:tcBorders>
              <w:top w:val="nil"/>
              <w:left w:val="nil"/>
              <w:bottom w:val="single" w:sz="4" w:space="0" w:color="auto"/>
              <w:right w:val="single" w:sz="8" w:space="0" w:color="auto"/>
            </w:tcBorders>
            <w:shd w:val="clear" w:color="000000" w:fill="FFFFFF"/>
            <w:vAlign w:val="center"/>
            <w:hideMark/>
          </w:tcPr>
          <w:p w14:paraId="0711CB7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7DFACC88"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275FC1B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w:t>
            </w:r>
          </w:p>
        </w:tc>
        <w:tc>
          <w:tcPr>
            <w:tcW w:w="584" w:type="pct"/>
            <w:tcBorders>
              <w:top w:val="nil"/>
              <w:left w:val="nil"/>
              <w:bottom w:val="nil"/>
              <w:right w:val="nil"/>
            </w:tcBorders>
            <w:shd w:val="clear" w:color="000000" w:fill="FFFFFF"/>
            <w:vAlign w:val="center"/>
            <w:hideMark/>
          </w:tcPr>
          <w:p w14:paraId="1F97455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kërkesave, procedurat dhe standardet për menaxhimin e mbetjeve spitalore"</w:t>
            </w:r>
          </w:p>
        </w:tc>
        <w:tc>
          <w:tcPr>
            <w:tcW w:w="393" w:type="pct"/>
            <w:tcBorders>
              <w:top w:val="nil"/>
              <w:left w:val="single" w:sz="4" w:space="0" w:color="auto"/>
              <w:bottom w:val="single" w:sz="4" w:space="0" w:color="auto"/>
              <w:right w:val="single" w:sz="4" w:space="0" w:color="auto"/>
            </w:tcBorders>
            <w:shd w:val="clear" w:color="000000" w:fill="FFFFFF"/>
            <w:vAlign w:val="center"/>
            <w:hideMark/>
          </w:tcPr>
          <w:p w14:paraId="094C463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4E2D9DF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 dhe MSHMS</w:t>
            </w:r>
          </w:p>
        </w:tc>
        <w:tc>
          <w:tcPr>
            <w:tcW w:w="362" w:type="pct"/>
            <w:tcBorders>
              <w:top w:val="nil"/>
              <w:left w:val="nil"/>
              <w:bottom w:val="single" w:sz="4" w:space="0" w:color="auto"/>
              <w:right w:val="single" w:sz="4" w:space="0" w:color="auto"/>
            </w:tcBorders>
            <w:shd w:val="clear" w:color="000000" w:fill="FFFFFF"/>
            <w:vAlign w:val="center"/>
            <w:hideMark/>
          </w:tcPr>
          <w:p w14:paraId="4712EB1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3BD1DF0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Në zbatim të nenit 55, pika 2, të Ligjit nr. 57/2025 "Për menaxhimin e integruar të mbetjeve". </w:t>
            </w:r>
          </w:p>
        </w:tc>
        <w:tc>
          <w:tcPr>
            <w:tcW w:w="584" w:type="pct"/>
            <w:tcBorders>
              <w:top w:val="nil"/>
              <w:left w:val="nil"/>
              <w:bottom w:val="nil"/>
              <w:right w:val="nil"/>
            </w:tcBorders>
            <w:shd w:val="clear" w:color="000000" w:fill="FFFFFF"/>
            <w:vAlign w:val="center"/>
            <w:hideMark/>
          </w:tcPr>
          <w:p w14:paraId="7D66955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Kërkesat, procedurat dhe standardet për menaxhimin e mbetjeve spitalore</w:t>
            </w:r>
          </w:p>
        </w:tc>
        <w:tc>
          <w:tcPr>
            <w:tcW w:w="371" w:type="pct"/>
            <w:tcBorders>
              <w:top w:val="nil"/>
              <w:left w:val="single" w:sz="4" w:space="0" w:color="auto"/>
              <w:bottom w:val="single" w:sz="4" w:space="0" w:color="auto"/>
              <w:right w:val="single" w:sz="4" w:space="0" w:color="auto"/>
            </w:tcBorders>
            <w:shd w:val="clear" w:color="000000" w:fill="FFFFFF"/>
            <w:vAlign w:val="center"/>
            <w:hideMark/>
          </w:tcPr>
          <w:p w14:paraId="637C1D7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2B836FF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6C6B3BB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68DF6F7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5EC31B4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24D671C3"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98577C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4</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14:paraId="3050658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organizimit të brendshëm, organeve drejtuese dhe mënyrës së funksionimit të AKEM sh.a.</w:t>
            </w:r>
          </w:p>
        </w:tc>
        <w:tc>
          <w:tcPr>
            <w:tcW w:w="393" w:type="pct"/>
            <w:tcBorders>
              <w:top w:val="nil"/>
              <w:left w:val="nil"/>
              <w:bottom w:val="single" w:sz="4" w:space="0" w:color="auto"/>
              <w:right w:val="single" w:sz="4" w:space="0" w:color="auto"/>
            </w:tcBorders>
            <w:shd w:val="clear" w:color="000000" w:fill="FFFFFF"/>
            <w:vAlign w:val="center"/>
            <w:hideMark/>
          </w:tcPr>
          <w:p w14:paraId="1752F4C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648489B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4BA4507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79B0431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nenit 22, pika 6, të Ligjit nr. 57/2025 "Për menaxhimin e integruar të mbetjeve". </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14:paraId="7A0AC35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Organizimi i brendshëm dhe funksionimi i AKEM sh.a.</w:t>
            </w:r>
          </w:p>
        </w:tc>
        <w:tc>
          <w:tcPr>
            <w:tcW w:w="371" w:type="pct"/>
            <w:tcBorders>
              <w:top w:val="nil"/>
              <w:left w:val="nil"/>
              <w:bottom w:val="single" w:sz="4" w:space="0" w:color="auto"/>
              <w:right w:val="single" w:sz="4" w:space="0" w:color="auto"/>
            </w:tcBorders>
            <w:shd w:val="clear" w:color="000000" w:fill="FFFFFF"/>
            <w:vAlign w:val="center"/>
            <w:hideMark/>
          </w:tcPr>
          <w:p w14:paraId="09F4AF5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0AF80C4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c.Në </w:t>
            </w:r>
            <w:r w:rsidRPr="00B6793F">
              <w:rPr>
                <w:rFonts w:ascii="Arial" w:eastAsia="Times New Roman" w:hAnsi="Arial" w:cs="Arial"/>
                <w:sz w:val="8"/>
                <w:szCs w:val="8"/>
                <w:lang w:eastAsia="sq-AL"/>
              </w:rPr>
              <w:lastRenderedPageBreak/>
              <w:t xml:space="preserve">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68FCC26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Po</w:t>
            </w:r>
          </w:p>
        </w:tc>
        <w:tc>
          <w:tcPr>
            <w:tcW w:w="383" w:type="pct"/>
            <w:tcBorders>
              <w:top w:val="nil"/>
              <w:left w:val="nil"/>
              <w:bottom w:val="single" w:sz="4" w:space="0" w:color="auto"/>
              <w:right w:val="nil"/>
            </w:tcBorders>
            <w:shd w:val="clear" w:color="000000" w:fill="FFFFFF"/>
            <w:vAlign w:val="center"/>
            <w:hideMark/>
          </w:tcPr>
          <w:p w14:paraId="43BBFBB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1DB4315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4EB637FE"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51D7096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5</w:t>
            </w:r>
          </w:p>
        </w:tc>
        <w:tc>
          <w:tcPr>
            <w:tcW w:w="584" w:type="pct"/>
            <w:tcBorders>
              <w:top w:val="nil"/>
              <w:left w:val="nil"/>
              <w:bottom w:val="single" w:sz="4" w:space="0" w:color="auto"/>
              <w:right w:val="single" w:sz="4" w:space="0" w:color="auto"/>
            </w:tcBorders>
            <w:shd w:val="clear" w:color="000000" w:fill="FFFFFF"/>
            <w:vAlign w:val="center"/>
            <w:hideMark/>
          </w:tcPr>
          <w:p w14:paraId="41916E4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rishikimin e Dokumentit të Kontributit Kombëtar të Përcaktuar 2025-2035, miratuar me Vendimin e Këshillit të Ministrave  Nr. 581, datë 6.10.2021"</w:t>
            </w:r>
          </w:p>
        </w:tc>
        <w:tc>
          <w:tcPr>
            <w:tcW w:w="393" w:type="pct"/>
            <w:tcBorders>
              <w:top w:val="nil"/>
              <w:left w:val="nil"/>
              <w:bottom w:val="single" w:sz="4" w:space="0" w:color="auto"/>
              <w:right w:val="single" w:sz="4" w:space="0" w:color="auto"/>
            </w:tcBorders>
            <w:shd w:val="clear" w:color="000000" w:fill="FFFFFF"/>
            <w:vAlign w:val="center"/>
            <w:hideMark/>
          </w:tcPr>
          <w:p w14:paraId="034108F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101BDC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 dhe MIE</w:t>
            </w:r>
          </w:p>
        </w:tc>
        <w:tc>
          <w:tcPr>
            <w:tcW w:w="362" w:type="pct"/>
            <w:tcBorders>
              <w:top w:val="nil"/>
              <w:left w:val="nil"/>
              <w:bottom w:val="single" w:sz="4" w:space="0" w:color="auto"/>
              <w:right w:val="single" w:sz="4" w:space="0" w:color="auto"/>
            </w:tcBorders>
            <w:shd w:val="clear" w:color="000000" w:fill="FFFFFF"/>
            <w:vAlign w:val="center"/>
            <w:hideMark/>
          </w:tcPr>
          <w:p w14:paraId="6ADA512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546888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zbatim te pikes 2 dhe 5, te nenit 7 te Ligjit nr. 155/2020 "Per ndryshimet klimatike", të ndryshuar</w:t>
            </w:r>
          </w:p>
        </w:tc>
        <w:tc>
          <w:tcPr>
            <w:tcW w:w="584" w:type="pct"/>
            <w:tcBorders>
              <w:top w:val="nil"/>
              <w:left w:val="nil"/>
              <w:bottom w:val="single" w:sz="4" w:space="0" w:color="auto"/>
              <w:right w:val="single" w:sz="4" w:space="0" w:color="auto"/>
            </w:tcBorders>
            <w:shd w:val="clear" w:color="000000" w:fill="FFFFFF"/>
            <w:vAlign w:val="center"/>
            <w:hideMark/>
          </w:tcPr>
          <w:p w14:paraId="495AEA9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Rishikimi i dokumentit i kontributit kombëtar të përcaktuar (NDC) ka per synim perditesimin e këtij dokumenti, duke e harmonizuar me Planin Kombetar Per energjine dhe Klimen i cili eshte parashikuar te miratohet deri ne fund te vitit 2025, si dhe per ate adresuar kerkesat e  Konventës Kuadër të Kombeve të Bashkuara për Ndryshimet</w:t>
            </w:r>
            <w:r w:rsidRPr="00B6793F">
              <w:rPr>
                <w:rFonts w:ascii="Arial" w:eastAsia="Times New Roman" w:hAnsi="Arial" w:cs="Arial"/>
                <w:sz w:val="8"/>
                <w:szCs w:val="8"/>
                <w:lang w:eastAsia="sq-AL"/>
              </w:rPr>
              <w:br/>
              <w:t>Klimatike (UNFCCC) drejtuar paleve për te rritur ambicien dhe angazhimin per</w:t>
            </w:r>
            <w:r w:rsidRPr="00B6793F">
              <w:rPr>
                <w:rFonts w:ascii="Arial" w:eastAsia="Times New Roman" w:hAnsi="Arial" w:cs="Arial"/>
                <w:sz w:val="8"/>
                <w:szCs w:val="8"/>
                <w:lang w:eastAsia="sq-AL"/>
              </w:rPr>
              <w:br/>
              <w:t xml:space="preserve">arritjen e objektivit global per mbajtjen e temperaturave të ngrohjes globale nën 2°C. Ky projektvendim do te adresoje çështje kyçe që lidhen me emetimet e gazeve serrë, ku përcaktohen objektivat për reduktimin e tyre në sektorë të ndryshëm si energjia, transporti, mbetjet, bujqësia dhe industria. Miratimi ketij projektvendimi ndihmon në zhvillimin e qëndrueshëm, duke siguruar që masat e reduktimit të shkarkimeve të kontribuojnë gjithashtu në zhvillimin ekonomik dhe social.Rishikimi  i dokumentit eshte ne perputhje me afatet e percaktuara nga Konventa, dhe sipas Ligjit Nr.155/2020." . Në linjë edhe me Rregulloren e Be-së Për Klimën 2021/1119 </w:t>
            </w:r>
          </w:p>
        </w:tc>
        <w:tc>
          <w:tcPr>
            <w:tcW w:w="371" w:type="pct"/>
            <w:tcBorders>
              <w:top w:val="nil"/>
              <w:left w:val="nil"/>
              <w:bottom w:val="single" w:sz="4" w:space="0" w:color="auto"/>
              <w:right w:val="single" w:sz="4" w:space="0" w:color="auto"/>
            </w:tcBorders>
            <w:shd w:val="clear" w:color="000000" w:fill="FFFFFF"/>
            <w:vAlign w:val="center"/>
            <w:hideMark/>
          </w:tcPr>
          <w:p w14:paraId="3FE720B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20DECF3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1EC1514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795886E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VKM-në nr. 581, datë 6.10.2021, “Për miratimin e Kontributit Kombëtar të Përcaktuar”</w:t>
            </w:r>
          </w:p>
        </w:tc>
        <w:tc>
          <w:tcPr>
            <w:tcW w:w="465" w:type="pct"/>
            <w:tcBorders>
              <w:top w:val="nil"/>
              <w:left w:val="nil"/>
              <w:bottom w:val="single" w:sz="4" w:space="0" w:color="auto"/>
              <w:right w:val="single" w:sz="8" w:space="0" w:color="auto"/>
            </w:tcBorders>
            <w:shd w:val="clear" w:color="000000" w:fill="FFFFFF"/>
            <w:vAlign w:val="center"/>
            <w:hideMark/>
          </w:tcPr>
          <w:p w14:paraId="543D4CC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034CC30B"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F8EE7B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6</w:t>
            </w:r>
          </w:p>
        </w:tc>
        <w:tc>
          <w:tcPr>
            <w:tcW w:w="584" w:type="pct"/>
            <w:tcBorders>
              <w:top w:val="nil"/>
              <w:left w:val="nil"/>
              <w:bottom w:val="single" w:sz="4" w:space="0" w:color="auto"/>
              <w:right w:val="single" w:sz="4" w:space="0" w:color="auto"/>
            </w:tcBorders>
            <w:shd w:val="clear" w:color="000000" w:fill="FFFFFF"/>
            <w:vAlign w:val="center"/>
            <w:hideMark/>
          </w:tcPr>
          <w:p w14:paraId="685CF6A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rregullat e përllogaritjes së shkarkimeve të GES-it dhe të përthithjes së tyre, që rezultojnë nga aktivitetet që lidhen me përdorimin e tokës, ndryshimin e përdorimit të tokës e pyjeve, si dhe për informacione të tjera që lidhen me këto aktivitete"</w:t>
            </w:r>
          </w:p>
        </w:tc>
        <w:tc>
          <w:tcPr>
            <w:tcW w:w="393" w:type="pct"/>
            <w:tcBorders>
              <w:top w:val="nil"/>
              <w:left w:val="nil"/>
              <w:bottom w:val="single" w:sz="4" w:space="0" w:color="auto"/>
              <w:right w:val="single" w:sz="4" w:space="0" w:color="auto"/>
            </w:tcBorders>
            <w:shd w:val="clear" w:color="000000" w:fill="FFFFFF"/>
            <w:vAlign w:val="center"/>
            <w:hideMark/>
          </w:tcPr>
          <w:p w14:paraId="517053D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5D4C544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 dhe MBZHR</w:t>
            </w:r>
          </w:p>
        </w:tc>
        <w:tc>
          <w:tcPr>
            <w:tcW w:w="362" w:type="pct"/>
            <w:tcBorders>
              <w:top w:val="nil"/>
              <w:left w:val="nil"/>
              <w:bottom w:val="single" w:sz="4" w:space="0" w:color="auto"/>
              <w:right w:val="single" w:sz="4" w:space="0" w:color="auto"/>
            </w:tcBorders>
            <w:shd w:val="clear" w:color="000000" w:fill="FFFFFF"/>
            <w:vAlign w:val="center"/>
            <w:hideMark/>
          </w:tcPr>
          <w:p w14:paraId="5449784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2198829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pikes 4 të Nenit 18 të  Ligjit nr. 155/2020 "Per ndryshimet klimatike", të ndryshuar</w:t>
            </w:r>
          </w:p>
        </w:tc>
        <w:tc>
          <w:tcPr>
            <w:tcW w:w="584" w:type="pct"/>
            <w:tcBorders>
              <w:top w:val="nil"/>
              <w:left w:val="nil"/>
              <w:bottom w:val="single" w:sz="4" w:space="0" w:color="auto"/>
              <w:right w:val="single" w:sz="4" w:space="0" w:color="auto"/>
            </w:tcBorders>
            <w:shd w:val="clear" w:color="000000" w:fill="FFFFFF"/>
            <w:vAlign w:val="bottom"/>
            <w:hideMark/>
          </w:tcPr>
          <w:p w14:paraId="72D63D7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Rregullorja (BE) 2018/841 e 30 majit 2018 trajton përfshirjen e shkarkimeve dhe thithjeve të gazeve serrë nga përdorimi i tokës, ndryshimi i përdorimit të tokës dhe pylltaria (LULUCF) në kuadrin klimatik dhe energjetik të Bashkimit Evropian për vitin 2030. Ajo vendos parimin që shtetet anëtare duhet të ruajnë një bilanc të qëndrueshëm midis shkarkimeve dhe thithjeve të karbonit nga toka dhe pyjet, duke siguruar që ky sektor të mos gjenerojë më shumë shkarkime sesa perthithje . VKM-ja do te percaktoje mënyrën se si do të llogariten dhe raportohen shkarkimet dhe përthithjat për kategori të ndryshme toke, përfshirë pyjet, tokat bujqësore, per te garantuar të dhëna të harmonizuara në përputhje me standardet ndërkombëtare të OKB-së për ndryshimet klimatike.</w:t>
            </w:r>
            <w:r w:rsidRPr="00B6793F">
              <w:rPr>
                <w:rFonts w:ascii="Arial" w:eastAsia="Times New Roman" w:hAnsi="Arial" w:cs="Arial"/>
                <w:sz w:val="8"/>
                <w:szCs w:val="8"/>
                <w:lang w:eastAsia="sq-AL"/>
              </w:rPr>
              <w:br/>
              <w:t>Në thelb, projektvendimi do te synoje të forcojë rolin e tokës dhe pyjeve si “përthithes natyror të karbonit”, duke nxitur menaxhimin e qëndrueshëm të pyjeve, mbrojtjen e biodiversitetit dhe praktikat bujqësore që ndihmojnë në ruajtjen e stokut të karbonit në ekosisteme. Kështu, ajo përbën një element thelbësor në përpjekjet e BE-së për të arritur neutralitetin klimatik dhe për të zbatuar objektivat e Marrëveshjes së Parisit.</w:t>
            </w:r>
          </w:p>
        </w:tc>
        <w:tc>
          <w:tcPr>
            <w:tcW w:w="371" w:type="pct"/>
            <w:tcBorders>
              <w:top w:val="nil"/>
              <w:left w:val="nil"/>
              <w:bottom w:val="single" w:sz="4" w:space="0" w:color="auto"/>
              <w:right w:val="single" w:sz="4" w:space="0" w:color="auto"/>
            </w:tcBorders>
            <w:shd w:val="clear" w:color="000000" w:fill="FFFFFF"/>
            <w:vAlign w:val="center"/>
            <w:hideMark/>
          </w:tcPr>
          <w:p w14:paraId="2001901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7701BEA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18FC405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203D5FF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VKM-në nr. 581, datë 6.10.2021, “Për miratimin e Kontributit Kombëtar të Përcaktuar”</w:t>
            </w:r>
          </w:p>
        </w:tc>
        <w:tc>
          <w:tcPr>
            <w:tcW w:w="465" w:type="pct"/>
            <w:tcBorders>
              <w:top w:val="nil"/>
              <w:left w:val="nil"/>
              <w:bottom w:val="single" w:sz="4" w:space="0" w:color="auto"/>
              <w:right w:val="single" w:sz="8" w:space="0" w:color="auto"/>
            </w:tcBorders>
            <w:shd w:val="clear" w:color="000000" w:fill="FFFFFF"/>
            <w:vAlign w:val="center"/>
            <w:hideMark/>
          </w:tcPr>
          <w:p w14:paraId="6D98359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69A5BDAD"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2E320B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7</w:t>
            </w:r>
          </w:p>
        </w:tc>
        <w:tc>
          <w:tcPr>
            <w:tcW w:w="584" w:type="pct"/>
            <w:tcBorders>
              <w:top w:val="nil"/>
              <w:left w:val="nil"/>
              <w:bottom w:val="single" w:sz="4" w:space="0" w:color="auto"/>
              <w:right w:val="single" w:sz="4" w:space="0" w:color="auto"/>
            </w:tcBorders>
            <w:shd w:val="clear" w:color="000000" w:fill="FFFFFF"/>
            <w:vAlign w:val="center"/>
            <w:hideMark/>
          </w:tcPr>
          <w:p w14:paraId="4E6BBEC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Programit të Parandalimit të Krijimit të Mbetjeve </w:t>
            </w:r>
          </w:p>
        </w:tc>
        <w:tc>
          <w:tcPr>
            <w:tcW w:w="393" w:type="pct"/>
            <w:tcBorders>
              <w:top w:val="nil"/>
              <w:left w:val="nil"/>
              <w:bottom w:val="single" w:sz="4" w:space="0" w:color="auto"/>
              <w:right w:val="single" w:sz="4" w:space="0" w:color="auto"/>
            </w:tcBorders>
            <w:shd w:val="clear" w:color="000000" w:fill="FFFFFF"/>
            <w:vAlign w:val="center"/>
            <w:hideMark/>
          </w:tcPr>
          <w:p w14:paraId="16832AD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410F63A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066FE16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0D27FCE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Në zbatim të nenit 66, pika 4, të Ligjit nr 57/2025 "Për menaxhimin e integruar të mbetjeve". </w:t>
            </w:r>
          </w:p>
        </w:tc>
        <w:tc>
          <w:tcPr>
            <w:tcW w:w="584" w:type="pct"/>
            <w:tcBorders>
              <w:top w:val="nil"/>
              <w:left w:val="nil"/>
              <w:bottom w:val="single" w:sz="4" w:space="0" w:color="auto"/>
              <w:right w:val="single" w:sz="4" w:space="0" w:color="auto"/>
            </w:tcBorders>
            <w:shd w:val="clear" w:color="000000" w:fill="FFFFFF"/>
            <w:vAlign w:val="center"/>
            <w:hideMark/>
          </w:tcPr>
          <w:p w14:paraId="521EB9E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Programi i Parandalimit të Krijimit të Mbetjeve </w:t>
            </w:r>
          </w:p>
        </w:tc>
        <w:tc>
          <w:tcPr>
            <w:tcW w:w="371" w:type="pct"/>
            <w:tcBorders>
              <w:top w:val="nil"/>
              <w:left w:val="nil"/>
              <w:bottom w:val="single" w:sz="4" w:space="0" w:color="auto"/>
              <w:right w:val="single" w:sz="4" w:space="0" w:color="auto"/>
            </w:tcBorders>
            <w:shd w:val="clear" w:color="000000" w:fill="FFFFFF"/>
            <w:vAlign w:val="center"/>
            <w:hideMark/>
          </w:tcPr>
          <w:p w14:paraId="7FCEE0C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3E91466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w:t>
            </w:r>
            <w:r w:rsidRPr="00B6793F">
              <w:rPr>
                <w:rFonts w:ascii="Arial" w:eastAsia="Times New Roman" w:hAnsi="Arial" w:cs="Arial"/>
                <w:sz w:val="8"/>
                <w:szCs w:val="8"/>
                <w:lang w:eastAsia="sq-AL"/>
              </w:rPr>
              <w:lastRenderedPageBreak/>
              <w:t xml:space="preserve">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66467B5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Jo</w:t>
            </w:r>
          </w:p>
        </w:tc>
        <w:tc>
          <w:tcPr>
            <w:tcW w:w="383" w:type="pct"/>
            <w:tcBorders>
              <w:top w:val="nil"/>
              <w:left w:val="nil"/>
              <w:bottom w:val="single" w:sz="4" w:space="0" w:color="auto"/>
              <w:right w:val="nil"/>
            </w:tcBorders>
            <w:shd w:val="clear" w:color="000000" w:fill="FFFFFF"/>
            <w:vAlign w:val="center"/>
            <w:hideMark/>
          </w:tcPr>
          <w:p w14:paraId="38F5981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40D9412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50B950B6"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66A726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8</w:t>
            </w:r>
          </w:p>
        </w:tc>
        <w:tc>
          <w:tcPr>
            <w:tcW w:w="584" w:type="pct"/>
            <w:tcBorders>
              <w:top w:val="nil"/>
              <w:left w:val="nil"/>
              <w:bottom w:val="single" w:sz="4" w:space="0" w:color="auto"/>
              <w:right w:val="single" w:sz="4" w:space="0" w:color="auto"/>
            </w:tcBorders>
            <w:shd w:val="clear" w:color="000000" w:fill="FFFFFF"/>
            <w:vAlign w:val="center"/>
            <w:hideMark/>
          </w:tcPr>
          <w:p w14:paraId="0CB2FFF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kritereve, procedurave dhe afateve për zbatimin e grumbullimit të diferencuar të mbetjeve për të gjitha rrymat e mbetjeve</w:t>
            </w:r>
          </w:p>
        </w:tc>
        <w:tc>
          <w:tcPr>
            <w:tcW w:w="393" w:type="pct"/>
            <w:tcBorders>
              <w:top w:val="nil"/>
              <w:left w:val="nil"/>
              <w:bottom w:val="single" w:sz="4" w:space="0" w:color="auto"/>
              <w:right w:val="single" w:sz="4" w:space="0" w:color="auto"/>
            </w:tcBorders>
            <w:shd w:val="clear" w:color="000000" w:fill="FFFFFF"/>
            <w:vAlign w:val="center"/>
            <w:hideMark/>
          </w:tcPr>
          <w:p w14:paraId="4A12122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24E315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7CC796A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Katërmujori I </w:t>
            </w:r>
          </w:p>
        </w:tc>
        <w:tc>
          <w:tcPr>
            <w:tcW w:w="537" w:type="pct"/>
            <w:tcBorders>
              <w:top w:val="nil"/>
              <w:left w:val="nil"/>
              <w:bottom w:val="single" w:sz="4" w:space="0" w:color="auto"/>
              <w:right w:val="single" w:sz="4" w:space="0" w:color="auto"/>
            </w:tcBorders>
            <w:shd w:val="clear" w:color="000000" w:fill="FFFFFF"/>
            <w:vAlign w:val="center"/>
            <w:hideMark/>
          </w:tcPr>
          <w:p w14:paraId="0FEC039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pikës 2, të nenit 11, të Ligjit nr. 57/2025 "Për menaxhimin e integruar të mbetjeve". </w:t>
            </w:r>
          </w:p>
        </w:tc>
        <w:tc>
          <w:tcPr>
            <w:tcW w:w="584" w:type="pct"/>
            <w:tcBorders>
              <w:top w:val="nil"/>
              <w:left w:val="nil"/>
              <w:bottom w:val="single" w:sz="4" w:space="0" w:color="auto"/>
              <w:right w:val="single" w:sz="4" w:space="0" w:color="auto"/>
            </w:tcBorders>
            <w:shd w:val="clear" w:color="000000" w:fill="FFFFFF"/>
            <w:vAlign w:val="center"/>
            <w:hideMark/>
          </w:tcPr>
          <w:p w14:paraId="6C51F62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Kriteret, procedurat dhe afatet për zbatimin e grumbullimit të diferencuar të mbetjeve për të gjitha rrymat e mbetjeve</w:t>
            </w:r>
          </w:p>
        </w:tc>
        <w:tc>
          <w:tcPr>
            <w:tcW w:w="371" w:type="pct"/>
            <w:tcBorders>
              <w:top w:val="nil"/>
              <w:left w:val="nil"/>
              <w:bottom w:val="single" w:sz="4" w:space="0" w:color="auto"/>
              <w:right w:val="single" w:sz="4" w:space="0" w:color="auto"/>
            </w:tcBorders>
            <w:shd w:val="clear" w:color="000000" w:fill="FFFFFF"/>
            <w:vAlign w:val="center"/>
            <w:hideMark/>
          </w:tcPr>
          <w:p w14:paraId="1F5CB7D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4304A6C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247E7EE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23D630C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B199D6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2F550CB4"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705A488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9</w:t>
            </w:r>
          </w:p>
        </w:tc>
        <w:tc>
          <w:tcPr>
            <w:tcW w:w="584" w:type="pct"/>
            <w:tcBorders>
              <w:top w:val="nil"/>
              <w:left w:val="nil"/>
              <w:bottom w:val="single" w:sz="4" w:space="0" w:color="auto"/>
              <w:right w:val="single" w:sz="4" w:space="0" w:color="auto"/>
            </w:tcBorders>
            <w:shd w:val="clear" w:color="000000" w:fill="FFFFFF"/>
            <w:vAlign w:val="center"/>
            <w:hideMark/>
          </w:tcPr>
          <w:p w14:paraId="529D714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rregullat e kapjes dhe të depozitimit gjeologjik të dioksidit të karbonit apo në mënyra të</w:t>
            </w:r>
            <w:r w:rsidRPr="00B6793F">
              <w:rPr>
                <w:rFonts w:ascii="Arial" w:eastAsia="Times New Roman" w:hAnsi="Arial" w:cs="Arial"/>
                <w:sz w:val="8"/>
                <w:szCs w:val="8"/>
                <w:lang w:eastAsia="sq-AL"/>
              </w:rPr>
              <w:br/>
              <w:t>tjera"</w:t>
            </w:r>
          </w:p>
        </w:tc>
        <w:tc>
          <w:tcPr>
            <w:tcW w:w="393" w:type="pct"/>
            <w:tcBorders>
              <w:top w:val="nil"/>
              <w:left w:val="nil"/>
              <w:bottom w:val="single" w:sz="4" w:space="0" w:color="auto"/>
              <w:right w:val="single" w:sz="4" w:space="0" w:color="auto"/>
            </w:tcBorders>
            <w:shd w:val="clear" w:color="000000" w:fill="FFFFFF"/>
            <w:vAlign w:val="center"/>
            <w:hideMark/>
          </w:tcPr>
          <w:p w14:paraId="7D0EC18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A2315A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 dhe MIE</w:t>
            </w:r>
          </w:p>
        </w:tc>
        <w:tc>
          <w:tcPr>
            <w:tcW w:w="362" w:type="pct"/>
            <w:tcBorders>
              <w:top w:val="nil"/>
              <w:left w:val="nil"/>
              <w:bottom w:val="single" w:sz="4" w:space="0" w:color="auto"/>
              <w:right w:val="single" w:sz="4" w:space="0" w:color="auto"/>
            </w:tcBorders>
            <w:shd w:val="clear" w:color="000000" w:fill="FFFFFF"/>
            <w:vAlign w:val="center"/>
            <w:hideMark/>
          </w:tcPr>
          <w:p w14:paraId="6F01CDA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333C604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te pikes 2 të Nenit 19 të Ligjit nr. 155/2020 "Per ndryshimet klimatike", të ndryshuar</w:t>
            </w:r>
          </w:p>
        </w:tc>
        <w:tc>
          <w:tcPr>
            <w:tcW w:w="584" w:type="pct"/>
            <w:tcBorders>
              <w:top w:val="nil"/>
              <w:left w:val="nil"/>
              <w:bottom w:val="single" w:sz="4" w:space="0" w:color="auto"/>
              <w:right w:val="single" w:sz="4" w:space="0" w:color="auto"/>
            </w:tcBorders>
            <w:shd w:val="clear" w:color="000000" w:fill="FFFFFF"/>
            <w:vAlign w:val="center"/>
            <w:hideMark/>
          </w:tcPr>
          <w:p w14:paraId="2E467C8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Vendimi i Këshillit të Ministrave do të synojë përafrimin me Direktivën 2009/31/EC të Bashkimit Evropian, e cila rregullon ruajtjen gjeologjike të dioksidit të karbonit (CO</w:t>
            </w:r>
            <w:r w:rsidRPr="00B6793F">
              <w:rPr>
                <w:rFonts w:ascii="Cambria Math" w:eastAsia="Times New Roman" w:hAnsi="Cambria Math" w:cs="Cambria Math"/>
                <w:sz w:val="8"/>
                <w:szCs w:val="8"/>
                <w:lang w:eastAsia="sq-AL"/>
              </w:rPr>
              <w:t>₂</w:t>
            </w:r>
            <w:r w:rsidRPr="00B6793F">
              <w:rPr>
                <w:rFonts w:ascii="Arial" w:eastAsia="Times New Roman" w:hAnsi="Arial" w:cs="Arial"/>
                <w:sz w:val="8"/>
                <w:szCs w:val="8"/>
                <w:lang w:eastAsia="sq-AL"/>
              </w:rPr>
              <w:t>) si një masë për uljen e shkarkimeve të gazeve serrë dhe për mbështetjen e objektivave të neutralitetit klimatik. Ky vendim do të përcaktojë kornizën kombëtare për kapjen, transportin dhe depozitimin e sigurt të CO</w:t>
            </w:r>
            <w:r w:rsidRPr="00B6793F">
              <w:rPr>
                <w:rFonts w:ascii="Cambria Math" w:eastAsia="Times New Roman" w:hAnsi="Cambria Math" w:cs="Cambria Math"/>
                <w:sz w:val="8"/>
                <w:szCs w:val="8"/>
                <w:lang w:eastAsia="sq-AL"/>
              </w:rPr>
              <w:t>₂</w:t>
            </w:r>
            <w:r w:rsidRPr="00B6793F">
              <w:rPr>
                <w:rFonts w:ascii="Arial" w:eastAsia="Times New Roman" w:hAnsi="Arial" w:cs="Arial"/>
                <w:sz w:val="8"/>
                <w:szCs w:val="8"/>
                <w:lang w:eastAsia="sq-AL"/>
              </w:rPr>
              <w:t>, duke garantuar që këto procese të zhvillohen në përputhje me standardet e BE-së për mbrojtjen e mjedisit dhe shëndetit publik.</w:t>
            </w:r>
            <w:r w:rsidRPr="00B6793F">
              <w:rPr>
                <w:rFonts w:ascii="Arial" w:eastAsia="Times New Roman" w:hAnsi="Arial" w:cs="Arial"/>
                <w:sz w:val="8"/>
                <w:szCs w:val="8"/>
                <w:lang w:eastAsia="sq-AL"/>
              </w:rPr>
              <w:br/>
              <w:t>Në mënyrë të veçantë, vendimi do të adresojë kriteret për përzgjedhjen e vendeve të depozitimit, bazuar në vlerësime të hollësishme gjeologjike dhe mjedisore, për të siguruar që ruajtja e CO</w:t>
            </w:r>
            <w:r w:rsidRPr="00B6793F">
              <w:rPr>
                <w:rFonts w:ascii="Cambria Math" w:eastAsia="Times New Roman" w:hAnsi="Cambria Math" w:cs="Cambria Math"/>
                <w:sz w:val="8"/>
                <w:szCs w:val="8"/>
                <w:lang w:eastAsia="sq-AL"/>
              </w:rPr>
              <w:t>₂</w:t>
            </w:r>
            <w:r w:rsidRPr="00B6793F">
              <w:rPr>
                <w:rFonts w:ascii="Arial" w:eastAsia="Times New Roman" w:hAnsi="Arial" w:cs="Arial"/>
                <w:sz w:val="8"/>
                <w:szCs w:val="8"/>
                <w:lang w:eastAsia="sq-AL"/>
              </w:rPr>
              <w:t xml:space="preserve"> të jetë e qëndrueshme dhe pa rrezik rrjedhjeje. Ai do të përcaktojë gjithashtu procedurat për dhënien e lejeve, kërkesat për monitorim të vazhdueshëm, si dhe detyrimet e operatorëve për raportim, mbyllje të vendit të ruajtjes dhe kalimin e përgjegjësisë tek autoritetet kompetente.Në përputhje me parimet e direktivës, vendimi do të parashikojë edhe rregulla për transportin e sigurt të CO</w:t>
            </w:r>
            <w:r w:rsidRPr="00B6793F">
              <w:rPr>
                <w:rFonts w:ascii="Cambria Math" w:eastAsia="Times New Roman" w:hAnsi="Cambria Math" w:cs="Cambria Math"/>
                <w:sz w:val="8"/>
                <w:szCs w:val="8"/>
                <w:lang w:eastAsia="sq-AL"/>
              </w:rPr>
              <w:t>₂</w:t>
            </w:r>
            <w:r w:rsidRPr="00B6793F">
              <w:rPr>
                <w:rFonts w:ascii="Arial" w:eastAsia="Times New Roman" w:hAnsi="Arial" w:cs="Arial"/>
                <w:sz w:val="8"/>
                <w:szCs w:val="8"/>
                <w:lang w:eastAsia="sq-AL"/>
              </w:rPr>
              <w:t xml:space="preserve"> dhe për koordinimin me legjislacionin mjedisor ekzistues, duke synuar që zbatimi i teknologjisë së kapjes dhe ruajtjes së karbonit (CCS) të kontribuojë në uljen e ndotjes industriale dhe në zhvillimin e qëndrueshëm të vendit.</w:t>
            </w:r>
          </w:p>
        </w:tc>
        <w:tc>
          <w:tcPr>
            <w:tcW w:w="371" w:type="pct"/>
            <w:tcBorders>
              <w:top w:val="nil"/>
              <w:left w:val="nil"/>
              <w:bottom w:val="single" w:sz="4" w:space="0" w:color="auto"/>
              <w:right w:val="single" w:sz="4" w:space="0" w:color="auto"/>
            </w:tcBorders>
            <w:shd w:val="clear" w:color="000000" w:fill="FFFFFF"/>
            <w:vAlign w:val="center"/>
            <w:hideMark/>
          </w:tcPr>
          <w:p w14:paraId="61232C3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1D65160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4A0AB34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178D89F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VKM-në nr. 581, datë 6.10.2021, “Për miratimin e Kontributit Kombëtar të Përcaktuar”</w:t>
            </w:r>
          </w:p>
        </w:tc>
        <w:tc>
          <w:tcPr>
            <w:tcW w:w="465" w:type="pct"/>
            <w:tcBorders>
              <w:top w:val="nil"/>
              <w:left w:val="nil"/>
              <w:bottom w:val="single" w:sz="4" w:space="0" w:color="auto"/>
              <w:right w:val="single" w:sz="8" w:space="0" w:color="auto"/>
            </w:tcBorders>
            <w:shd w:val="clear" w:color="000000" w:fill="FFFFFF"/>
            <w:vAlign w:val="center"/>
            <w:hideMark/>
          </w:tcPr>
          <w:p w14:paraId="2BF3497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057E413E"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CD5260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10</w:t>
            </w:r>
          </w:p>
        </w:tc>
        <w:tc>
          <w:tcPr>
            <w:tcW w:w="584" w:type="pct"/>
            <w:tcBorders>
              <w:top w:val="nil"/>
              <w:left w:val="nil"/>
              <w:bottom w:val="single" w:sz="4" w:space="0" w:color="auto"/>
              <w:right w:val="single" w:sz="4" w:space="0" w:color="auto"/>
            </w:tcBorders>
            <w:shd w:val="clear" w:color="000000" w:fill="FFFFFF"/>
            <w:vAlign w:val="center"/>
            <w:hideMark/>
          </w:tcPr>
          <w:p w14:paraId="48202C0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miratimin e planit kombëtar për menaxhimin e cilësisë së ajrit”"</w:t>
            </w:r>
          </w:p>
        </w:tc>
        <w:tc>
          <w:tcPr>
            <w:tcW w:w="393" w:type="pct"/>
            <w:tcBorders>
              <w:top w:val="nil"/>
              <w:left w:val="nil"/>
              <w:bottom w:val="single" w:sz="4" w:space="0" w:color="auto"/>
              <w:right w:val="single" w:sz="4" w:space="0" w:color="auto"/>
            </w:tcBorders>
            <w:shd w:val="clear" w:color="000000" w:fill="FFFFFF"/>
            <w:vAlign w:val="center"/>
            <w:hideMark/>
          </w:tcPr>
          <w:p w14:paraId="154550B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1F3696A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0C3F8A6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7CAC2D5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7, të ligjit nr. 162/2014, “Për mbrojtjen e cilësisë së ajrit në mjedis”, I ndryshuar.</w:t>
            </w:r>
          </w:p>
        </w:tc>
        <w:tc>
          <w:tcPr>
            <w:tcW w:w="584" w:type="pct"/>
            <w:tcBorders>
              <w:top w:val="nil"/>
              <w:left w:val="nil"/>
              <w:bottom w:val="single" w:sz="4" w:space="0" w:color="auto"/>
              <w:right w:val="single" w:sz="4" w:space="0" w:color="auto"/>
            </w:tcBorders>
            <w:shd w:val="clear" w:color="000000" w:fill="FFFFFF"/>
            <w:vAlign w:val="center"/>
            <w:hideMark/>
          </w:tcPr>
          <w:p w14:paraId="7454196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Projektakti synon të rishikoj Planit Kombëtar të Cilësisë së Ajrit duke u mbështetur edhe në parashikimet e Direktivës së re të Ajrit  Direktivën e Be-së 2024/2881 si dhe në strategjinë e rishikuar për cilësinë e ajrit. </w:t>
            </w:r>
          </w:p>
        </w:tc>
        <w:tc>
          <w:tcPr>
            <w:tcW w:w="371" w:type="pct"/>
            <w:tcBorders>
              <w:top w:val="nil"/>
              <w:left w:val="nil"/>
              <w:bottom w:val="single" w:sz="4" w:space="0" w:color="auto"/>
              <w:right w:val="single" w:sz="4" w:space="0" w:color="auto"/>
            </w:tcBorders>
            <w:shd w:val="clear" w:color="000000" w:fill="FFFFFF"/>
            <w:vAlign w:val="center"/>
            <w:hideMark/>
          </w:tcPr>
          <w:p w14:paraId="595E6FA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16EF778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akti ka perpuethshmeri me Programin politik qeverises 2025-2029 ne piken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7BC824B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483487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SKZHI 2021-2030</w:t>
            </w:r>
          </w:p>
        </w:tc>
        <w:tc>
          <w:tcPr>
            <w:tcW w:w="465" w:type="pct"/>
            <w:tcBorders>
              <w:top w:val="nil"/>
              <w:left w:val="nil"/>
              <w:bottom w:val="single" w:sz="4" w:space="0" w:color="auto"/>
              <w:right w:val="single" w:sz="8" w:space="0" w:color="auto"/>
            </w:tcBorders>
            <w:shd w:val="clear" w:color="000000" w:fill="FFFFFF"/>
            <w:vAlign w:val="center"/>
            <w:hideMark/>
          </w:tcPr>
          <w:p w14:paraId="223279F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0EBB9A13"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57999DB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11</w:t>
            </w:r>
          </w:p>
        </w:tc>
        <w:tc>
          <w:tcPr>
            <w:tcW w:w="584" w:type="pct"/>
            <w:tcBorders>
              <w:top w:val="nil"/>
              <w:left w:val="nil"/>
              <w:bottom w:val="single" w:sz="4" w:space="0" w:color="auto"/>
              <w:right w:val="single" w:sz="4" w:space="0" w:color="auto"/>
            </w:tcBorders>
            <w:shd w:val="clear" w:color="000000" w:fill="FFFFFF"/>
            <w:vAlign w:val="center"/>
            <w:hideMark/>
          </w:tcPr>
          <w:p w14:paraId="3B439C0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"Per disa shtesa dhe ndryshime ne Ligjin nr. 27/2016 “Për menaxhimin e kimikateve” i ndryshuar </w:t>
            </w:r>
          </w:p>
        </w:tc>
        <w:tc>
          <w:tcPr>
            <w:tcW w:w="393" w:type="pct"/>
            <w:tcBorders>
              <w:top w:val="nil"/>
              <w:left w:val="nil"/>
              <w:bottom w:val="single" w:sz="4" w:space="0" w:color="auto"/>
              <w:right w:val="single" w:sz="4" w:space="0" w:color="auto"/>
            </w:tcBorders>
            <w:shd w:val="clear" w:color="000000" w:fill="FFFFFF"/>
            <w:vAlign w:val="center"/>
            <w:hideMark/>
          </w:tcPr>
          <w:p w14:paraId="2BC523F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450089E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40B722F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4CC5DCA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Bazuar ne analizen e bere nga MEKI ne kuader te kapitulli 1, Levizja e  lire e mallrave, licenca e parashikaur ne ligjin 27/2016,  eshte vleresuar si barriere tregtare dhe duhet shfuqizuar. Gjithashtu, ndryshmet qe kane ndodhur se fundmi me fushat e pergjegjesive te institucioneve perkatese, sjellin si nevoje rishikimin e  ligjit 27/2016.</w:t>
            </w:r>
          </w:p>
        </w:tc>
        <w:tc>
          <w:tcPr>
            <w:tcW w:w="584" w:type="pct"/>
            <w:tcBorders>
              <w:top w:val="nil"/>
              <w:left w:val="nil"/>
              <w:bottom w:val="single" w:sz="4" w:space="0" w:color="auto"/>
              <w:right w:val="single" w:sz="4" w:space="0" w:color="auto"/>
            </w:tcBorders>
            <w:shd w:val="clear" w:color="000000" w:fill="FFFFFF"/>
            <w:vAlign w:val="center"/>
            <w:hideMark/>
          </w:tcPr>
          <w:p w14:paraId="5DAE30C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qe te nderhyet ne kete Ligj dhe te jete ne linje me Regulloren REACH te BE Nr. 1907/2006 e Parlamentit Evropian dhe e Këshillit e datës 18 dhjetor 2006, mbi Regjistrimin, Vlerësimin, Autorizimin dhe Kufizimin e Kimikateve.</w:t>
            </w:r>
          </w:p>
        </w:tc>
        <w:tc>
          <w:tcPr>
            <w:tcW w:w="371" w:type="pct"/>
            <w:tcBorders>
              <w:top w:val="nil"/>
              <w:left w:val="nil"/>
              <w:bottom w:val="single" w:sz="4" w:space="0" w:color="auto"/>
              <w:right w:val="single" w:sz="4" w:space="0" w:color="auto"/>
            </w:tcBorders>
            <w:shd w:val="clear" w:color="000000" w:fill="FFFFFF"/>
            <w:vAlign w:val="center"/>
            <w:hideMark/>
          </w:tcPr>
          <w:p w14:paraId="7E9335A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707D902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1C0FC4D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2400420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8" w:space="0" w:color="auto"/>
            </w:tcBorders>
            <w:shd w:val="clear" w:color="000000" w:fill="FFFFFF"/>
            <w:vAlign w:val="center"/>
            <w:hideMark/>
          </w:tcPr>
          <w:p w14:paraId="38F0F38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257AF23F"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4E12936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12</w:t>
            </w:r>
          </w:p>
        </w:tc>
        <w:tc>
          <w:tcPr>
            <w:tcW w:w="584" w:type="pct"/>
            <w:tcBorders>
              <w:top w:val="nil"/>
              <w:left w:val="nil"/>
              <w:bottom w:val="single" w:sz="4" w:space="0" w:color="auto"/>
              <w:right w:val="single" w:sz="4" w:space="0" w:color="auto"/>
            </w:tcBorders>
            <w:shd w:val="clear" w:color="000000" w:fill="FFFFFF"/>
            <w:vAlign w:val="center"/>
            <w:hideMark/>
          </w:tcPr>
          <w:p w14:paraId="39AEDC9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ndryshime në vendimin e Këshillit të Ministrave nr. 161, datë 19.02.2020 "Për miratimin e rregullave të nevojshme për parandalimin dhe reduktimin e ndotjes se mjedisit nga asbesti”; </w:t>
            </w:r>
          </w:p>
        </w:tc>
        <w:tc>
          <w:tcPr>
            <w:tcW w:w="393" w:type="pct"/>
            <w:tcBorders>
              <w:top w:val="nil"/>
              <w:left w:val="nil"/>
              <w:bottom w:val="single" w:sz="4" w:space="0" w:color="auto"/>
              <w:right w:val="single" w:sz="4" w:space="0" w:color="auto"/>
            </w:tcBorders>
            <w:shd w:val="clear" w:color="000000" w:fill="FFFFFF"/>
            <w:vAlign w:val="center"/>
            <w:hideMark/>
          </w:tcPr>
          <w:p w14:paraId="04509F5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23FC847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2972E99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3877A18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 zbatim te pikës 2, të nenit 23, të  Ligjit Nr. 27/2016 “Për menaxhimin e kimikateve” i ndryshuar </w:t>
            </w:r>
          </w:p>
        </w:tc>
        <w:tc>
          <w:tcPr>
            <w:tcW w:w="584" w:type="pct"/>
            <w:tcBorders>
              <w:top w:val="nil"/>
              <w:left w:val="nil"/>
              <w:bottom w:val="single" w:sz="4" w:space="0" w:color="auto"/>
              <w:right w:val="single" w:sz="4" w:space="0" w:color="auto"/>
            </w:tcBorders>
            <w:shd w:val="clear" w:color="000000" w:fill="FFFFFF"/>
            <w:vAlign w:val="center"/>
            <w:hideMark/>
          </w:tcPr>
          <w:p w14:paraId="607C1B1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qe te nderhyet ne kete Projektvendim dhe te perafrohet plotesisht me Direktivën e Asbestit 87/217/KE</w:t>
            </w:r>
          </w:p>
        </w:tc>
        <w:tc>
          <w:tcPr>
            <w:tcW w:w="371" w:type="pct"/>
            <w:tcBorders>
              <w:top w:val="nil"/>
              <w:left w:val="nil"/>
              <w:bottom w:val="single" w:sz="4" w:space="0" w:color="auto"/>
              <w:right w:val="single" w:sz="4" w:space="0" w:color="auto"/>
            </w:tcBorders>
            <w:shd w:val="clear" w:color="000000" w:fill="FFFFFF"/>
            <w:vAlign w:val="center"/>
            <w:hideMark/>
          </w:tcPr>
          <w:p w14:paraId="142949C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0EFF549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745E13A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5823E65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8" w:space="0" w:color="auto"/>
            </w:tcBorders>
            <w:shd w:val="clear" w:color="000000" w:fill="FFFFFF"/>
            <w:vAlign w:val="center"/>
            <w:hideMark/>
          </w:tcPr>
          <w:p w14:paraId="7448BCA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0A8B07BB"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78AC13C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13</w:t>
            </w:r>
          </w:p>
        </w:tc>
        <w:tc>
          <w:tcPr>
            <w:tcW w:w="584" w:type="pct"/>
            <w:tcBorders>
              <w:top w:val="nil"/>
              <w:left w:val="nil"/>
              <w:bottom w:val="single" w:sz="8" w:space="0" w:color="auto"/>
              <w:right w:val="single" w:sz="4" w:space="0" w:color="auto"/>
            </w:tcBorders>
            <w:shd w:val="clear" w:color="000000" w:fill="FFFFFF"/>
            <w:vAlign w:val="center"/>
            <w:hideMark/>
          </w:tcPr>
          <w:p w14:paraId="7C7ECE2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miratimin e Planit Kombëtar për Menaxhimin e Sigurt të Kimikateve"</w:t>
            </w:r>
          </w:p>
        </w:tc>
        <w:tc>
          <w:tcPr>
            <w:tcW w:w="393" w:type="pct"/>
            <w:tcBorders>
              <w:top w:val="nil"/>
              <w:left w:val="nil"/>
              <w:bottom w:val="single" w:sz="4" w:space="0" w:color="auto"/>
              <w:right w:val="single" w:sz="4" w:space="0" w:color="auto"/>
            </w:tcBorders>
            <w:shd w:val="clear" w:color="000000" w:fill="FFFFFF"/>
            <w:vAlign w:val="center"/>
            <w:hideMark/>
          </w:tcPr>
          <w:p w14:paraId="27B745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CE579D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8" w:space="0" w:color="auto"/>
              <w:right w:val="single" w:sz="4" w:space="0" w:color="auto"/>
            </w:tcBorders>
            <w:shd w:val="clear" w:color="000000" w:fill="FFFFFF"/>
            <w:vAlign w:val="center"/>
            <w:hideMark/>
          </w:tcPr>
          <w:p w14:paraId="4A7FB9D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8" w:space="0" w:color="auto"/>
              <w:right w:val="single" w:sz="4" w:space="0" w:color="auto"/>
            </w:tcBorders>
            <w:shd w:val="clear" w:color="000000" w:fill="FFFFFF"/>
            <w:vAlign w:val="center"/>
            <w:hideMark/>
          </w:tcPr>
          <w:p w14:paraId="210968A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pikës 1, të nenit 26, të ligjit nr. 27/2016, “Për menaxhimin e kimikateve” </w:t>
            </w:r>
          </w:p>
        </w:tc>
        <w:tc>
          <w:tcPr>
            <w:tcW w:w="584" w:type="pct"/>
            <w:tcBorders>
              <w:top w:val="nil"/>
              <w:left w:val="nil"/>
              <w:bottom w:val="single" w:sz="8" w:space="0" w:color="auto"/>
              <w:right w:val="single" w:sz="4" w:space="0" w:color="auto"/>
            </w:tcBorders>
            <w:shd w:val="clear" w:color="000000" w:fill="FFFFFF"/>
            <w:hideMark/>
          </w:tcPr>
          <w:p w14:paraId="0101096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Miratimin per here te pare te Planit Kombetar te Kimikateve, i cili synon harmonizimin e masave qe duhen ndermarre nga të gjithë institucionet politikberese dhe ligjzbatuese ne 5 vitet e ardhshme, për te siguruar menaxhimin e sigurtë të kimikateve në një qasje ndërinstitucionale dhe ndërsektoriale, duke kontribuar keshtu ne mbrojtjen e mjedisit dhe shendetit te njeriut nga kimikatet. </w:t>
            </w:r>
          </w:p>
        </w:tc>
        <w:tc>
          <w:tcPr>
            <w:tcW w:w="371" w:type="pct"/>
            <w:tcBorders>
              <w:top w:val="nil"/>
              <w:left w:val="nil"/>
              <w:bottom w:val="single" w:sz="4" w:space="0" w:color="auto"/>
              <w:right w:val="single" w:sz="4" w:space="0" w:color="auto"/>
            </w:tcBorders>
            <w:shd w:val="clear" w:color="000000" w:fill="FFFFFF"/>
            <w:vAlign w:val="center"/>
            <w:hideMark/>
          </w:tcPr>
          <w:p w14:paraId="1FD20DA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5863A99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026D37D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3303332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8" w:space="0" w:color="auto"/>
            </w:tcBorders>
            <w:shd w:val="clear" w:color="000000" w:fill="FFFFFF"/>
            <w:vAlign w:val="center"/>
            <w:hideMark/>
          </w:tcPr>
          <w:p w14:paraId="1CCD498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6E7A611C"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2B4472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14</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14:paraId="291B9D0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kërkesave teknike dhe operative për mbetjet dhe për </w:t>
            </w:r>
            <w:r w:rsidRPr="00B6793F">
              <w:rPr>
                <w:rFonts w:ascii="Arial" w:eastAsia="Times New Roman" w:hAnsi="Arial" w:cs="Arial"/>
                <w:i/>
                <w:iCs/>
                <w:sz w:val="8"/>
                <w:szCs w:val="8"/>
                <w:lang w:eastAsia="sq-AL"/>
              </w:rPr>
              <w:t>landfill</w:t>
            </w:r>
            <w:r w:rsidRPr="00B6793F">
              <w:rPr>
                <w:rFonts w:ascii="Arial" w:eastAsia="Times New Roman" w:hAnsi="Arial" w:cs="Arial"/>
                <w:sz w:val="8"/>
                <w:szCs w:val="8"/>
                <w:lang w:eastAsia="sq-AL"/>
              </w:rPr>
              <w:t xml:space="preserve">-et për të përcaktuar masat, procedurat, standardet, garancitë financiare dhe udhëzimet për krijimin, operimin dhe mbylljen e </w:t>
            </w:r>
            <w:r w:rsidRPr="00B6793F">
              <w:rPr>
                <w:rFonts w:ascii="Arial" w:eastAsia="Times New Roman" w:hAnsi="Arial" w:cs="Arial"/>
                <w:i/>
                <w:iCs/>
                <w:sz w:val="8"/>
                <w:szCs w:val="8"/>
                <w:lang w:eastAsia="sq-AL"/>
              </w:rPr>
              <w:t>landfill</w:t>
            </w:r>
            <w:r w:rsidRPr="00B6793F">
              <w:rPr>
                <w:rFonts w:ascii="Arial" w:eastAsia="Times New Roman" w:hAnsi="Arial" w:cs="Arial"/>
                <w:sz w:val="8"/>
                <w:szCs w:val="8"/>
                <w:lang w:eastAsia="sq-AL"/>
              </w:rPr>
              <w:t xml:space="preserve">-eve     </w:t>
            </w:r>
          </w:p>
        </w:tc>
        <w:tc>
          <w:tcPr>
            <w:tcW w:w="393" w:type="pct"/>
            <w:tcBorders>
              <w:top w:val="nil"/>
              <w:left w:val="nil"/>
              <w:bottom w:val="single" w:sz="4" w:space="0" w:color="auto"/>
              <w:right w:val="single" w:sz="4" w:space="0" w:color="auto"/>
            </w:tcBorders>
            <w:shd w:val="clear" w:color="000000" w:fill="FFFFFF"/>
            <w:vAlign w:val="center"/>
            <w:hideMark/>
          </w:tcPr>
          <w:p w14:paraId="2364164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51B7312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single" w:sz="4" w:space="0" w:color="auto"/>
              <w:left w:val="nil"/>
              <w:bottom w:val="single" w:sz="4" w:space="0" w:color="auto"/>
              <w:right w:val="single" w:sz="4" w:space="0" w:color="auto"/>
            </w:tcBorders>
            <w:shd w:val="clear" w:color="000000" w:fill="FFFFFF"/>
            <w:vAlign w:val="center"/>
            <w:hideMark/>
          </w:tcPr>
          <w:p w14:paraId="7BE5881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nil"/>
              <w:right w:val="nil"/>
            </w:tcBorders>
            <w:shd w:val="clear" w:color="000000" w:fill="FFFFFF"/>
            <w:vAlign w:val="center"/>
            <w:hideMark/>
          </w:tcPr>
          <w:p w14:paraId="2FA211C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34, pikat 1, 7 dhe 9 dhe nenit 36, pika 4, të Ligjit nr. 57/2025 "Për menaxhimin e integruar të mbetjeve". Direktiva e Këshillit 1999/31/EC datë 26 Prill 1999 “Për landfillin e mbetjeve”</w:t>
            </w:r>
          </w:p>
        </w:tc>
        <w:tc>
          <w:tcPr>
            <w:tcW w:w="58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FCC4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Kërkeste teknike dhe operative për mbetjet dhe landfill-et. Masat, procedurat, standardet dhe udhëzimet për krijimin, operimin dhe mbylljen e landfill-eve</w:t>
            </w:r>
          </w:p>
        </w:tc>
        <w:tc>
          <w:tcPr>
            <w:tcW w:w="371" w:type="pct"/>
            <w:tcBorders>
              <w:top w:val="nil"/>
              <w:left w:val="nil"/>
              <w:bottom w:val="single" w:sz="4" w:space="0" w:color="auto"/>
              <w:right w:val="single" w:sz="4" w:space="0" w:color="auto"/>
            </w:tcBorders>
            <w:shd w:val="clear" w:color="000000" w:fill="FFFFFF"/>
            <w:vAlign w:val="center"/>
            <w:hideMark/>
          </w:tcPr>
          <w:p w14:paraId="629D0F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3E57030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2B1BB17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60748D4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725CD59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27555D2B"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7EC60F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15</w:t>
            </w:r>
          </w:p>
        </w:tc>
        <w:tc>
          <w:tcPr>
            <w:tcW w:w="584" w:type="pct"/>
            <w:tcBorders>
              <w:top w:val="nil"/>
              <w:left w:val="nil"/>
              <w:bottom w:val="single" w:sz="4" w:space="0" w:color="auto"/>
              <w:right w:val="single" w:sz="4" w:space="0" w:color="auto"/>
            </w:tcBorders>
            <w:shd w:val="clear" w:color="000000" w:fill="FFFFFF"/>
            <w:vAlign w:val="center"/>
            <w:hideMark/>
          </w:tcPr>
          <w:p w14:paraId="7251A07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rregullave për llogaritjen e përmbushjes së objektivave të parashikuar në Strategjinë Kombëtare për Menaxhimin e Integruar të Mbetjeve dhe planin e veprimit, përjashtimit nga pranimi në landfill të kategorive të tjera të mbetjeve si dhe                                          ndalimit të pranimit në landfill-e të mbetjeve që janë të përshtatshme për riciklim apo për ndonjë lloj tjetër rikuperimi</w:t>
            </w:r>
          </w:p>
        </w:tc>
        <w:tc>
          <w:tcPr>
            <w:tcW w:w="393" w:type="pct"/>
            <w:tcBorders>
              <w:top w:val="nil"/>
              <w:left w:val="nil"/>
              <w:bottom w:val="single" w:sz="4" w:space="0" w:color="auto"/>
              <w:right w:val="single" w:sz="4" w:space="0" w:color="auto"/>
            </w:tcBorders>
            <w:shd w:val="clear" w:color="000000" w:fill="FFFFFF"/>
            <w:vAlign w:val="center"/>
            <w:hideMark/>
          </w:tcPr>
          <w:p w14:paraId="4085541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55F8AB9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3FDB65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single" w:sz="4" w:space="0" w:color="auto"/>
              <w:left w:val="nil"/>
              <w:bottom w:val="single" w:sz="4" w:space="0" w:color="auto"/>
              <w:right w:val="single" w:sz="4" w:space="0" w:color="auto"/>
            </w:tcBorders>
            <w:shd w:val="clear" w:color="000000" w:fill="FFFFFF"/>
            <w:vAlign w:val="center"/>
            <w:hideMark/>
          </w:tcPr>
          <w:p w14:paraId="5EC50DF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35, pika 4, të Ligjit nr. 57/2025 "Për menaxhimin e integruar të mbetjeve" dhe për përafrim të Direktivës së Këshillit 1999/31/EC datë 26 Prill 1999 “Për landfillin e mbetjeve” dhe Direktivës Kuadër të Mbetjeve 2008/98/EC, e ndryshuar</w:t>
            </w:r>
          </w:p>
        </w:tc>
        <w:tc>
          <w:tcPr>
            <w:tcW w:w="584" w:type="pct"/>
            <w:tcBorders>
              <w:top w:val="nil"/>
              <w:left w:val="nil"/>
              <w:bottom w:val="single" w:sz="4" w:space="0" w:color="auto"/>
              <w:right w:val="single" w:sz="4" w:space="0" w:color="auto"/>
            </w:tcBorders>
            <w:shd w:val="clear" w:color="000000" w:fill="FFFFFF"/>
            <w:vAlign w:val="center"/>
            <w:hideMark/>
          </w:tcPr>
          <w:p w14:paraId="48B6AE4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Rregullat për llogaritjen e përmbushjes së objektivave të  SKMIM dhe planin e veprimit; Përjashtimit nga pranimi në landfill të kategorive të tjera të mbetjeve; Ndalimi i pranimit në landfill-e të mbetjeve  të përshtatshme për riciklim apo për rikuperim, si dhe afatin nga i cili do të nisë ky ndalim.</w:t>
            </w:r>
          </w:p>
        </w:tc>
        <w:tc>
          <w:tcPr>
            <w:tcW w:w="371" w:type="pct"/>
            <w:tcBorders>
              <w:top w:val="nil"/>
              <w:left w:val="nil"/>
              <w:bottom w:val="single" w:sz="4" w:space="0" w:color="auto"/>
              <w:right w:val="single" w:sz="4" w:space="0" w:color="auto"/>
            </w:tcBorders>
            <w:shd w:val="clear" w:color="000000" w:fill="FFFFFF"/>
            <w:vAlign w:val="center"/>
            <w:hideMark/>
          </w:tcPr>
          <w:p w14:paraId="2348ADF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3645A95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297EC16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7ECD7E5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2C7533E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43084539"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0E4073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16</w:t>
            </w:r>
          </w:p>
        </w:tc>
        <w:tc>
          <w:tcPr>
            <w:tcW w:w="584" w:type="pct"/>
            <w:tcBorders>
              <w:top w:val="nil"/>
              <w:left w:val="nil"/>
              <w:bottom w:val="single" w:sz="4" w:space="0" w:color="auto"/>
              <w:right w:val="single" w:sz="4" w:space="0" w:color="auto"/>
            </w:tcBorders>
            <w:shd w:val="clear" w:color="000000" w:fill="FFFFFF"/>
            <w:vAlign w:val="center"/>
            <w:hideMark/>
          </w:tcPr>
          <w:p w14:paraId="16F4FB6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masave dhe institucionet shtetërore përgjegjëse për ndalimin e përdorimit, hedhjes në treg, prodhimit, importimit ose futjes në territorin e Republikës së Shqipërisë e qeseve plastike mbajtëse të lehta, si dhe e qeseve plastike mbajtëse të oxo-degradueshme, si dhe kërkesave minimale për hedhjen ne treg të ambalazheve</w:t>
            </w:r>
          </w:p>
        </w:tc>
        <w:tc>
          <w:tcPr>
            <w:tcW w:w="393" w:type="pct"/>
            <w:tcBorders>
              <w:top w:val="nil"/>
              <w:left w:val="nil"/>
              <w:bottom w:val="single" w:sz="4" w:space="0" w:color="auto"/>
              <w:right w:val="single" w:sz="4" w:space="0" w:color="auto"/>
            </w:tcBorders>
            <w:shd w:val="clear" w:color="000000" w:fill="FFFFFF"/>
            <w:vAlign w:val="center"/>
            <w:hideMark/>
          </w:tcPr>
          <w:p w14:paraId="4F5E84E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81C5E0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734F94B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nil"/>
              <w:right w:val="nil"/>
            </w:tcBorders>
            <w:shd w:val="clear" w:color="000000" w:fill="FFFFFF"/>
            <w:vAlign w:val="center"/>
            <w:hideMark/>
          </w:tcPr>
          <w:p w14:paraId="4F094BF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49, pikat 1 dhe 2, të Ligjit nr. 57/2025 "Për menaxhimin e integruar të mbetjeve". Direktiva (BE) 2019/904  Parlamentit Europian dhe Këshillit  datë 5 Qershor 2019 “Për reduktimin e impaktit të plastikës njëpërdorimshme në mjedis”.</w:t>
            </w:r>
          </w:p>
        </w:tc>
        <w:tc>
          <w:tcPr>
            <w:tcW w:w="584" w:type="pct"/>
            <w:tcBorders>
              <w:top w:val="nil"/>
              <w:left w:val="single" w:sz="4" w:space="0" w:color="auto"/>
              <w:bottom w:val="single" w:sz="4" w:space="0" w:color="auto"/>
              <w:right w:val="single" w:sz="4" w:space="0" w:color="auto"/>
            </w:tcBorders>
            <w:shd w:val="clear" w:color="000000" w:fill="FFFFFF"/>
            <w:vAlign w:val="center"/>
            <w:hideMark/>
          </w:tcPr>
          <w:p w14:paraId="32B3CC3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Masat dhe institucionet shtetërore përgjegjëse për ndalimin e përdorimit, hedhjes në treg, prodhimit, importimit të Shqipërisë e qeseve plastike mbajtëse të lehta, si dhe e qeseve plastike mbajtëse të oxo-degradueshme</w:t>
            </w:r>
          </w:p>
        </w:tc>
        <w:tc>
          <w:tcPr>
            <w:tcW w:w="371" w:type="pct"/>
            <w:tcBorders>
              <w:top w:val="nil"/>
              <w:left w:val="nil"/>
              <w:bottom w:val="single" w:sz="4" w:space="0" w:color="auto"/>
              <w:right w:val="single" w:sz="4" w:space="0" w:color="auto"/>
            </w:tcBorders>
            <w:shd w:val="clear" w:color="000000" w:fill="FFFFFF"/>
            <w:vAlign w:val="center"/>
            <w:hideMark/>
          </w:tcPr>
          <w:p w14:paraId="36AF695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02695AB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1ECA011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4698845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4198B7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5A94285C"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2F54724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17</w:t>
            </w:r>
          </w:p>
        </w:tc>
        <w:tc>
          <w:tcPr>
            <w:tcW w:w="584" w:type="pct"/>
            <w:tcBorders>
              <w:top w:val="nil"/>
              <w:left w:val="nil"/>
              <w:bottom w:val="single" w:sz="4" w:space="0" w:color="auto"/>
              <w:right w:val="single" w:sz="4" w:space="0" w:color="auto"/>
            </w:tcBorders>
            <w:shd w:val="clear" w:color="000000" w:fill="FFFFFF"/>
            <w:vAlign w:val="center"/>
            <w:hideMark/>
          </w:tcPr>
          <w:p w14:paraId="55AFD33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rregullave që parashikojnë dispozitat kalimtare për venddepozitimet/landfill-et ekzistuese.</w:t>
            </w:r>
          </w:p>
        </w:tc>
        <w:tc>
          <w:tcPr>
            <w:tcW w:w="393" w:type="pct"/>
            <w:tcBorders>
              <w:top w:val="nil"/>
              <w:left w:val="nil"/>
              <w:bottom w:val="single" w:sz="4" w:space="0" w:color="auto"/>
              <w:right w:val="single" w:sz="4" w:space="0" w:color="auto"/>
            </w:tcBorders>
            <w:shd w:val="clear" w:color="000000" w:fill="FFFFFF"/>
            <w:vAlign w:val="center"/>
            <w:hideMark/>
          </w:tcPr>
          <w:p w14:paraId="5547009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1FEF1E6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336E95C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single" w:sz="4" w:space="0" w:color="auto"/>
              <w:left w:val="nil"/>
              <w:bottom w:val="single" w:sz="4" w:space="0" w:color="auto"/>
              <w:right w:val="single" w:sz="4" w:space="0" w:color="auto"/>
            </w:tcBorders>
            <w:shd w:val="clear" w:color="000000" w:fill="FFFFFF"/>
            <w:vAlign w:val="center"/>
            <w:hideMark/>
          </w:tcPr>
          <w:p w14:paraId="347417B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Në zbatim të nenit 80, të Ligjit të ri nr. 57/2025 "Për menaxhimin e integruar të mbetjeve" për tu harmonizuar me kërkesat e reja ligjore në fushën e mbetjeve</w:t>
            </w:r>
          </w:p>
        </w:tc>
        <w:tc>
          <w:tcPr>
            <w:tcW w:w="584" w:type="pct"/>
            <w:tcBorders>
              <w:top w:val="nil"/>
              <w:left w:val="nil"/>
              <w:bottom w:val="single" w:sz="4" w:space="0" w:color="auto"/>
              <w:right w:val="single" w:sz="4" w:space="0" w:color="auto"/>
            </w:tcBorders>
            <w:shd w:val="clear" w:color="000000" w:fill="FFFFFF"/>
            <w:vAlign w:val="center"/>
            <w:hideMark/>
          </w:tcPr>
          <w:p w14:paraId="64BF3C1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Rregullat për dispozitat kalimtare të venddepozitimet/landfill-et ekzistuese.</w:t>
            </w:r>
          </w:p>
        </w:tc>
        <w:tc>
          <w:tcPr>
            <w:tcW w:w="371" w:type="pct"/>
            <w:tcBorders>
              <w:top w:val="nil"/>
              <w:left w:val="nil"/>
              <w:bottom w:val="single" w:sz="4" w:space="0" w:color="auto"/>
              <w:right w:val="single" w:sz="4" w:space="0" w:color="auto"/>
            </w:tcBorders>
            <w:shd w:val="clear" w:color="000000" w:fill="FFFFFF"/>
            <w:vAlign w:val="center"/>
            <w:hideMark/>
          </w:tcPr>
          <w:p w14:paraId="17724D4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170B525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2863B51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142818F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1537AA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4CC0BEA4"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00DD424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18</w:t>
            </w:r>
          </w:p>
        </w:tc>
        <w:tc>
          <w:tcPr>
            <w:tcW w:w="584" w:type="pct"/>
            <w:tcBorders>
              <w:top w:val="nil"/>
              <w:left w:val="nil"/>
              <w:bottom w:val="single" w:sz="4" w:space="0" w:color="auto"/>
              <w:right w:val="single" w:sz="4" w:space="0" w:color="auto"/>
            </w:tcBorders>
            <w:shd w:val="clear" w:color="000000" w:fill="FFFFFF"/>
            <w:vAlign w:val="center"/>
            <w:hideMark/>
          </w:tcPr>
          <w:p w14:paraId="4343F34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rregullave për eksportin e mbetjeve të rrezikshme, jo të rrezikshme dhe inerte, si dhe për kalimin tranzit të mbetjeve jo të rrezikshme </w:t>
            </w:r>
          </w:p>
        </w:tc>
        <w:tc>
          <w:tcPr>
            <w:tcW w:w="393" w:type="pct"/>
            <w:tcBorders>
              <w:top w:val="nil"/>
              <w:left w:val="nil"/>
              <w:bottom w:val="single" w:sz="4" w:space="0" w:color="auto"/>
              <w:right w:val="single" w:sz="4" w:space="0" w:color="auto"/>
            </w:tcBorders>
            <w:shd w:val="clear" w:color="000000" w:fill="FFFFFF"/>
            <w:vAlign w:val="center"/>
            <w:hideMark/>
          </w:tcPr>
          <w:p w14:paraId="20D9F7E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6508A59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17C6A7E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3B23BB9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73, pika 5 dhe nenit 74, pika 5, të Ligjit nr. 57/2025 "Për menaxhimin e integruar të mbetjeve". Rregullorja (KE) Nr. 1013/2006 e Parlamentit Europian dhe Këshillit  datë 14 Qershor 2006 “Mbi lëvizjen ndërkufitare të mbetjeve”</w:t>
            </w:r>
          </w:p>
        </w:tc>
        <w:tc>
          <w:tcPr>
            <w:tcW w:w="584" w:type="pct"/>
            <w:tcBorders>
              <w:top w:val="nil"/>
              <w:left w:val="nil"/>
              <w:bottom w:val="single" w:sz="4" w:space="0" w:color="auto"/>
              <w:right w:val="single" w:sz="4" w:space="0" w:color="auto"/>
            </w:tcBorders>
            <w:shd w:val="clear" w:color="000000" w:fill="FFFFFF"/>
            <w:vAlign w:val="center"/>
            <w:hideMark/>
          </w:tcPr>
          <w:p w14:paraId="64E0103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Rregullat për eksportin e mbetjeve te rrezikshme, jo te rrezikshme dhe për kalimin tranzit të mbetjeve jo të rrezikshme</w:t>
            </w:r>
          </w:p>
        </w:tc>
        <w:tc>
          <w:tcPr>
            <w:tcW w:w="371" w:type="pct"/>
            <w:tcBorders>
              <w:top w:val="nil"/>
              <w:left w:val="nil"/>
              <w:bottom w:val="single" w:sz="4" w:space="0" w:color="auto"/>
              <w:right w:val="single" w:sz="4" w:space="0" w:color="auto"/>
            </w:tcBorders>
            <w:shd w:val="clear" w:color="000000" w:fill="FFFFFF"/>
            <w:vAlign w:val="center"/>
            <w:hideMark/>
          </w:tcPr>
          <w:p w14:paraId="02DB7DC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3974122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34EA49F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1B24CF7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E36F0C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47FFB743"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95E6F3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19</w:t>
            </w:r>
          </w:p>
        </w:tc>
        <w:tc>
          <w:tcPr>
            <w:tcW w:w="584" w:type="pct"/>
            <w:tcBorders>
              <w:top w:val="nil"/>
              <w:left w:val="nil"/>
              <w:bottom w:val="single" w:sz="4" w:space="0" w:color="auto"/>
              <w:right w:val="single" w:sz="4" w:space="0" w:color="auto"/>
            </w:tcBorders>
            <w:shd w:val="clear" w:color="000000" w:fill="FFFFFF"/>
            <w:vAlign w:val="center"/>
            <w:hideMark/>
          </w:tcPr>
          <w:p w14:paraId="56DDA8C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rregullat dhe proçedurat për hartimin dhe zbatimin e Programit Kombëtar të Monitorimit të Mjedisit”</w:t>
            </w:r>
          </w:p>
        </w:tc>
        <w:tc>
          <w:tcPr>
            <w:tcW w:w="393" w:type="pct"/>
            <w:tcBorders>
              <w:top w:val="nil"/>
              <w:left w:val="nil"/>
              <w:bottom w:val="single" w:sz="4" w:space="0" w:color="auto"/>
              <w:right w:val="single" w:sz="4" w:space="0" w:color="auto"/>
            </w:tcBorders>
            <w:shd w:val="clear" w:color="000000" w:fill="FFFFFF"/>
            <w:vAlign w:val="center"/>
            <w:hideMark/>
          </w:tcPr>
          <w:p w14:paraId="10A1010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0BB0895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0E91796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7DEAC04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pikës 2, të nenit 41, të ligjit Nr. 10 431, datë 9.06.2011 “Për mbrojtjen e mjedisit” i ndryshuar</w:t>
            </w:r>
          </w:p>
        </w:tc>
        <w:tc>
          <w:tcPr>
            <w:tcW w:w="584" w:type="pct"/>
            <w:tcBorders>
              <w:top w:val="nil"/>
              <w:left w:val="nil"/>
              <w:bottom w:val="single" w:sz="4" w:space="0" w:color="auto"/>
              <w:right w:val="single" w:sz="4" w:space="0" w:color="auto"/>
            </w:tcBorders>
            <w:shd w:val="clear" w:color="000000" w:fill="FFFFFF"/>
            <w:vAlign w:val="center"/>
            <w:hideMark/>
          </w:tcPr>
          <w:p w14:paraId="31E0350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kuadër të përafrimit me legjislacionin evropian </w:t>
            </w:r>
          </w:p>
        </w:tc>
        <w:tc>
          <w:tcPr>
            <w:tcW w:w="371" w:type="pct"/>
            <w:tcBorders>
              <w:top w:val="nil"/>
              <w:left w:val="nil"/>
              <w:bottom w:val="single" w:sz="4" w:space="0" w:color="auto"/>
              <w:right w:val="single" w:sz="4" w:space="0" w:color="auto"/>
            </w:tcBorders>
            <w:shd w:val="clear" w:color="000000" w:fill="FFFFFF"/>
            <w:vAlign w:val="center"/>
            <w:hideMark/>
          </w:tcPr>
          <w:p w14:paraId="015FD69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54B73DE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14CEE73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608816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000000"/>
              <w:right w:val="single" w:sz="4" w:space="0" w:color="000000"/>
            </w:tcBorders>
            <w:shd w:val="clear" w:color="000000" w:fill="FFFFFF"/>
            <w:vAlign w:val="center"/>
            <w:hideMark/>
          </w:tcPr>
          <w:p w14:paraId="5FC29CA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mjedisor</w:t>
            </w:r>
          </w:p>
        </w:tc>
      </w:tr>
      <w:tr w:rsidR="004C7CDB" w:rsidRPr="00B6793F" w14:paraId="2793E846"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82658F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20</w:t>
            </w:r>
          </w:p>
        </w:tc>
        <w:tc>
          <w:tcPr>
            <w:tcW w:w="584" w:type="pct"/>
            <w:tcBorders>
              <w:top w:val="nil"/>
              <w:left w:val="nil"/>
              <w:bottom w:val="single" w:sz="4" w:space="0" w:color="auto"/>
              <w:right w:val="single" w:sz="4" w:space="0" w:color="auto"/>
            </w:tcBorders>
            <w:shd w:val="clear" w:color="000000" w:fill="FFFFFF"/>
            <w:vAlign w:val="center"/>
            <w:hideMark/>
          </w:tcPr>
          <w:p w14:paraId="322FA41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miratimin e rregullave dhe procedurave për zbatimin e rregulloreveFLEGT dhe EUDR"</w:t>
            </w:r>
          </w:p>
        </w:tc>
        <w:tc>
          <w:tcPr>
            <w:tcW w:w="393" w:type="pct"/>
            <w:tcBorders>
              <w:top w:val="nil"/>
              <w:left w:val="nil"/>
              <w:bottom w:val="single" w:sz="4" w:space="0" w:color="auto"/>
              <w:right w:val="single" w:sz="4" w:space="0" w:color="auto"/>
            </w:tcBorders>
            <w:shd w:val="clear" w:color="000000" w:fill="FFFFFF"/>
            <w:vAlign w:val="center"/>
            <w:hideMark/>
          </w:tcPr>
          <w:p w14:paraId="68B7E91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27506A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Ministri i Mjedisit </w:t>
            </w:r>
          </w:p>
        </w:tc>
        <w:tc>
          <w:tcPr>
            <w:tcW w:w="362" w:type="pct"/>
            <w:tcBorders>
              <w:top w:val="nil"/>
              <w:left w:val="nil"/>
              <w:bottom w:val="single" w:sz="4" w:space="0" w:color="auto"/>
              <w:right w:val="single" w:sz="4" w:space="0" w:color="auto"/>
            </w:tcBorders>
            <w:shd w:val="clear" w:color="000000" w:fill="FFFFFF"/>
            <w:vAlign w:val="center"/>
            <w:hideMark/>
          </w:tcPr>
          <w:p w14:paraId="0E8DB1A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37" w:type="pct"/>
            <w:tcBorders>
              <w:top w:val="nil"/>
              <w:left w:val="nil"/>
              <w:bottom w:val="single" w:sz="4" w:space="0" w:color="auto"/>
              <w:right w:val="single" w:sz="4" w:space="0" w:color="auto"/>
            </w:tcBorders>
            <w:shd w:val="clear" w:color="000000" w:fill="FFFFFF"/>
            <w:vAlign w:val="center"/>
            <w:hideMark/>
          </w:tcPr>
          <w:p w14:paraId="6CE4295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duhet të vendosë mekanizmat zbatuese për zbatimin e detyrimeve që rrjedhin nga Rregullorja FLEGT(nr. 2173/2005) dhe EUDR (nr.2023/1115)</w:t>
            </w:r>
          </w:p>
        </w:tc>
        <w:tc>
          <w:tcPr>
            <w:tcW w:w="584" w:type="pct"/>
            <w:tcBorders>
              <w:top w:val="nil"/>
              <w:left w:val="nil"/>
              <w:bottom w:val="single" w:sz="4" w:space="0" w:color="auto"/>
              <w:right w:val="single" w:sz="4" w:space="0" w:color="auto"/>
            </w:tcBorders>
            <w:shd w:val="clear" w:color="000000" w:fill="FFFFFF"/>
            <w:vAlign w:val="center"/>
            <w:hideMark/>
          </w:tcPr>
          <w:p w14:paraId="081366E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Krijimi i sistemit të licencimit dhe procedurave për shitjen e lëndës së drurit në BE dhe përgatitjen e sistemit pasi Shqipëria të jetë Shtet Anëtar</w:t>
            </w:r>
          </w:p>
        </w:tc>
        <w:tc>
          <w:tcPr>
            <w:tcW w:w="371" w:type="pct"/>
            <w:tcBorders>
              <w:top w:val="nil"/>
              <w:left w:val="nil"/>
              <w:bottom w:val="single" w:sz="4" w:space="0" w:color="auto"/>
              <w:right w:val="single" w:sz="4" w:space="0" w:color="auto"/>
            </w:tcBorders>
            <w:shd w:val="clear" w:color="000000" w:fill="FFFFFF"/>
            <w:vAlign w:val="center"/>
            <w:hideMark/>
          </w:tcPr>
          <w:p w14:paraId="6B601DB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6160AEE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Përputhet me objektivin për kontrollin e tregtisë ilegale të specieve.</w:t>
            </w:r>
          </w:p>
        </w:tc>
        <w:tc>
          <w:tcPr>
            <w:tcW w:w="335" w:type="pct"/>
            <w:tcBorders>
              <w:top w:val="nil"/>
              <w:left w:val="nil"/>
              <w:bottom w:val="single" w:sz="4" w:space="0" w:color="auto"/>
              <w:right w:val="single" w:sz="4" w:space="0" w:color="auto"/>
            </w:tcBorders>
            <w:shd w:val="clear" w:color="000000" w:fill="FFFFFF"/>
            <w:vAlign w:val="center"/>
            <w:hideMark/>
          </w:tcPr>
          <w:p w14:paraId="5521A69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0701835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për Pyjet</w:t>
            </w:r>
          </w:p>
        </w:tc>
        <w:tc>
          <w:tcPr>
            <w:tcW w:w="465" w:type="pct"/>
            <w:tcBorders>
              <w:top w:val="nil"/>
              <w:left w:val="nil"/>
              <w:bottom w:val="single" w:sz="4" w:space="0" w:color="auto"/>
              <w:right w:val="single" w:sz="4" w:space="0" w:color="auto"/>
            </w:tcBorders>
            <w:shd w:val="clear" w:color="000000" w:fill="FFFFFF"/>
            <w:vAlign w:val="center"/>
            <w:hideMark/>
          </w:tcPr>
          <w:p w14:paraId="6018842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Ekonomike: Po; Financiare: Po; Sociale: Jo; Mjedisore: Po</w:t>
            </w:r>
          </w:p>
        </w:tc>
      </w:tr>
      <w:tr w:rsidR="004C7CDB" w:rsidRPr="00B6793F" w14:paraId="3D5DE829"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7042A02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21</w:t>
            </w:r>
          </w:p>
        </w:tc>
        <w:tc>
          <w:tcPr>
            <w:tcW w:w="584" w:type="pct"/>
            <w:tcBorders>
              <w:top w:val="nil"/>
              <w:left w:val="nil"/>
              <w:bottom w:val="single" w:sz="4" w:space="0" w:color="auto"/>
              <w:right w:val="single" w:sz="4" w:space="0" w:color="auto"/>
            </w:tcBorders>
            <w:shd w:val="clear" w:color="000000" w:fill="FFFFFF"/>
            <w:vAlign w:val="center"/>
            <w:hideMark/>
          </w:tcPr>
          <w:p w14:paraId="47076A3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ndryshime në vendimin e Këshillit të Ministrave nr. 489, datë 29.6.2016 " Për miratimin e listës së substancave me rrezikshmëri shumë të lartë</w:t>
            </w:r>
            <w:r w:rsidRPr="00B6793F">
              <w:rPr>
                <w:rFonts w:ascii="Arial" w:eastAsia="Times New Roman" w:hAnsi="Arial" w:cs="Arial"/>
                <w:sz w:val="8"/>
                <w:szCs w:val="8"/>
                <w:lang w:eastAsia="sq-AL"/>
              </w:rPr>
              <w:br/>
              <w:t>(SVHC) e të kritereve për përfshirjen e substancave në listën SVHC dhe lëshimin e një autorizimi të kushtëzuar me qëllim vazhdimin e përdorimit të SVHC-ve.;</w:t>
            </w:r>
          </w:p>
        </w:tc>
        <w:tc>
          <w:tcPr>
            <w:tcW w:w="393" w:type="pct"/>
            <w:tcBorders>
              <w:top w:val="nil"/>
              <w:left w:val="nil"/>
              <w:bottom w:val="single" w:sz="4" w:space="0" w:color="auto"/>
              <w:right w:val="single" w:sz="4" w:space="0" w:color="auto"/>
            </w:tcBorders>
            <w:shd w:val="clear" w:color="000000" w:fill="FFFFFF"/>
            <w:vAlign w:val="center"/>
            <w:hideMark/>
          </w:tcPr>
          <w:p w14:paraId="028181E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D60C21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4404053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6949EE2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 zbatim te  pikës 5, të nenit 20,  Ligjit Nr. 27/2016 “Për menaxhimin e kimikateve” i ndryshuar </w:t>
            </w:r>
          </w:p>
        </w:tc>
        <w:tc>
          <w:tcPr>
            <w:tcW w:w="584" w:type="pct"/>
            <w:tcBorders>
              <w:top w:val="nil"/>
              <w:left w:val="nil"/>
              <w:bottom w:val="single" w:sz="4" w:space="0" w:color="auto"/>
              <w:right w:val="single" w:sz="4" w:space="0" w:color="auto"/>
            </w:tcBorders>
            <w:shd w:val="clear" w:color="000000" w:fill="FFFFFF"/>
            <w:vAlign w:val="center"/>
            <w:hideMark/>
          </w:tcPr>
          <w:p w14:paraId="5442CED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qe te nderhyet ne kete Projektvendim dhe te perafrohet me versionin me te fundit te  Regulloren REACH te BE Nr. 1907/2006 e Parlamentit Evropian dhe e Këshillit e datës 18 dhjetor 2006, mbi Regjistrimin, Vlerësimin, Autorizimin dhe Kufizimin e Kimikateve.</w:t>
            </w:r>
          </w:p>
        </w:tc>
        <w:tc>
          <w:tcPr>
            <w:tcW w:w="371" w:type="pct"/>
            <w:tcBorders>
              <w:top w:val="nil"/>
              <w:left w:val="nil"/>
              <w:bottom w:val="single" w:sz="4" w:space="0" w:color="auto"/>
              <w:right w:val="single" w:sz="4" w:space="0" w:color="auto"/>
            </w:tcBorders>
            <w:shd w:val="clear" w:color="000000" w:fill="FFFFFF"/>
            <w:vAlign w:val="center"/>
            <w:hideMark/>
          </w:tcPr>
          <w:p w14:paraId="2207266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07589A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6D3D473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62E1511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8" w:space="0" w:color="auto"/>
            </w:tcBorders>
            <w:shd w:val="clear" w:color="000000" w:fill="FFFFFF"/>
            <w:vAlign w:val="center"/>
            <w:hideMark/>
          </w:tcPr>
          <w:p w14:paraId="78F07FA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69F0E115"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56A0334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22</w:t>
            </w:r>
          </w:p>
        </w:tc>
        <w:tc>
          <w:tcPr>
            <w:tcW w:w="584" w:type="pct"/>
            <w:tcBorders>
              <w:top w:val="nil"/>
              <w:left w:val="nil"/>
              <w:bottom w:val="single" w:sz="4" w:space="0" w:color="auto"/>
              <w:right w:val="single" w:sz="4" w:space="0" w:color="auto"/>
            </w:tcBorders>
            <w:shd w:val="clear" w:color="000000" w:fill="FFFFFF"/>
            <w:vAlign w:val="center"/>
            <w:hideMark/>
          </w:tcPr>
          <w:p w14:paraId="5ADB0D9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Vendimin Nr. 222, datë 7.4.2021 ‘Për miratimin e listës së substancave kandidatë’" </w:t>
            </w:r>
          </w:p>
        </w:tc>
        <w:tc>
          <w:tcPr>
            <w:tcW w:w="393" w:type="pct"/>
            <w:tcBorders>
              <w:top w:val="nil"/>
              <w:left w:val="nil"/>
              <w:bottom w:val="single" w:sz="4" w:space="0" w:color="auto"/>
              <w:right w:val="single" w:sz="4" w:space="0" w:color="auto"/>
            </w:tcBorders>
            <w:shd w:val="clear" w:color="000000" w:fill="FFFFFF"/>
            <w:vAlign w:val="center"/>
            <w:hideMark/>
          </w:tcPr>
          <w:p w14:paraId="20A556E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0204088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6FC8F63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0B9B8D6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 zbatim te  pikës 2, të nenit 21 të Ligjit Nr. 27/2016 “Për menaxhimin e kimikateve” i ndryshuar </w:t>
            </w:r>
          </w:p>
        </w:tc>
        <w:tc>
          <w:tcPr>
            <w:tcW w:w="584" w:type="pct"/>
            <w:tcBorders>
              <w:top w:val="nil"/>
              <w:left w:val="nil"/>
              <w:bottom w:val="single" w:sz="4" w:space="0" w:color="auto"/>
              <w:right w:val="single" w:sz="4" w:space="0" w:color="auto"/>
            </w:tcBorders>
            <w:shd w:val="clear" w:color="000000" w:fill="FFFFFF"/>
            <w:vAlign w:val="center"/>
            <w:hideMark/>
          </w:tcPr>
          <w:p w14:paraId="698B9F8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qe te nderhyet ne kete Projektvendim dhe te perditesohet me versionin me te fundit te listes ne BE të Rregullores REACH te BE Nr. 1907/2006 e Parlamentit Evropian dhe e Këshillit e datës 18 dhjetor 2006, mbi Regjistrimin, Vlerësimin, Autorizimin dhe Kufizimin e Kimikateve</w:t>
            </w:r>
          </w:p>
        </w:tc>
        <w:tc>
          <w:tcPr>
            <w:tcW w:w="371" w:type="pct"/>
            <w:tcBorders>
              <w:top w:val="nil"/>
              <w:left w:val="nil"/>
              <w:bottom w:val="single" w:sz="4" w:space="0" w:color="auto"/>
              <w:right w:val="single" w:sz="4" w:space="0" w:color="auto"/>
            </w:tcBorders>
            <w:shd w:val="clear" w:color="000000" w:fill="FFFFFF"/>
            <w:vAlign w:val="center"/>
            <w:hideMark/>
          </w:tcPr>
          <w:p w14:paraId="2C73B6F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6E3FE38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2409515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14817A2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8" w:space="0" w:color="auto"/>
            </w:tcBorders>
            <w:shd w:val="clear" w:color="000000" w:fill="FFFFFF"/>
            <w:vAlign w:val="center"/>
            <w:hideMark/>
          </w:tcPr>
          <w:p w14:paraId="4637E8F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18F2CC61"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58F7D9E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23</w:t>
            </w:r>
          </w:p>
        </w:tc>
        <w:tc>
          <w:tcPr>
            <w:tcW w:w="584" w:type="pct"/>
            <w:tcBorders>
              <w:top w:val="nil"/>
              <w:left w:val="nil"/>
              <w:bottom w:val="single" w:sz="4" w:space="0" w:color="auto"/>
              <w:right w:val="single" w:sz="4" w:space="0" w:color="auto"/>
            </w:tcBorders>
            <w:shd w:val="clear" w:color="000000" w:fill="FFFFFF"/>
            <w:vAlign w:val="center"/>
            <w:hideMark/>
          </w:tcPr>
          <w:p w14:paraId="376FC67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Strategjisë Kombëtare Afatgjatë për Ndryshimet Klimatike dhe Zhvillimin me Emetim të Ulët dhe plani i veprimit afatgjatë për zhvillimin me emetim të ulët".</w:t>
            </w:r>
          </w:p>
        </w:tc>
        <w:tc>
          <w:tcPr>
            <w:tcW w:w="393" w:type="pct"/>
            <w:tcBorders>
              <w:top w:val="nil"/>
              <w:left w:val="nil"/>
              <w:bottom w:val="single" w:sz="4" w:space="0" w:color="auto"/>
              <w:right w:val="single" w:sz="4" w:space="0" w:color="auto"/>
            </w:tcBorders>
            <w:shd w:val="clear" w:color="000000" w:fill="FFFFFF"/>
            <w:vAlign w:val="center"/>
            <w:hideMark/>
          </w:tcPr>
          <w:p w14:paraId="561CAE1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2550C9A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275414A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5FAA465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 zbatim te pikes 6 të Nenit 5 të  Ligjit nr. 155/2020 "Per ndryshimet klimatike", të ndryshuar </w:t>
            </w:r>
            <w:r w:rsidRPr="00B6793F">
              <w:rPr>
                <w:rFonts w:ascii="Arial" w:eastAsia="Times New Roman" w:hAnsi="Arial" w:cs="Arial"/>
                <w:i/>
                <w:iCs/>
                <w:sz w:val="8"/>
                <w:szCs w:val="8"/>
                <w:lang w:eastAsia="sq-AL"/>
              </w:rPr>
              <w:t xml:space="preserve"> (me ndryshimet e fundit me p/ligjin qe eshte ne proces miratimi per Kuvend)</w:t>
            </w:r>
          </w:p>
        </w:tc>
        <w:tc>
          <w:tcPr>
            <w:tcW w:w="584" w:type="pct"/>
            <w:tcBorders>
              <w:top w:val="nil"/>
              <w:left w:val="nil"/>
              <w:bottom w:val="single" w:sz="4" w:space="0" w:color="auto"/>
              <w:right w:val="single" w:sz="4" w:space="0" w:color="auto"/>
            </w:tcBorders>
            <w:shd w:val="clear" w:color="000000" w:fill="FFFFFF"/>
            <w:vAlign w:val="center"/>
            <w:hideMark/>
          </w:tcPr>
          <w:p w14:paraId="2258ECAB" w14:textId="77777777" w:rsidR="004C7CDB" w:rsidRPr="00B6793F" w:rsidRDefault="004C7CDB" w:rsidP="004C7CDB">
            <w:pPr>
              <w:spacing w:after="24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afatgjatë është e fokusuar në veprimet zbutëse të shkarkimeve të GES-it nga sektorët drejt arritjes së neutralitetit klimatik, përmban çështje në terma më afatgjatë edhe të përshtatjes sipas shtojcës III-A të projektligjit të propozuar. e cila:</w:t>
            </w:r>
            <w:r w:rsidRPr="00B6793F">
              <w:rPr>
                <w:rFonts w:ascii="Arial" w:eastAsia="Times New Roman" w:hAnsi="Arial" w:cs="Arial"/>
                <w:sz w:val="8"/>
                <w:szCs w:val="8"/>
                <w:lang w:eastAsia="sq-AL"/>
              </w:rPr>
              <w:br/>
            </w:r>
            <w:r w:rsidRPr="00B6793F">
              <w:rPr>
                <w:rFonts w:ascii="Arial" w:eastAsia="Times New Roman" w:hAnsi="Arial" w:cs="Arial"/>
                <w:sz w:val="8"/>
                <w:szCs w:val="8"/>
                <w:lang w:eastAsia="sq-AL"/>
              </w:rPr>
              <w:br/>
              <w:t>Do të shërbejë si udhërrëfyes strategjik për zhvillimin e politikave klimatike pas vitit 2030, përmbushjen e angazhimeve sipas Marrëveshjes së Parisit dhe procesit të anëtarësimit në BE, duke e harmonizuar kete dokument me Rregulloren Evropiane për Klimën (European Climate Laë ) 2021/1119 , Rregulloren e qeverisjes 2018/1999, dhe objektivin e BE-së për neutralitet klimatik deri në 2050.</w:t>
            </w:r>
          </w:p>
        </w:tc>
        <w:tc>
          <w:tcPr>
            <w:tcW w:w="371" w:type="pct"/>
            <w:tcBorders>
              <w:top w:val="nil"/>
              <w:left w:val="nil"/>
              <w:bottom w:val="single" w:sz="4" w:space="0" w:color="auto"/>
              <w:right w:val="single" w:sz="4" w:space="0" w:color="auto"/>
            </w:tcBorders>
            <w:shd w:val="clear" w:color="000000" w:fill="FFFFFF"/>
            <w:vAlign w:val="center"/>
            <w:hideMark/>
          </w:tcPr>
          <w:p w14:paraId="487C220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5D32527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6E91821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c>
          <w:tcPr>
            <w:tcW w:w="383" w:type="pct"/>
            <w:tcBorders>
              <w:top w:val="nil"/>
              <w:left w:val="nil"/>
              <w:bottom w:val="single" w:sz="4" w:space="0" w:color="auto"/>
              <w:right w:val="single" w:sz="4" w:space="0" w:color="auto"/>
            </w:tcBorders>
            <w:shd w:val="clear" w:color="000000" w:fill="FFFFFF"/>
            <w:vAlign w:val="center"/>
            <w:hideMark/>
          </w:tcPr>
          <w:p w14:paraId="5F39237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Vendim nr. 466, datë 3.7.2019 “Për miratimin e dokumentit strategjik dhe të planeve kombëtare për zbutjen e gazeve me efekt serrë dhe për përshtatjen ndaj ndryshimeve klimatike”</w:t>
            </w:r>
          </w:p>
        </w:tc>
        <w:tc>
          <w:tcPr>
            <w:tcW w:w="465" w:type="pct"/>
            <w:tcBorders>
              <w:top w:val="nil"/>
              <w:left w:val="nil"/>
              <w:bottom w:val="single" w:sz="4" w:space="0" w:color="auto"/>
              <w:right w:val="single" w:sz="8" w:space="0" w:color="auto"/>
            </w:tcBorders>
            <w:shd w:val="clear" w:color="000000" w:fill="FFFFFF"/>
            <w:vAlign w:val="center"/>
            <w:hideMark/>
          </w:tcPr>
          <w:p w14:paraId="2E128E8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55EE216E"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59757F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24</w:t>
            </w:r>
          </w:p>
        </w:tc>
        <w:tc>
          <w:tcPr>
            <w:tcW w:w="584" w:type="pct"/>
            <w:tcBorders>
              <w:top w:val="nil"/>
              <w:left w:val="nil"/>
              <w:bottom w:val="single" w:sz="4" w:space="0" w:color="auto"/>
              <w:right w:val="single" w:sz="4" w:space="0" w:color="auto"/>
            </w:tcBorders>
            <w:shd w:val="clear" w:color="000000" w:fill="FFFFFF"/>
            <w:vAlign w:val="center"/>
            <w:hideMark/>
          </w:tcPr>
          <w:p w14:paraId="0A16777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rregullave dhe standardeve për ambalazhimin dhe etiketimin e mbetjeve të rrezikshme gjatë procesit të grumbullimit, transportit dhe magazinimit të përkohshëm.</w:t>
            </w:r>
          </w:p>
        </w:tc>
        <w:tc>
          <w:tcPr>
            <w:tcW w:w="393" w:type="pct"/>
            <w:tcBorders>
              <w:top w:val="nil"/>
              <w:left w:val="nil"/>
              <w:bottom w:val="single" w:sz="4" w:space="0" w:color="auto"/>
              <w:right w:val="single" w:sz="4" w:space="0" w:color="auto"/>
            </w:tcBorders>
            <w:shd w:val="clear" w:color="000000" w:fill="FFFFFF"/>
            <w:vAlign w:val="center"/>
            <w:hideMark/>
          </w:tcPr>
          <w:p w14:paraId="1AF12CA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314ACD2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1DACF36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0F02DD5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nenit 42, pika 2, të Ligjit nr. 57/2025 "Për menaxhimin e integruar të mbetjeve". Rregullorja (BE)2025/40 e Parlamentit Europian dhe Këshillit "Mbi paketimin dhe mbetjet nga paketimi" </w:t>
            </w:r>
          </w:p>
        </w:tc>
        <w:tc>
          <w:tcPr>
            <w:tcW w:w="584" w:type="pct"/>
            <w:tcBorders>
              <w:top w:val="nil"/>
              <w:left w:val="nil"/>
              <w:bottom w:val="single" w:sz="4" w:space="0" w:color="auto"/>
              <w:right w:val="single" w:sz="4" w:space="0" w:color="auto"/>
            </w:tcBorders>
            <w:shd w:val="clear" w:color="000000" w:fill="FFFFFF"/>
            <w:vAlign w:val="center"/>
            <w:hideMark/>
          </w:tcPr>
          <w:p w14:paraId="7BF2E09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Rregullat dhe standardet për ambalazhimin dhe etiketimin e mbetjeve të rrezikshme gjatë procesit të grumbullimit, transportit dhe magazinimit të përkohshëm.</w:t>
            </w:r>
          </w:p>
        </w:tc>
        <w:tc>
          <w:tcPr>
            <w:tcW w:w="371" w:type="pct"/>
            <w:tcBorders>
              <w:top w:val="nil"/>
              <w:left w:val="nil"/>
              <w:bottom w:val="single" w:sz="4" w:space="0" w:color="auto"/>
              <w:right w:val="single" w:sz="4" w:space="0" w:color="auto"/>
            </w:tcBorders>
            <w:shd w:val="clear" w:color="000000" w:fill="FFFFFF"/>
            <w:vAlign w:val="center"/>
            <w:hideMark/>
          </w:tcPr>
          <w:p w14:paraId="2F9E2C3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6211FDA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673E110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531FBC9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0393BE0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735C3B3A"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2B8561B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25</w:t>
            </w:r>
          </w:p>
        </w:tc>
        <w:tc>
          <w:tcPr>
            <w:tcW w:w="584" w:type="pct"/>
            <w:tcBorders>
              <w:top w:val="nil"/>
              <w:left w:val="nil"/>
              <w:bottom w:val="single" w:sz="4" w:space="0" w:color="auto"/>
              <w:right w:val="single" w:sz="4" w:space="0" w:color="auto"/>
            </w:tcBorders>
            <w:shd w:val="clear" w:color="000000" w:fill="FFFFFF"/>
            <w:vAlign w:val="center"/>
            <w:hideMark/>
          </w:tcPr>
          <w:p w14:paraId="37025A6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përcaktimin e masave, listës së produkteve plastike njëpërdorimëshe që ndalohet të përdoren, hidhen në treg, prodhohen ose importohen në territorin e Republikës së Shqipërisë dhe institucioneve shtetërore përgjegjëse për zbatim, si dhe miratimin e kritereve dhe masave të nevojshme për parandalimin dhe zvogëlimin e ndikimit në mjedis të disa llojeve të produkteve plastike njëpërdorimëshe. </w:t>
            </w:r>
          </w:p>
        </w:tc>
        <w:tc>
          <w:tcPr>
            <w:tcW w:w="393" w:type="pct"/>
            <w:tcBorders>
              <w:top w:val="nil"/>
              <w:left w:val="nil"/>
              <w:bottom w:val="single" w:sz="4" w:space="0" w:color="auto"/>
              <w:right w:val="single" w:sz="4" w:space="0" w:color="auto"/>
            </w:tcBorders>
            <w:shd w:val="clear" w:color="000000" w:fill="FFFFFF"/>
            <w:vAlign w:val="center"/>
            <w:hideMark/>
          </w:tcPr>
          <w:p w14:paraId="7053391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43C159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6BA4CD9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2C6F0B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nenit 50, pikat 1 dhe 2, të Ligjit nr. 57/2025 "Për menaxhimin e integruar të mbetjeve". Direktiva (BE) 2019/904  Parlamentit Europian dhe Këshillit  datë 5 Qershor 2019 “Për reduktimin e impaktit të plastikës njëpërdorimshme në mjedis”. Rregullorja (BE)2025/40 e Parlamentit Europian dhe Këshillit mbi paketimin dhe mbetjet nga paketimi" </w:t>
            </w:r>
          </w:p>
        </w:tc>
        <w:tc>
          <w:tcPr>
            <w:tcW w:w="584" w:type="pct"/>
            <w:tcBorders>
              <w:top w:val="nil"/>
              <w:left w:val="nil"/>
              <w:bottom w:val="single" w:sz="4" w:space="0" w:color="auto"/>
              <w:right w:val="single" w:sz="4" w:space="0" w:color="auto"/>
            </w:tcBorders>
            <w:shd w:val="clear" w:color="000000" w:fill="FFFFFF"/>
            <w:vAlign w:val="center"/>
            <w:hideMark/>
          </w:tcPr>
          <w:p w14:paraId="3B0777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Masat, lista e produkteve plastike njëpërdorimëshe që ndalohet të përdoren/  prodhohen/ importohen në RSh dhe institucionet shtetërore përgjegjëse për zbatim.Kriteret dhe masat për parandalimin dhe zvogëlimin e ndikimit në mjedis të produkteve plastike njëpërdorimëshe. </w:t>
            </w:r>
          </w:p>
        </w:tc>
        <w:tc>
          <w:tcPr>
            <w:tcW w:w="371" w:type="pct"/>
            <w:tcBorders>
              <w:top w:val="nil"/>
              <w:left w:val="nil"/>
              <w:bottom w:val="single" w:sz="4" w:space="0" w:color="auto"/>
              <w:right w:val="single" w:sz="4" w:space="0" w:color="auto"/>
            </w:tcBorders>
            <w:shd w:val="clear" w:color="000000" w:fill="FFFFFF"/>
            <w:vAlign w:val="center"/>
            <w:hideMark/>
          </w:tcPr>
          <w:p w14:paraId="286EB6D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3A6A1C4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w:t>
            </w:r>
            <w:r w:rsidRPr="00B6793F">
              <w:rPr>
                <w:rFonts w:ascii="Arial" w:eastAsia="Times New Roman" w:hAnsi="Arial" w:cs="Arial"/>
                <w:sz w:val="8"/>
                <w:szCs w:val="8"/>
                <w:lang w:eastAsia="sq-AL"/>
              </w:rPr>
              <w:lastRenderedPageBreak/>
              <w:t xml:space="preserve">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13CB50B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Jo</w:t>
            </w:r>
          </w:p>
        </w:tc>
        <w:tc>
          <w:tcPr>
            <w:tcW w:w="383" w:type="pct"/>
            <w:tcBorders>
              <w:top w:val="nil"/>
              <w:left w:val="nil"/>
              <w:bottom w:val="single" w:sz="4" w:space="0" w:color="auto"/>
              <w:right w:val="nil"/>
            </w:tcBorders>
            <w:shd w:val="clear" w:color="000000" w:fill="FFFFFF"/>
            <w:vAlign w:val="center"/>
            <w:hideMark/>
          </w:tcPr>
          <w:p w14:paraId="79E3770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265A5AD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269D97C9"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4591EB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26</w:t>
            </w:r>
          </w:p>
        </w:tc>
        <w:tc>
          <w:tcPr>
            <w:tcW w:w="584" w:type="pct"/>
            <w:tcBorders>
              <w:top w:val="nil"/>
              <w:left w:val="nil"/>
              <w:bottom w:val="single" w:sz="4" w:space="0" w:color="auto"/>
              <w:right w:val="single" w:sz="4" w:space="0" w:color="auto"/>
            </w:tcBorders>
            <w:shd w:val="clear" w:color="000000" w:fill="FFFFFF"/>
            <w:vAlign w:val="center"/>
            <w:hideMark/>
          </w:tcPr>
          <w:p w14:paraId="59FB91F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masave, procedurat dhe standardeve për menaxhimin e mbetjeve të pajisjeve elektrike dhe elektronike</w:t>
            </w:r>
          </w:p>
        </w:tc>
        <w:tc>
          <w:tcPr>
            <w:tcW w:w="393" w:type="pct"/>
            <w:tcBorders>
              <w:top w:val="nil"/>
              <w:left w:val="nil"/>
              <w:bottom w:val="single" w:sz="4" w:space="0" w:color="auto"/>
              <w:right w:val="single" w:sz="4" w:space="0" w:color="auto"/>
            </w:tcBorders>
            <w:shd w:val="clear" w:color="000000" w:fill="FFFFFF"/>
            <w:vAlign w:val="center"/>
            <w:hideMark/>
          </w:tcPr>
          <w:p w14:paraId="231BA1E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61DCC7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703AC78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1A046F8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54 të Ligjit nr. 57/2025 "Për menaxhimin e integruar të mbetjeve". Direktiva 2012/19/BE e Parlamentit Europian dhe Këshillit  datë  4 Korrik 2012 “Për mbetjet nga pajisjet elektrike dhe elektronike (ëEEE)”</w:t>
            </w:r>
          </w:p>
        </w:tc>
        <w:tc>
          <w:tcPr>
            <w:tcW w:w="584" w:type="pct"/>
            <w:tcBorders>
              <w:top w:val="nil"/>
              <w:left w:val="nil"/>
              <w:bottom w:val="single" w:sz="4" w:space="0" w:color="auto"/>
              <w:right w:val="single" w:sz="4" w:space="0" w:color="auto"/>
            </w:tcBorders>
            <w:shd w:val="clear" w:color="000000" w:fill="FFFFFF"/>
            <w:vAlign w:val="center"/>
            <w:hideMark/>
          </w:tcPr>
          <w:p w14:paraId="3736D1B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Masat, procedurat dhe standardet për menaxhimin e mbetjeve të pajisjeve elektrike dhe elektronike</w:t>
            </w:r>
          </w:p>
        </w:tc>
        <w:tc>
          <w:tcPr>
            <w:tcW w:w="371" w:type="pct"/>
            <w:tcBorders>
              <w:top w:val="nil"/>
              <w:left w:val="nil"/>
              <w:bottom w:val="single" w:sz="4" w:space="0" w:color="auto"/>
              <w:right w:val="single" w:sz="4" w:space="0" w:color="auto"/>
            </w:tcBorders>
            <w:shd w:val="clear" w:color="000000" w:fill="FFFFFF"/>
            <w:vAlign w:val="center"/>
            <w:hideMark/>
          </w:tcPr>
          <w:p w14:paraId="4D189DF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44700A6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194CFCA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39861CB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90958B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0ECBAABD"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06D4C70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27</w:t>
            </w:r>
          </w:p>
        </w:tc>
        <w:tc>
          <w:tcPr>
            <w:tcW w:w="584" w:type="pct"/>
            <w:tcBorders>
              <w:top w:val="nil"/>
              <w:left w:val="nil"/>
              <w:bottom w:val="single" w:sz="4" w:space="0" w:color="auto"/>
              <w:right w:val="single" w:sz="4" w:space="0" w:color="auto"/>
            </w:tcBorders>
            <w:shd w:val="clear" w:color="000000" w:fill="FFFFFF"/>
            <w:vAlign w:val="center"/>
            <w:hideMark/>
          </w:tcPr>
          <w:p w14:paraId="2BE4E6B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kërkesave për grumbullimin, trajtimin, riciklimin dhe asgjësimin e mbetjeve të baterive, kuotave dhe afateve përkatëse të grumbullimit të mbetjeve të baterive, si dhe standardet teknike për hedhjen në treg të të gjitha llojeve të baterive dhe ndalimin e hedhjes në treg të baterive që përmbajnë substanca të rrezikshme; </w:t>
            </w:r>
          </w:p>
        </w:tc>
        <w:tc>
          <w:tcPr>
            <w:tcW w:w="393" w:type="pct"/>
            <w:tcBorders>
              <w:top w:val="nil"/>
              <w:left w:val="nil"/>
              <w:bottom w:val="single" w:sz="4" w:space="0" w:color="auto"/>
              <w:right w:val="single" w:sz="4" w:space="0" w:color="auto"/>
            </w:tcBorders>
            <w:shd w:val="clear" w:color="000000" w:fill="FFFFFF"/>
            <w:vAlign w:val="center"/>
            <w:hideMark/>
          </w:tcPr>
          <w:p w14:paraId="0773954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833AC3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7162ED3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7B32F6A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52, të Ligjit nr. 57/2025 "Për menaxhimin e integruar të mbetjeve". Rregullore 2023/1542/KE datë 12 korrik 2023 “Për bateritë dhe mbetjet e baterive”</w:t>
            </w:r>
          </w:p>
        </w:tc>
        <w:tc>
          <w:tcPr>
            <w:tcW w:w="584" w:type="pct"/>
            <w:tcBorders>
              <w:top w:val="nil"/>
              <w:left w:val="nil"/>
              <w:bottom w:val="single" w:sz="4" w:space="0" w:color="auto"/>
              <w:right w:val="single" w:sz="4" w:space="0" w:color="auto"/>
            </w:tcBorders>
            <w:shd w:val="clear" w:color="000000" w:fill="FFFFFF"/>
            <w:vAlign w:val="center"/>
            <w:hideMark/>
          </w:tcPr>
          <w:p w14:paraId="6D2E1E6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Kërkesat për standardet teknike për hedhjen në treg të të gjitha llojeve të baterive dhe ndalimin e hedhjes në treg të baterive që përmbajnë substanca të rrezikshme;  Kërkesat për grumbullimin, trajtimin, riciklimin dhe asgjësimin e mbetjeve të baterive dhe promovimin e një niveli të lartë të grumbullimit e të riciklimit të tyre;    Kuotat dhe afatet e grumbullimit të mbetjeve të baterive;                                                     Rregullat për financimin e grumbullimit, trajtimit, riciklimin e baterive, si dhe për fushatat ndërgjegjësuese për operacionet e sipërpërmendura dhe rregullime financiare të tjera;                                                            Kërkesat për regjistrimit e prodhuesve të baterive. </w:t>
            </w:r>
          </w:p>
        </w:tc>
        <w:tc>
          <w:tcPr>
            <w:tcW w:w="371" w:type="pct"/>
            <w:tcBorders>
              <w:top w:val="nil"/>
              <w:left w:val="nil"/>
              <w:bottom w:val="single" w:sz="4" w:space="0" w:color="auto"/>
              <w:right w:val="single" w:sz="4" w:space="0" w:color="auto"/>
            </w:tcBorders>
            <w:shd w:val="clear" w:color="000000" w:fill="FFFFFF"/>
            <w:vAlign w:val="center"/>
            <w:hideMark/>
          </w:tcPr>
          <w:p w14:paraId="1D50D08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405D6C3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5B0C6BC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nil"/>
            </w:tcBorders>
            <w:shd w:val="clear" w:color="000000" w:fill="FFFFFF"/>
            <w:vAlign w:val="center"/>
            <w:hideMark/>
          </w:tcPr>
          <w:p w14:paraId="068F217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3C045F6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7FBA4782"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3661C55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28</w:t>
            </w:r>
          </w:p>
        </w:tc>
        <w:tc>
          <w:tcPr>
            <w:tcW w:w="584" w:type="pct"/>
            <w:tcBorders>
              <w:top w:val="nil"/>
              <w:left w:val="nil"/>
              <w:bottom w:val="single" w:sz="4" w:space="0" w:color="auto"/>
              <w:right w:val="single" w:sz="4" w:space="0" w:color="auto"/>
            </w:tcBorders>
            <w:shd w:val="clear" w:color="000000" w:fill="FFFFFF"/>
            <w:vAlign w:val="center"/>
            <w:hideMark/>
          </w:tcPr>
          <w:p w14:paraId="5FDD5D2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rregullave për grumbullimin e diferencuar dhe trajtimin e vajrave të përdorura</w:t>
            </w:r>
          </w:p>
        </w:tc>
        <w:tc>
          <w:tcPr>
            <w:tcW w:w="393" w:type="pct"/>
            <w:tcBorders>
              <w:top w:val="nil"/>
              <w:left w:val="nil"/>
              <w:bottom w:val="single" w:sz="4" w:space="0" w:color="auto"/>
              <w:right w:val="single" w:sz="4" w:space="0" w:color="auto"/>
            </w:tcBorders>
            <w:shd w:val="clear" w:color="000000" w:fill="FFFFFF"/>
            <w:vAlign w:val="center"/>
            <w:hideMark/>
          </w:tcPr>
          <w:p w14:paraId="4A4C396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6942E4C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464FA79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78DE45D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zbatim të nenit 47, pika 5, të Ligjit nr. 57/2025 "Për menaxhimin e integruar të mbetjeve". </w:t>
            </w:r>
          </w:p>
        </w:tc>
        <w:tc>
          <w:tcPr>
            <w:tcW w:w="584" w:type="pct"/>
            <w:tcBorders>
              <w:top w:val="nil"/>
              <w:left w:val="nil"/>
              <w:bottom w:val="single" w:sz="4" w:space="0" w:color="auto"/>
              <w:right w:val="single" w:sz="4" w:space="0" w:color="auto"/>
            </w:tcBorders>
            <w:shd w:val="clear" w:color="000000" w:fill="FFFFFF"/>
            <w:vAlign w:val="center"/>
            <w:hideMark/>
          </w:tcPr>
          <w:p w14:paraId="022B3D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Rregullat për grumbullimin e diferencuar dhe trajtimin e vajrave të përdorura</w:t>
            </w:r>
          </w:p>
        </w:tc>
        <w:tc>
          <w:tcPr>
            <w:tcW w:w="371" w:type="pct"/>
            <w:tcBorders>
              <w:top w:val="nil"/>
              <w:left w:val="nil"/>
              <w:bottom w:val="single" w:sz="4" w:space="0" w:color="auto"/>
              <w:right w:val="single" w:sz="4" w:space="0" w:color="auto"/>
            </w:tcBorders>
            <w:shd w:val="clear" w:color="000000" w:fill="FFFFFF"/>
            <w:vAlign w:val="center"/>
            <w:hideMark/>
          </w:tcPr>
          <w:p w14:paraId="4FF4671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8" w:type="pct"/>
            <w:tcBorders>
              <w:top w:val="nil"/>
              <w:left w:val="nil"/>
              <w:bottom w:val="single" w:sz="4" w:space="0" w:color="auto"/>
              <w:right w:val="single" w:sz="4" w:space="0" w:color="auto"/>
            </w:tcBorders>
            <w:shd w:val="clear" w:color="000000" w:fill="FFFFFF"/>
            <w:vAlign w:val="center"/>
            <w:hideMark/>
          </w:tcPr>
          <w:p w14:paraId="6E24F3E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Shtylla III -Mirëqënie për të gjithë. Pika 3.6 "Mbrojtja e Mjedisit dhe Ndryshimet Klimatike", pika a dhe c.                                                                 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Krijimi i Ekonomisë Qarkulluese në </w:t>
            </w:r>
            <w:r w:rsidRPr="00B6793F">
              <w:rPr>
                <w:rFonts w:ascii="Arial" w:eastAsia="Times New Roman" w:hAnsi="Arial" w:cs="Arial"/>
                <w:sz w:val="8"/>
                <w:szCs w:val="8"/>
                <w:lang w:eastAsia="sq-AL"/>
              </w:rPr>
              <w:lastRenderedPageBreak/>
              <w:t xml:space="preserve">rang vendi me një Operator Kombëtar të Trajtimit të Integruar të Mbetjeve dhe me investime në të gjithë zonat e menaxhimit të mbetjeve. </w:t>
            </w:r>
            <w:r w:rsidRPr="00B6793F">
              <w:rPr>
                <w:rFonts w:ascii="Arial" w:eastAsia="Times New Roman" w:hAnsi="Arial" w:cs="Arial"/>
                <w:sz w:val="8"/>
                <w:szCs w:val="8"/>
                <w:lang w:eastAsia="sq-AL"/>
              </w:rPr>
              <w:br/>
              <w:t>• Rrisim riciklimin dhe kompostimin, shtojmë vend-depozitimet sanitare, mbyllim pikat e papërshtatshme historike dhe mbajmë bashkitë të pastra.</w:t>
            </w:r>
            <w:r w:rsidRPr="00B6793F">
              <w:rPr>
                <w:rFonts w:ascii="Arial" w:eastAsia="Times New Roman" w:hAnsi="Arial" w:cs="Arial"/>
                <w:sz w:val="8"/>
                <w:szCs w:val="8"/>
                <w:lang w:eastAsia="sq-AL"/>
              </w:rPr>
              <w:br/>
              <w:t>• Forcojmë kontrollin e territorit dhe zbatojmë standardet BE mbi përgjegjësinë mjedisore sipas parimit “Ndotësi paguan” dhe luftën ndaj krimit mjedisor.</w:t>
            </w:r>
          </w:p>
        </w:tc>
        <w:tc>
          <w:tcPr>
            <w:tcW w:w="335" w:type="pct"/>
            <w:tcBorders>
              <w:top w:val="nil"/>
              <w:left w:val="nil"/>
              <w:bottom w:val="single" w:sz="4" w:space="0" w:color="auto"/>
              <w:right w:val="single" w:sz="4" w:space="0" w:color="auto"/>
            </w:tcBorders>
            <w:shd w:val="clear" w:color="000000" w:fill="FFFFFF"/>
            <w:vAlign w:val="center"/>
            <w:hideMark/>
          </w:tcPr>
          <w:p w14:paraId="1AAE5F2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lastRenderedPageBreak/>
              <w:t>Jo</w:t>
            </w:r>
          </w:p>
        </w:tc>
        <w:tc>
          <w:tcPr>
            <w:tcW w:w="383" w:type="pct"/>
            <w:tcBorders>
              <w:top w:val="nil"/>
              <w:left w:val="nil"/>
              <w:bottom w:val="single" w:sz="4" w:space="0" w:color="auto"/>
              <w:right w:val="nil"/>
            </w:tcBorders>
            <w:shd w:val="clear" w:color="000000" w:fill="FFFFFF"/>
            <w:vAlign w:val="center"/>
            <w:hideMark/>
          </w:tcPr>
          <w:p w14:paraId="2E86354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Dokumenti i Politikave Strategjike dhe Plani Kombetar i Menaxhimit te Mbetjeve 2020 - 2035</w:t>
            </w:r>
          </w:p>
        </w:tc>
        <w:tc>
          <w:tcPr>
            <w:tcW w:w="465" w:type="pct"/>
            <w:tcBorders>
              <w:top w:val="nil"/>
              <w:left w:val="single" w:sz="4" w:space="0" w:color="000000"/>
              <w:bottom w:val="single" w:sz="4" w:space="0" w:color="000000"/>
              <w:right w:val="single" w:sz="4" w:space="0" w:color="000000"/>
            </w:tcBorders>
            <w:shd w:val="clear" w:color="000000" w:fill="FFFFFF"/>
            <w:vAlign w:val="center"/>
            <w:hideMark/>
          </w:tcPr>
          <w:p w14:paraId="6DB6251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562D4EED"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28564A2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29</w:t>
            </w:r>
          </w:p>
        </w:tc>
        <w:tc>
          <w:tcPr>
            <w:tcW w:w="584" w:type="pct"/>
            <w:tcBorders>
              <w:top w:val="nil"/>
              <w:left w:val="nil"/>
              <w:bottom w:val="single" w:sz="4" w:space="0" w:color="auto"/>
              <w:right w:val="single" w:sz="4" w:space="0" w:color="auto"/>
            </w:tcBorders>
            <w:shd w:val="clear" w:color="000000" w:fill="FFFFFF"/>
            <w:vAlign w:val="center"/>
            <w:hideMark/>
          </w:tcPr>
          <w:p w14:paraId="1168753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ndryshime në ligjin nr. 9587/2006 ‘Për mbrojtjen e biodiversitetit’”</w:t>
            </w:r>
          </w:p>
        </w:tc>
        <w:tc>
          <w:tcPr>
            <w:tcW w:w="393" w:type="pct"/>
            <w:tcBorders>
              <w:top w:val="nil"/>
              <w:left w:val="nil"/>
              <w:bottom w:val="single" w:sz="4" w:space="0" w:color="auto"/>
              <w:right w:val="single" w:sz="4" w:space="0" w:color="auto"/>
            </w:tcBorders>
            <w:shd w:val="clear" w:color="000000" w:fill="FFFFFF"/>
            <w:vAlign w:val="center"/>
            <w:hideMark/>
          </w:tcPr>
          <w:p w14:paraId="6F669DA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4EBA9FC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6890713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0854B96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Përafrim me Direktivën 2009/147/EC; mungon transpozimi i plotë i neneve mbi futjen e specieve jovendase (neni 11); raportimin (neni 12) dhe parimin e mos-regresit nga aplikimi i masave (neni 13). Linjëzohet me detyrimet e rregullores ABS (</w:t>
            </w:r>
            <w:r w:rsidRPr="00B6793F">
              <w:rPr>
                <w:rFonts w:ascii="Arial" w:eastAsia="Times New Roman" w:hAnsi="Arial" w:cs="Arial"/>
                <w:i/>
                <w:iCs/>
                <w:sz w:val="8"/>
                <w:szCs w:val="8"/>
                <w:lang w:eastAsia="sq-AL"/>
              </w:rPr>
              <w:t>Access and Benefit Sharing</w:t>
            </w:r>
            <w:r w:rsidRPr="00B6793F">
              <w:rPr>
                <w:rFonts w:ascii="Arial" w:eastAsia="Times New Roman" w:hAnsi="Arial" w:cs="Arial"/>
                <w:sz w:val="8"/>
                <w:szCs w:val="8"/>
                <w:lang w:eastAsia="sq-AL"/>
              </w:rPr>
              <w:t>)</w:t>
            </w:r>
          </w:p>
        </w:tc>
        <w:tc>
          <w:tcPr>
            <w:tcW w:w="584" w:type="pct"/>
            <w:tcBorders>
              <w:top w:val="nil"/>
              <w:left w:val="nil"/>
              <w:bottom w:val="single" w:sz="4" w:space="0" w:color="auto"/>
              <w:right w:val="single" w:sz="4" w:space="0" w:color="auto"/>
            </w:tcBorders>
            <w:shd w:val="clear" w:color="000000" w:fill="FFFFFF"/>
            <w:vAlign w:val="center"/>
            <w:hideMark/>
          </w:tcPr>
          <w:p w14:paraId="35597D8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Fut dispozita për kontrollin e specieve invazive, monitorimin e faunës dhe mekanizmat e raportimit periodik. </w:t>
            </w:r>
            <w:r w:rsidRPr="00B6793F">
              <w:rPr>
                <w:rFonts w:ascii="Arial" w:eastAsia="Times New Roman" w:hAnsi="Arial" w:cs="Arial"/>
                <w:sz w:val="8"/>
                <w:szCs w:val="8"/>
                <w:lang w:eastAsia="sq-AL"/>
              </w:rPr>
              <w:br/>
              <w:t>Përditëson kapitujt mbi qasjen në burimet gjenetike, kompetencat institucionale dhe mekanizmat e raportimit.</w:t>
            </w:r>
          </w:p>
        </w:tc>
        <w:tc>
          <w:tcPr>
            <w:tcW w:w="371" w:type="pct"/>
            <w:tcBorders>
              <w:top w:val="nil"/>
              <w:left w:val="nil"/>
              <w:bottom w:val="single" w:sz="4" w:space="0" w:color="auto"/>
              <w:right w:val="single" w:sz="4" w:space="0" w:color="auto"/>
            </w:tcBorders>
            <w:shd w:val="clear" w:color="000000" w:fill="FFFFFF"/>
            <w:vAlign w:val="center"/>
            <w:hideMark/>
          </w:tcPr>
          <w:p w14:paraId="4530BCF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79CD45C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Harmonizohet me politikën për mbrojtjen e biodiversitetit dhe shërbimet ekosistemike.</w:t>
            </w:r>
          </w:p>
        </w:tc>
        <w:tc>
          <w:tcPr>
            <w:tcW w:w="335" w:type="pct"/>
            <w:tcBorders>
              <w:top w:val="nil"/>
              <w:left w:val="nil"/>
              <w:bottom w:val="single" w:sz="4" w:space="0" w:color="auto"/>
              <w:right w:val="single" w:sz="4" w:space="0" w:color="auto"/>
            </w:tcBorders>
            <w:shd w:val="clear" w:color="000000" w:fill="FFFFFF"/>
            <w:vAlign w:val="center"/>
            <w:hideMark/>
          </w:tcPr>
          <w:p w14:paraId="52FB20D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072887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 i politikave Strategjike për Mbrojtjen e Biodiversitetit</w:t>
            </w:r>
          </w:p>
        </w:tc>
        <w:tc>
          <w:tcPr>
            <w:tcW w:w="465" w:type="pct"/>
            <w:tcBorders>
              <w:top w:val="nil"/>
              <w:left w:val="nil"/>
              <w:bottom w:val="single" w:sz="4" w:space="0" w:color="auto"/>
              <w:right w:val="single" w:sz="4" w:space="0" w:color="auto"/>
            </w:tcBorders>
            <w:shd w:val="clear" w:color="000000" w:fill="FFFFFF"/>
            <w:vAlign w:val="center"/>
            <w:hideMark/>
          </w:tcPr>
          <w:p w14:paraId="38D172C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Ekonomike: Jo; Financiare: Po; Sociale: Po; Mjedisore: Po</w:t>
            </w:r>
          </w:p>
        </w:tc>
      </w:tr>
      <w:tr w:rsidR="004C7CDB" w:rsidRPr="00B6793F" w14:paraId="62E409F0"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2339C5F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30</w:t>
            </w:r>
          </w:p>
        </w:tc>
        <w:tc>
          <w:tcPr>
            <w:tcW w:w="584" w:type="pct"/>
            <w:tcBorders>
              <w:top w:val="nil"/>
              <w:left w:val="nil"/>
              <w:bottom w:val="single" w:sz="4" w:space="0" w:color="auto"/>
              <w:right w:val="single" w:sz="4" w:space="0" w:color="auto"/>
            </w:tcBorders>
            <w:shd w:val="clear" w:color="000000" w:fill="FFFFFF"/>
            <w:vAlign w:val="center"/>
            <w:hideMark/>
          </w:tcPr>
          <w:p w14:paraId="7A6D90B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rimëkëmbjen e natyrës"</w:t>
            </w:r>
          </w:p>
        </w:tc>
        <w:tc>
          <w:tcPr>
            <w:tcW w:w="393" w:type="pct"/>
            <w:tcBorders>
              <w:top w:val="nil"/>
              <w:left w:val="nil"/>
              <w:bottom w:val="single" w:sz="4" w:space="0" w:color="auto"/>
              <w:right w:val="single" w:sz="4" w:space="0" w:color="auto"/>
            </w:tcBorders>
            <w:shd w:val="clear" w:color="000000" w:fill="FFFFFF"/>
            <w:vAlign w:val="center"/>
            <w:hideMark/>
          </w:tcPr>
          <w:p w14:paraId="5854B3F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4488C04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4D46454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1BDD9A6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duhet të përafrojë rregulloren e re të Parlamentit dhe të këshillit Evropian "Për rimëkëmbjen e natyrës nr. (EU) 2024/1991</w:t>
            </w:r>
          </w:p>
        </w:tc>
        <w:tc>
          <w:tcPr>
            <w:tcW w:w="584" w:type="pct"/>
            <w:tcBorders>
              <w:top w:val="nil"/>
              <w:left w:val="nil"/>
              <w:bottom w:val="single" w:sz="4" w:space="0" w:color="auto"/>
              <w:right w:val="single" w:sz="4" w:space="0" w:color="auto"/>
            </w:tcBorders>
            <w:shd w:val="clear" w:color="000000" w:fill="FFFFFF"/>
            <w:vAlign w:val="center"/>
            <w:hideMark/>
          </w:tcPr>
          <w:p w14:paraId="1F7A205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Ligji synon rikuperimin afatgjatë të qëndrueshëm të  biodiversitetit dhe ekosistemeve të qëndrueshme përmes rimëkëmbjes së ekosistemeve të degraduara</w:t>
            </w:r>
          </w:p>
        </w:tc>
        <w:tc>
          <w:tcPr>
            <w:tcW w:w="371" w:type="pct"/>
            <w:tcBorders>
              <w:top w:val="nil"/>
              <w:left w:val="nil"/>
              <w:bottom w:val="single" w:sz="4" w:space="0" w:color="auto"/>
              <w:right w:val="single" w:sz="4" w:space="0" w:color="auto"/>
            </w:tcBorders>
            <w:shd w:val="clear" w:color="000000" w:fill="FFFFFF"/>
            <w:vAlign w:val="center"/>
            <w:hideMark/>
          </w:tcPr>
          <w:p w14:paraId="2B36794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63D8497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Harmonizohet me politikën për mbrojtjen e biodiversitetit dhe shërbimet ekosistemike.</w:t>
            </w:r>
          </w:p>
        </w:tc>
        <w:tc>
          <w:tcPr>
            <w:tcW w:w="335" w:type="pct"/>
            <w:tcBorders>
              <w:top w:val="nil"/>
              <w:left w:val="nil"/>
              <w:bottom w:val="single" w:sz="4" w:space="0" w:color="auto"/>
              <w:right w:val="single" w:sz="4" w:space="0" w:color="auto"/>
            </w:tcBorders>
            <w:shd w:val="clear" w:color="000000" w:fill="FFFFFF"/>
            <w:vAlign w:val="center"/>
            <w:hideMark/>
          </w:tcPr>
          <w:p w14:paraId="7B86AFB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w:t>
            </w:r>
          </w:p>
        </w:tc>
        <w:tc>
          <w:tcPr>
            <w:tcW w:w="383" w:type="pct"/>
            <w:tcBorders>
              <w:top w:val="nil"/>
              <w:left w:val="nil"/>
              <w:bottom w:val="single" w:sz="4" w:space="0" w:color="auto"/>
              <w:right w:val="single" w:sz="4" w:space="0" w:color="auto"/>
            </w:tcBorders>
            <w:shd w:val="clear" w:color="000000" w:fill="FFFFFF"/>
            <w:vAlign w:val="center"/>
            <w:hideMark/>
          </w:tcPr>
          <w:p w14:paraId="79110C9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Dokument i politikave Strategjike për Mbrojtjen e Biodiversitetit</w:t>
            </w:r>
          </w:p>
        </w:tc>
        <w:tc>
          <w:tcPr>
            <w:tcW w:w="465" w:type="pct"/>
            <w:tcBorders>
              <w:top w:val="nil"/>
              <w:left w:val="nil"/>
              <w:bottom w:val="nil"/>
              <w:right w:val="single" w:sz="4" w:space="0" w:color="auto"/>
            </w:tcBorders>
            <w:shd w:val="clear" w:color="000000" w:fill="FFFFFF"/>
            <w:vAlign w:val="center"/>
            <w:hideMark/>
          </w:tcPr>
          <w:p w14:paraId="1E1D3E1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Ekonomike: Po; Financiare: Po; Sociale: Po; Mjedisore: Po</w:t>
            </w:r>
          </w:p>
        </w:tc>
      </w:tr>
      <w:tr w:rsidR="004C7CDB" w:rsidRPr="00B6793F" w14:paraId="4A38519F"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15E399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31</w:t>
            </w:r>
          </w:p>
        </w:tc>
        <w:tc>
          <w:tcPr>
            <w:tcW w:w="584" w:type="pct"/>
            <w:tcBorders>
              <w:top w:val="nil"/>
              <w:left w:val="nil"/>
              <w:bottom w:val="single" w:sz="4" w:space="0" w:color="auto"/>
              <w:right w:val="single" w:sz="4" w:space="0" w:color="auto"/>
            </w:tcBorders>
            <w:shd w:val="clear" w:color="000000" w:fill="FFFFFF"/>
            <w:vAlign w:val="center"/>
            <w:hideMark/>
          </w:tcPr>
          <w:p w14:paraId="76D53EC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shtesa dhe ndryshime ne Ligjin nr. 10 448, datë 14.07.2011, “Për lejet e mjedisit”, </w:t>
            </w:r>
          </w:p>
        </w:tc>
        <w:tc>
          <w:tcPr>
            <w:tcW w:w="393" w:type="pct"/>
            <w:tcBorders>
              <w:top w:val="nil"/>
              <w:left w:val="nil"/>
              <w:bottom w:val="single" w:sz="4" w:space="0" w:color="auto"/>
              <w:right w:val="single" w:sz="4" w:space="0" w:color="auto"/>
            </w:tcBorders>
            <w:shd w:val="clear" w:color="000000" w:fill="FFFFFF"/>
            <w:vAlign w:val="center"/>
            <w:hideMark/>
          </w:tcPr>
          <w:p w14:paraId="6DD67D6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5896F20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31D0B7C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2F2681E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Përafrimi i direktivës IED (2010/75/EU dhe MCP Directive (EU) 2015/2193 </w:t>
            </w:r>
          </w:p>
        </w:tc>
        <w:tc>
          <w:tcPr>
            <w:tcW w:w="584" w:type="pct"/>
            <w:tcBorders>
              <w:top w:val="nil"/>
              <w:left w:val="nil"/>
              <w:bottom w:val="single" w:sz="4" w:space="0" w:color="auto"/>
              <w:right w:val="single" w:sz="4" w:space="0" w:color="auto"/>
            </w:tcBorders>
            <w:shd w:val="clear" w:color="000000" w:fill="FFFFFF"/>
            <w:vAlign w:val="center"/>
            <w:hideMark/>
          </w:tcPr>
          <w:p w14:paraId="7352D22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Në kuadër të përafrimit me legjislacionin evropian </w:t>
            </w:r>
          </w:p>
        </w:tc>
        <w:tc>
          <w:tcPr>
            <w:tcW w:w="371" w:type="pct"/>
            <w:tcBorders>
              <w:top w:val="nil"/>
              <w:left w:val="nil"/>
              <w:bottom w:val="single" w:sz="4" w:space="0" w:color="auto"/>
              <w:right w:val="single" w:sz="4" w:space="0" w:color="auto"/>
            </w:tcBorders>
            <w:shd w:val="clear" w:color="000000" w:fill="FFFFFF"/>
            <w:vAlign w:val="center"/>
            <w:hideMark/>
          </w:tcPr>
          <w:p w14:paraId="4B564FA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493AC02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5" w:type="pct"/>
            <w:tcBorders>
              <w:top w:val="nil"/>
              <w:left w:val="nil"/>
              <w:bottom w:val="single" w:sz="4" w:space="0" w:color="auto"/>
              <w:right w:val="single" w:sz="4" w:space="0" w:color="auto"/>
            </w:tcBorders>
            <w:shd w:val="clear" w:color="000000" w:fill="FFFFFF"/>
            <w:vAlign w:val="center"/>
            <w:hideMark/>
          </w:tcPr>
          <w:p w14:paraId="6DEAE6D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67A5DEC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single" w:sz="4" w:space="0" w:color="000000"/>
              <w:left w:val="nil"/>
              <w:bottom w:val="nil"/>
              <w:right w:val="single" w:sz="4" w:space="0" w:color="000000"/>
            </w:tcBorders>
            <w:shd w:val="clear" w:color="000000" w:fill="FFFFFF"/>
            <w:noWrap/>
            <w:vAlign w:val="center"/>
            <w:hideMark/>
          </w:tcPr>
          <w:p w14:paraId="6160661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Jo </w:t>
            </w:r>
          </w:p>
        </w:tc>
      </w:tr>
      <w:tr w:rsidR="004C7CDB" w:rsidRPr="00B6793F" w14:paraId="5F3A96CF"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DA02A7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32</w:t>
            </w:r>
          </w:p>
        </w:tc>
        <w:tc>
          <w:tcPr>
            <w:tcW w:w="584" w:type="pct"/>
            <w:tcBorders>
              <w:top w:val="nil"/>
              <w:left w:val="nil"/>
              <w:bottom w:val="single" w:sz="4" w:space="0" w:color="auto"/>
              <w:right w:val="single" w:sz="4" w:space="0" w:color="auto"/>
            </w:tcBorders>
            <w:shd w:val="clear" w:color="000000" w:fill="FFFFFF"/>
            <w:vAlign w:val="center"/>
            <w:hideMark/>
          </w:tcPr>
          <w:p w14:paraId="348ABC3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shtesa dhe ndryshime në  VKM nr. 10, datë 9.1.2019 “Për miratimin e rregullave për prodhimin, importin, eksportin, hedhjen në treg dhe përdorimin e substancave ozonholluese, si dhe për importin, eksportin, hedhjen në treg dhe përdorimin e produkteve e të pajisjeve që përmbajnë këto substanca”</w:t>
            </w:r>
          </w:p>
        </w:tc>
        <w:tc>
          <w:tcPr>
            <w:tcW w:w="393" w:type="pct"/>
            <w:tcBorders>
              <w:top w:val="nil"/>
              <w:left w:val="nil"/>
              <w:bottom w:val="single" w:sz="4" w:space="0" w:color="auto"/>
              <w:right w:val="single" w:sz="4" w:space="0" w:color="auto"/>
            </w:tcBorders>
            <w:shd w:val="clear" w:color="000000" w:fill="FFFFFF"/>
            <w:vAlign w:val="center"/>
            <w:hideMark/>
          </w:tcPr>
          <w:p w14:paraId="4962D2C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6F3C3B5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Ministri i Mjedisit   </w:t>
            </w:r>
          </w:p>
        </w:tc>
        <w:tc>
          <w:tcPr>
            <w:tcW w:w="362" w:type="pct"/>
            <w:tcBorders>
              <w:top w:val="nil"/>
              <w:left w:val="nil"/>
              <w:bottom w:val="single" w:sz="4" w:space="0" w:color="auto"/>
              <w:right w:val="single" w:sz="4" w:space="0" w:color="auto"/>
            </w:tcBorders>
            <w:shd w:val="clear" w:color="000000" w:fill="FFFFFF"/>
            <w:vAlign w:val="center"/>
            <w:hideMark/>
          </w:tcPr>
          <w:p w14:paraId="74BD2A6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1811B63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pikës 1, të nenit 35, të ligjit nr. 10431, datë 9.6.2011,</w:t>
            </w:r>
            <w:r w:rsidRPr="00B6793F">
              <w:rPr>
                <w:rFonts w:ascii="Arial" w:eastAsia="Times New Roman" w:hAnsi="Arial" w:cs="Arial"/>
                <w:sz w:val="8"/>
                <w:szCs w:val="8"/>
                <w:lang w:eastAsia="sq-AL"/>
              </w:rPr>
              <w:br/>
              <w:t xml:space="preserve"> “Për mbrojtjen e mjedisit”, të ndryshuar</w:t>
            </w:r>
          </w:p>
        </w:tc>
        <w:tc>
          <w:tcPr>
            <w:tcW w:w="584" w:type="pct"/>
            <w:tcBorders>
              <w:top w:val="nil"/>
              <w:left w:val="nil"/>
              <w:bottom w:val="single" w:sz="4" w:space="0" w:color="auto"/>
              <w:right w:val="single" w:sz="4" w:space="0" w:color="auto"/>
            </w:tcBorders>
            <w:shd w:val="clear" w:color="000000" w:fill="FFFFFF"/>
            <w:vAlign w:val="center"/>
            <w:hideMark/>
          </w:tcPr>
          <w:p w14:paraId="7A8870B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qe te nderhyet ne kete Projektvendim dhe te perafrohet plotesisht me  Rregulloren e (BE) 2024/590 e Parlamentit Evropian dhe e Këshillit të 7 shkurtit 2024 mbi substancat që ozonholluese, dhe qe shfuqizon Rregulloren (KE) Nr. 1005/2009.</w:t>
            </w:r>
          </w:p>
        </w:tc>
        <w:tc>
          <w:tcPr>
            <w:tcW w:w="371" w:type="pct"/>
            <w:tcBorders>
              <w:top w:val="nil"/>
              <w:left w:val="nil"/>
              <w:bottom w:val="single" w:sz="4" w:space="0" w:color="auto"/>
              <w:right w:val="single" w:sz="4" w:space="0" w:color="auto"/>
            </w:tcBorders>
            <w:shd w:val="clear" w:color="000000" w:fill="FFFFFF"/>
            <w:vAlign w:val="center"/>
            <w:hideMark/>
          </w:tcPr>
          <w:p w14:paraId="5F58E54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7061F6D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7946981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2444FD5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VKM-në nr. 581, datë 6.10.2021, “Për miratimin e Kontributit Kombëtar të Përcaktuar”</w:t>
            </w:r>
          </w:p>
        </w:tc>
        <w:tc>
          <w:tcPr>
            <w:tcW w:w="465" w:type="pct"/>
            <w:tcBorders>
              <w:top w:val="single" w:sz="4" w:space="0" w:color="auto"/>
              <w:left w:val="nil"/>
              <w:bottom w:val="single" w:sz="4" w:space="0" w:color="auto"/>
              <w:right w:val="single" w:sz="8" w:space="0" w:color="auto"/>
            </w:tcBorders>
            <w:shd w:val="clear" w:color="000000" w:fill="FFFFFF"/>
            <w:vAlign w:val="center"/>
            <w:hideMark/>
          </w:tcPr>
          <w:p w14:paraId="05B72CB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48A79B7C"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5B85D7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33</w:t>
            </w:r>
          </w:p>
        </w:tc>
        <w:tc>
          <w:tcPr>
            <w:tcW w:w="584" w:type="pct"/>
            <w:tcBorders>
              <w:top w:val="nil"/>
              <w:left w:val="nil"/>
              <w:bottom w:val="single" w:sz="4" w:space="0" w:color="auto"/>
              <w:right w:val="single" w:sz="4" w:space="0" w:color="auto"/>
            </w:tcBorders>
            <w:shd w:val="clear" w:color="000000" w:fill="FFFFFF"/>
            <w:vAlign w:val="center"/>
            <w:hideMark/>
          </w:tcPr>
          <w:p w14:paraId="6CE7598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"Per disa shtesa dhe ndryshime ne Ligjin nr. 162/2014 'Për cilësinë e ajrit në mjedis", i ndryshuar </w:t>
            </w:r>
          </w:p>
        </w:tc>
        <w:tc>
          <w:tcPr>
            <w:tcW w:w="393" w:type="pct"/>
            <w:tcBorders>
              <w:top w:val="nil"/>
              <w:left w:val="nil"/>
              <w:bottom w:val="single" w:sz="4" w:space="0" w:color="auto"/>
              <w:right w:val="single" w:sz="4" w:space="0" w:color="auto"/>
            </w:tcBorders>
            <w:shd w:val="clear" w:color="000000" w:fill="FFFFFF"/>
            <w:vAlign w:val="center"/>
            <w:hideMark/>
          </w:tcPr>
          <w:p w14:paraId="0262771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167EBE1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Ministri i Mjedisit </w:t>
            </w:r>
          </w:p>
        </w:tc>
        <w:tc>
          <w:tcPr>
            <w:tcW w:w="362" w:type="pct"/>
            <w:tcBorders>
              <w:top w:val="nil"/>
              <w:left w:val="nil"/>
              <w:bottom w:val="single" w:sz="4" w:space="0" w:color="auto"/>
              <w:right w:val="single" w:sz="4" w:space="0" w:color="auto"/>
            </w:tcBorders>
            <w:shd w:val="clear" w:color="000000" w:fill="FFFFFF"/>
            <w:vAlign w:val="center"/>
            <w:hideMark/>
          </w:tcPr>
          <w:p w14:paraId="174F35F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54D5819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 Bashkimin Evropian ne vitin 2024 eshte miratuar Direktiva e re (EU) 2024/2881 per cilesine e ajrit dhe ajer me te paster per Europen, e cila ndryshon disa Direktiven e meparshme dhe propozon per here te pare dispozita te reja dhe integron 2 Direktiva ne nje. </w:t>
            </w:r>
          </w:p>
        </w:tc>
        <w:tc>
          <w:tcPr>
            <w:tcW w:w="584" w:type="pct"/>
            <w:tcBorders>
              <w:top w:val="nil"/>
              <w:left w:val="nil"/>
              <w:bottom w:val="single" w:sz="4" w:space="0" w:color="auto"/>
              <w:right w:val="single" w:sz="4" w:space="0" w:color="auto"/>
            </w:tcBorders>
            <w:shd w:val="clear" w:color="000000" w:fill="FFFFFF"/>
            <w:vAlign w:val="center"/>
            <w:hideMark/>
          </w:tcPr>
          <w:p w14:paraId="1DD987A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Direktivën e (EU) 2024/2881, lind nevoja që të nderhyet ne Ligjin kuadër të cilesisë së ajrit.</w:t>
            </w:r>
          </w:p>
        </w:tc>
        <w:tc>
          <w:tcPr>
            <w:tcW w:w="371" w:type="pct"/>
            <w:tcBorders>
              <w:top w:val="nil"/>
              <w:left w:val="nil"/>
              <w:bottom w:val="single" w:sz="4" w:space="0" w:color="auto"/>
              <w:right w:val="single" w:sz="4" w:space="0" w:color="auto"/>
            </w:tcBorders>
            <w:shd w:val="clear" w:color="000000" w:fill="FFFFFF"/>
            <w:vAlign w:val="center"/>
            <w:hideMark/>
          </w:tcPr>
          <w:p w14:paraId="3D35C69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530F8BA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akti ka perpuethshmeri me Programin politik qeverises 2025-2029 ne piken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166D83D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0267F12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SKZHI 2021-2030</w:t>
            </w:r>
          </w:p>
        </w:tc>
        <w:tc>
          <w:tcPr>
            <w:tcW w:w="465" w:type="pct"/>
            <w:tcBorders>
              <w:top w:val="nil"/>
              <w:left w:val="nil"/>
              <w:bottom w:val="single" w:sz="4" w:space="0" w:color="auto"/>
              <w:right w:val="single" w:sz="8" w:space="0" w:color="auto"/>
            </w:tcBorders>
            <w:shd w:val="clear" w:color="000000" w:fill="FFFFFF"/>
            <w:vAlign w:val="center"/>
            <w:hideMark/>
          </w:tcPr>
          <w:p w14:paraId="689C20E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6C2B4E34"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6104B2C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34</w:t>
            </w:r>
          </w:p>
        </w:tc>
        <w:tc>
          <w:tcPr>
            <w:tcW w:w="584" w:type="pct"/>
            <w:tcBorders>
              <w:top w:val="nil"/>
              <w:left w:val="nil"/>
              <w:bottom w:val="single" w:sz="4" w:space="0" w:color="auto"/>
              <w:right w:val="single" w:sz="4" w:space="0" w:color="auto"/>
            </w:tcBorders>
            <w:shd w:val="clear" w:color="000000" w:fill="FFFFFF"/>
            <w:vAlign w:val="center"/>
            <w:hideMark/>
          </w:tcPr>
          <w:p w14:paraId="0C4C124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ligjin Nr.2/2023 "Për gazet serrë të floruara""</w:t>
            </w:r>
          </w:p>
        </w:tc>
        <w:tc>
          <w:tcPr>
            <w:tcW w:w="393" w:type="pct"/>
            <w:tcBorders>
              <w:top w:val="nil"/>
              <w:left w:val="nil"/>
              <w:bottom w:val="single" w:sz="4" w:space="0" w:color="auto"/>
              <w:right w:val="single" w:sz="4" w:space="0" w:color="auto"/>
            </w:tcBorders>
            <w:shd w:val="clear" w:color="000000" w:fill="FFFFFF"/>
            <w:vAlign w:val="center"/>
            <w:hideMark/>
          </w:tcPr>
          <w:p w14:paraId="5D66034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7" w:type="pct"/>
            <w:tcBorders>
              <w:top w:val="nil"/>
              <w:left w:val="nil"/>
              <w:bottom w:val="single" w:sz="4" w:space="0" w:color="auto"/>
              <w:right w:val="single" w:sz="4" w:space="0" w:color="auto"/>
            </w:tcBorders>
            <w:shd w:val="clear" w:color="000000" w:fill="FFFFFF"/>
            <w:vAlign w:val="center"/>
            <w:hideMark/>
          </w:tcPr>
          <w:p w14:paraId="2D98EB07"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5E7D276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025DC60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Shqipëria duhet të rishikojë ligjin për gazet serrë fluoruara. Projektligji ndryshues  do të synojë përafrojë Rregulloren e re të Bashkimit Evropian (BE) nr. 2024/573, e cila zëvendëson Rregulloren 517/2014,  përfaruar pjesërisht përmes Ligjit Nr.2/2023. </w:t>
            </w:r>
          </w:p>
        </w:tc>
        <w:tc>
          <w:tcPr>
            <w:tcW w:w="584" w:type="pct"/>
            <w:tcBorders>
              <w:top w:val="nil"/>
              <w:left w:val="nil"/>
              <w:bottom w:val="nil"/>
              <w:right w:val="nil"/>
            </w:tcBorders>
            <w:shd w:val="clear" w:color="000000" w:fill="FFFFFF"/>
            <w:vAlign w:val="center"/>
            <w:hideMark/>
          </w:tcPr>
          <w:p w14:paraId="6281EC8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përputhje me procesin e integrimit evropian dhe me detyrimet që rrjedhin nga Kapitulli 27 “Mjedisi dhe Ndryshimet Klimatike”, Do te synohet reduktimi i mëtejshëm të ndikimit klimatik të këtyre gazrave me potencial të lartë ngrohjeje globale (GëP), duke i integruar standardet e BE-së në çdo hallkë të zinxhirit – nga importi e tregtimi, deri te përdorimi dhe riciklimi.</w:t>
            </w:r>
          </w:p>
        </w:tc>
        <w:tc>
          <w:tcPr>
            <w:tcW w:w="371" w:type="pct"/>
            <w:tcBorders>
              <w:top w:val="nil"/>
              <w:left w:val="single" w:sz="4" w:space="0" w:color="auto"/>
              <w:bottom w:val="single" w:sz="4" w:space="0" w:color="auto"/>
              <w:right w:val="single" w:sz="4" w:space="0" w:color="auto"/>
            </w:tcBorders>
            <w:shd w:val="clear" w:color="000000" w:fill="FFFFFF"/>
            <w:vAlign w:val="center"/>
            <w:hideMark/>
          </w:tcPr>
          <w:p w14:paraId="2D5CD569"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5D73F51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III</w:t>
            </w:r>
            <w:r w:rsidRPr="00B6793F">
              <w:rPr>
                <w:rFonts w:ascii="Arial" w:eastAsia="Times New Roman" w:hAnsi="Arial" w:cs="Arial"/>
                <w:sz w:val="8"/>
                <w:szCs w:val="8"/>
                <w:lang w:eastAsia="sq-AL"/>
              </w:rPr>
              <w:br/>
              <w:t>MIRËQENIE PËR TË GJITHË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448F167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405D2D7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VKM-në nr. 581, datë 6.10.2021, “Për miratimin e Kontributit Kombëtar të Përcaktuar”</w:t>
            </w:r>
          </w:p>
        </w:tc>
        <w:tc>
          <w:tcPr>
            <w:tcW w:w="465" w:type="pct"/>
            <w:tcBorders>
              <w:top w:val="nil"/>
              <w:left w:val="nil"/>
              <w:bottom w:val="single" w:sz="4" w:space="0" w:color="auto"/>
              <w:right w:val="single" w:sz="8" w:space="0" w:color="auto"/>
            </w:tcBorders>
            <w:shd w:val="clear" w:color="000000" w:fill="FFFFFF"/>
            <w:vAlign w:val="center"/>
            <w:hideMark/>
          </w:tcPr>
          <w:p w14:paraId="51A6197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53BCE3D7"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546423A4"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35</w:t>
            </w:r>
          </w:p>
        </w:tc>
        <w:tc>
          <w:tcPr>
            <w:tcW w:w="584" w:type="pct"/>
            <w:tcBorders>
              <w:top w:val="nil"/>
              <w:left w:val="nil"/>
              <w:bottom w:val="single" w:sz="4" w:space="0" w:color="auto"/>
              <w:right w:val="single" w:sz="4" w:space="0" w:color="auto"/>
            </w:tcBorders>
            <w:shd w:val="clear" w:color="000000" w:fill="FFFFFF"/>
            <w:vAlign w:val="center"/>
            <w:hideMark/>
          </w:tcPr>
          <w:p w14:paraId="20B8231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ndryshime në vendimin e Këshillit të Ministrave nr. 352, datë 29.04.2015 “Për vlerësimin e cilësisë së ajrit në mjedis dhe kërkesat për disa ndotës të caktuar”";</w:t>
            </w:r>
          </w:p>
        </w:tc>
        <w:tc>
          <w:tcPr>
            <w:tcW w:w="393" w:type="pct"/>
            <w:tcBorders>
              <w:top w:val="nil"/>
              <w:left w:val="nil"/>
              <w:bottom w:val="single" w:sz="4" w:space="0" w:color="auto"/>
              <w:right w:val="single" w:sz="4" w:space="0" w:color="auto"/>
            </w:tcBorders>
            <w:shd w:val="clear" w:color="000000" w:fill="FFFFFF"/>
            <w:vAlign w:val="center"/>
            <w:hideMark/>
          </w:tcPr>
          <w:p w14:paraId="532630DF"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7B2DB1D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230CE60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40E1F290"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nenit 5 të ligjit nr. 162/2014, “Për mbrojtjen e cilësisë së ajrit në mjedis”.</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14:paraId="37234B7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që të ndërhyet ne kete Vendim për përafrimin me Direktiva (BE) 2024/2881 e Parlamentit Evropian dhe e Këshillit, datë 23 tetor 2024, mbi cilësinë e ajrit të ambientit dhe ajrin më të pastër për Evropën . Vendimi aktual i Këshillit të Ministrave  ka për qëllim a) përcaktimin e vlerave kufi, vlerave prag dhe vlerave të synuara për disa ndotës në ajër, si dhe objektivave për cilësi të shëndetshme të ajrit të mjedisit;  b) përcaktimin e metodave dhe kritereve për matjen dhe vlerësimin e cilësisë së ajrit të mjedisit; c) promovimin e rritjes së bashkëpunimit midis aktorëve të ndryshëm brenda vendit, si dhe me vende të tjera. Direktiva e re e Be-së parashikon ndryshime të rëndësishme lidhur me vlerat prag, kufi dhe të synuara, ndaj është e nevojshme të reflektohen nëpërmjet ndryshimit të VKM-së .</w:t>
            </w:r>
          </w:p>
        </w:tc>
        <w:tc>
          <w:tcPr>
            <w:tcW w:w="371" w:type="pct"/>
            <w:tcBorders>
              <w:top w:val="nil"/>
              <w:left w:val="nil"/>
              <w:bottom w:val="single" w:sz="4" w:space="0" w:color="auto"/>
              <w:right w:val="single" w:sz="4" w:space="0" w:color="auto"/>
            </w:tcBorders>
            <w:shd w:val="clear" w:color="000000" w:fill="FFFFFF"/>
            <w:vAlign w:val="center"/>
            <w:hideMark/>
          </w:tcPr>
          <w:p w14:paraId="6013D7B2"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7446A6F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akti ka perpuethshmeri me Programin politik qeverises 2025-2029 ne piken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55807A1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3CD8CA4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SKZHI 2021-2030</w:t>
            </w:r>
          </w:p>
        </w:tc>
        <w:tc>
          <w:tcPr>
            <w:tcW w:w="465" w:type="pct"/>
            <w:tcBorders>
              <w:top w:val="nil"/>
              <w:left w:val="nil"/>
              <w:bottom w:val="single" w:sz="4" w:space="0" w:color="auto"/>
              <w:right w:val="single" w:sz="8" w:space="0" w:color="auto"/>
            </w:tcBorders>
            <w:shd w:val="clear" w:color="000000" w:fill="FFFFFF"/>
            <w:vAlign w:val="center"/>
            <w:hideMark/>
          </w:tcPr>
          <w:p w14:paraId="63D3E9CA"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r w:rsidR="004C7CDB" w:rsidRPr="00B6793F" w14:paraId="199C89B3" w14:textId="77777777" w:rsidTr="004C7CDB">
        <w:trPr>
          <w:gridAfter w:val="1"/>
          <w:wAfter w:w="2" w:type="pct"/>
          <w:trHeight w:val="180"/>
          <w:jc w:val="center"/>
        </w:trPr>
        <w:tc>
          <w:tcPr>
            <w:tcW w:w="178" w:type="pct"/>
            <w:tcBorders>
              <w:top w:val="nil"/>
              <w:left w:val="single" w:sz="8" w:space="0" w:color="auto"/>
              <w:bottom w:val="single" w:sz="4" w:space="0" w:color="auto"/>
              <w:right w:val="single" w:sz="4" w:space="0" w:color="auto"/>
            </w:tcBorders>
            <w:shd w:val="clear" w:color="000000" w:fill="FFFFFF"/>
            <w:vAlign w:val="center"/>
            <w:hideMark/>
          </w:tcPr>
          <w:p w14:paraId="107D99CE"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36</w:t>
            </w:r>
          </w:p>
        </w:tc>
        <w:tc>
          <w:tcPr>
            <w:tcW w:w="584" w:type="pct"/>
            <w:tcBorders>
              <w:top w:val="nil"/>
              <w:left w:val="nil"/>
              <w:bottom w:val="single" w:sz="4" w:space="0" w:color="auto"/>
              <w:right w:val="single" w:sz="4" w:space="0" w:color="auto"/>
            </w:tcBorders>
            <w:shd w:val="clear" w:color="000000" w:fill="FFFFFF"/>
            <w:vAlign w:val="center"/>
            <w:hideMark/>
          </w:tcPr>
          <w:p w14:paraId="3D82407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ndryshime në vendimin e Këshillit të Ministrave nr. 162, datë 19.02.2020 “Per rregullat e hollesishme per hartimin, miratimin, rishikimin dhe zbatimin e programeve te pakesimit te shkarkimeve në ajër”;</w:t>
            </w:r>
          </w:p>
        </w:tc>
        <w:tc>
          <w:tcPr>
            <w:tcW w:w="393" w:type="pct"/>
            <w:tcBorders>
              <w:top w:val="nil"/>
              <w:left w:val="nil"/>
              <w:bottom w:val="single" w:sz="4" w:space="0" w:color="auto"/>
              <w:right w:val="single" w:sz="4" w:space="0" w:color="auto"/>
            </w:tcBorders>
            <w:shd w:val="clear" w:color="000000" w:fill="FFFFFF"/>
            <w:vAlign w:val="center"/>
            <w:hideMark/>
          </w:tcPr>
          <w:p w14:paraId="48F0CE4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7" w:type="pct"/>
            <w:tcBorders>
              <w:top w:val="nil"/>
              <w:left w:val="nil"/>
              <w:bottom w:val="single" w:sz="4" w:space="0" w:color="auto"/>
              <w:right w:val="single" w:sz="4" w:space="0" w:color="auto"/>
            </w:tcBorders>
            <w:shd w:val="clear" w:color="000000" w:fill="FFFFFF"/>
            <w:vAlign w:val="center"/>
            <w:hideMark/>
          </w:tcPr>
          <w:p w14:paraId="592675F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Mjedisit</w:t>
            </w:r>
          </w:p>
        </w:tc>
        <w:tc>
          <w:tcPr>
            <w:tcW w:w="362" w:type="pct"/>
            <w:tcBorders>
              <w:top w:val="nil"/>
              <w:left w:val="nil"/>
              <w:bottom w:val="single" w:sz="4" w:space="0" w:color="auto"/>
              <w:right w:val="single" w:sz="4" w:space="0" w:color="auto"/>
            </w:tcBorders>
            <w:shd w:val="clear" w:color="000000" w:fill="FFFFFF"/>
            <w:vAlign w:val="center"/>
            <w:hideMark/>
          </w:tcPr>
          <w:p w14:paraId="3387C44B"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37" w:type="pct"/>
            <w:tcBorders>
              <w:top w:val="nil"/>
              <w:left w:val="nil"/>
              <w:bottom w:val="single" w:sz="4" w:space="0" w:color="auto"/>
              <w:right w:val="single" w:sz="4" w:space="0" w:color="auto"/>
            </w:tcBorders>
            <w:shd w:val="clear" w:color="000000" w:fill="FFFFFF"/>
            <w:vAlign w:val="center"/>
            <w:hideMark/>
          </w:tcPr>
          <w:p w14:paraId="7A8242FD"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zbatim të pikës 4, të nenit 17, të ligjit nr. 162, datë 4.12.2014, “Për mbrojtjen e cilësisë së ajrit në mjedis”</w:t>
            </w:r>
          </w:p>
        </w:tc>
        <w:tc>
          <w:tcPr>
            <w:tcW w:w="584" w:type="pct"/>
            <w:tcBorders>
              <w:top w:val="nil"/>
              <w:left w:val="nil"/>
              <w:bottom w:val="single" w:sz="4" w:space="0" w:color="auto"/>
              <w:right w:val="single" w:sz="4" w:space="0" w:color="auto"/>
            </w:tcBorders>
            <w:shd w:val="clear" w:color="000000" w:fill="FFFFFF"/>
            <w:vAlign w:val="center"/>
            <w:hideMark/>
          </w:tcPr>
          <w:p w14:paraId="7250EAA1"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 kuader te procesit te perafrimit te legjislacionit kombetar me ate Europian, lind nevoja që të ndërhyet në këtë Vendim, për përafrimin e mëtejshëm me Direktivën (BE) 2016/2284, e njohur si Direktiva për Kufijtë Kombëtarë të Emisioneve (NEC Directive), ka si qëllim kryesor reduktimin e ndikimeve negative të ndotjes së ajrit në shëndetin e njeriut dhe mjedis. </w:t>
            </w:r>
          </w:p>
        </w:tc>
        <w:tc>
          <w:tcPr>
            <w:tcW w:w="371" w:type="pct"/>
            <w:tcBorders>
              <w:top w:val="nil"/>
              <w:left w:val="nil"/>
              <w:bottom w:val="single" w:sz="4" w:space="0" w:color="auto"/>
              <w:right w:val="single" w:sz="4" w:space="0" w:color="auto"/>
            </w:tcBorders>
            <w:shd w:val="clear" w:color="000000" w:fill="FFFFFF"/>
            <w:vAlign w:val="center"/>
            <w:hideMark/>
          </w:tcPr>
          <w:p w14:paraId="2546131C"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27</w:t>
            </w:r>
          </w:p>
        </w:tc>
        <w:tc>
          <w:tcPr>
            <w:tcW w:w="468" w:type="pct"/>
            <w:tcBorders>
              <w:top w:val="nil"/>
              <w:left w:val="nil"/>
              <w:bottom w:val="single" w:sz="4" w:space="0" w:color="auto"/>
              <w:right w:val="single" w:sz="4" w:space="0" w:color="auto"/>
            </w:tcBorders>
            <w:shd w:val="clear" w:color="000000" w:fill="FFFFFF"/>
            <w:vAlign w:val="center"/>
            <w:hideMark/>
          </w:tcPr>
          <w:p w14:paraId="0C57CCF3"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akti ka perpuethshmeri me Programin politik qeverises 2025-2029 ne piken 3.6 Mbrojtja e mjedisit dhe ndryshimet klimatike</w:t>
            </w:r>
          </w:p>
        </w:tc>
        <w:tc>
          <w:tcPr>
            <w:tcW w:w="335" w:type="pct"/>
            <w:tcBorders>
              <w:top w:val="nil"/>
              <w:left w:val="nil"/>
              <w:bottom w:val="single" w:sz="4" w:space="0" w:color="auto"/>
              <w:right w:val="single" w:sz="4" w:space="0" w:color="auto"/>
            </w:tcBorders>
            <w:shd w:val="clear" w:color="000000" w:fill="FFFFFF"/>
            <w:vAlign w:val="center"/>
            <w:hideMark/>
          </w:tcPr>
          <w:p w14:paraId="1F5E4D76"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83" w:type="pct"/>
            <w:tcBorders>
              <w:top w:val="nil"/>
              <w:left w:val="nil"/>
              <w:bottom w:val="single" w:sz="4" w:space="0" w:color="auto"/>
              <w:right w:val="single" w:sz="4" w:space="0" w:color="auto"/>
            </w:tcBorders>
            <w:shd w:val="clear" w:color="000000" w:fill="FFFFFF"/>
            <w:vAlign w:val="center"/>
            <w:hideMark/>
          </w:tcPr>
          <w:p w14:paraId="7FCE70C5"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SKZHI 2021-2030</w:t>
            </w:r>
          </w:p>
        </w:tc>
        <w:tc>
          <w:tcPr>
            <w:tcW w:w="465" w:type="pct"/>
            <w:tcBorders>
              <w:top w:val="nil"/>
              <w:left w:val="nil"/>
              <w:bottom w:val="single" w:sz="4" w:space="0" w:color="auto"/>
              <w:right w:val="single" w:sz="8" w:space="0" w:color="auto"/>
            </w:tcBorders>
            <w:shd w:val="clear" w:color="000000" w:fill="FFFFFF"/>
            <w:vAlign w:val="center"/>
            <w:hideMark/>
          </w:tcPr>
          <w:p w14:paraId="2DC92BA8" w14:textId="77777777" w:rsidR="004C7CDB" w:rsidRPr="00B6793F" w:rsidRDefault="004C7CDB" w:rsidP="004C7CD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Ndikimet e mundshme:  Ekonomike- Po, Financiare- Po, Sociale- Po dhe mjedisore- Po</w:t>
            </w:r>
          </w:p>
        </w:tc>
      </w:tr>
    </w:tbl>
    <w:p w14:paraId="20083EF0" w14:textId="255B5E50" w:rsidR="004C7CDB" w:rsidRPr="00B6793F" w:rsidRDefault="004C7CDB" w:rsidP="00AC5BDD">
      <w:pPr>
        <w:spacing w:after="0" w:line="240" w:lineRule="auto"/>
        <w:ind w:firstLine="284"/>
        <w:jc w:val="center"/>
        <w:rPr>
          <w:rFonts w:ascii="Garamond" w:hAnsi="Garamond"/>
          <w:b/>
          <w:sz w:val="24"/>
        </w:rPr>
      </w:pPr>
    </w:p>
    <w:p w14:paraId="3D3DE513" w14:textId="0A89E4B8" w:rsidR="004C7CDB" w:rsidRPr="00B6793F" w:rsidRDefault="004C7CDB" w:rsidP="00AC5BDD">
      <w:pPr>
        <w:spacing w:after="0" w:line="240" w:lineRule="auto"/>
        <w:ind w:firstLine="284"/>
        <w:jc w:val="center"/>
        <w:rPr>
          <w:rFonts w:ascii="Garamond" w:hAnsi="Garamond"/>
          <w:b/>
          <w:sz w:val="24"/>
        </w:rPr>
      </w:pPr>
    </w:p>
    <w:p w14:paraId="67182003" w14:textId="239103A2" w:rsidR="004C7CDB" w:rsidRPr="00B6793F" w:rsidRDefault="004C7CDB" w:rsidP="00AC5BDD">
      <w:pPr>
        <w:spacing w:after="0" w:line="240" w:lineRule="auto"/>
        <w:ind w:firstLine="284"/>
        <w:jc w:val="center"/>
        <w:rPr>
          <w:rFonts w:ascii="Garamond" w:hAnsi="Garamond"/>
          <w:b/>
          <w:sz w:val="24"/>
        </w:rPr>
      </w:pPr>
    </w:p>
    <w:p w14:paraId="0D4530F3" w14:textId="32739E9D" w:rsidR="004C7CDB" w:rsidRPr="00B6793F" w:rsidRDefault="004C7CDB" w:rsidP="00AC5BDD">
      <w:pPr>
        <w:spacing w:after="0" w:line="240" w:lineRule="auto"/>
        <w:ind w:firstLine="284"/>
        <w:jc w:val="center"/>
        <w:rPr>
          <w:rFonts w:ascii="Garamond" w:hAnsi="Garamond"/>
          <w:b/>
          <w:sz w:val="24"/>
        </w:rPr>
      </w:pPr>
    </w:p>
    <w:p w14:paraId="1898B9B1" w14:textId="1ACA92D9" w:rsidR="004C7CDB" w:rsidRPr="00B6793F" w:rsidRDefault="004C7CDB" w:rsidP="00AC5BDD">
      <w:pPr>
        <w:spacing w:after="0" w:line="240" w:lineRule="auto"/>
        <w:ind w:firstLine="284"/>
        <w:jc w:val="center"/>
        <w:rPr>
          <w:rFonts w:ascii="Garamond" w:hAnsi="Garamond"/>
          <w:b/>
          <w:sz w:val="24"/>
        </w:rPr>
      </w:pPr>
    </w:p>
    <w:tbl>
      <w:tblPr>
        <w:tblW w:w="5089" w:type="pct"/>
        <w:jc w:val="center"/>
        <w:tblLook w:val="04A0" w:firstRow="1" w:lastRow="0" w:firstColumn="1" w:lastColumn="0" w:noHBand="0" w:noVBand="1"/>
      </w:tblPr>
      <w:tblGrid>
        <w:gridCol w:w="507"/>
        <w:gridCol w:w="1291"/>
        <w:gridCol w:w="1119"/>
        <w:gridCol w:w="1085"/>
        <w:gridCol w:w="1028"/>
        <w:gridCol w:w="1255"/>
        <w:gridCol w:w="1576"/>
        <w:gridCol w:w="1093"/>
        <w:gridCol w:w="1278"/>
        <w:gridCol w:w="954"/>
        <w:gridCol w:w="1329"/>
        <w:gridCol w:w="1664"/>
        <w:gridCol w:w="17"/>
      </w:tblGrid>
      <w:tr w:rsidR="00B06A7D" w:rsidRPr="00B6793F" w14:paraId="61B45360" w14:textId="77777777" w:rsidTr="00B06A7D">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F2F2F2" w:fill="F2F2F2"/>
            <w:vAlign w:val="center"/>
            <w:hideMark/>
          </w:tcPr>
          <w:p w14:paraId="346354AD" w14:textId="77777777" w:rsidR="00B06A7D" w:rsidRPr="00B6793F" w:rsidRDefault="00B06A7D" w:rsidP="00B06A7D">
            <w:pPr>
              <w:spacing w:after="0" w:line="240" w:lineRule="auto"/>
              <w:jc w:val="center"/>
              <w:rPr>
                <w:rFonts w:ascii="Arial" w:eastAsia="Times New Roman" w:hAnsi="Arial" w:cs="Arial"/>
                <w:b/>
                <w:bCs/>
                <w:color w:val="000000"/>
                <w:sz w:val="12"/>
                <w:szCs w:val="8"/>
                <w:lang w:eastAsia="sq-AL"/>
              </w:rPr>
            </w:pPr>
            <w:bookmarkStart w:id="4" w:name="RANGE!A1:L25"/>
            <w:r w:rsidRPr="00B6793F">
              <w:rPr>
                <w:rFonts w:ascii="Arial" w:eastAsia="Times New Roman" w:hAnsi="Arial" w:cs="Arial"/>
                <w:b/>
                <w:bCs/>
                <w:color w:val="000000"/>
                <w:sz w:val="12"/>
                <w:szCs w:val="8"/>
                <w:lang w:eastAsia="sq-AL"/>
              </w:rPr>
              <w:t>Programi i Përgjithshëm Analitik i Projektakteve për vitin 2026</w:t>
            </w:r>
            <w:bookmarkEnd w:id="4"/>
          </w:p>
        </w:tc>
      </w:tr>
      <w:tr w:rsidR="00B06A7D" w:rsidRPr="00B6793F" w14:paraId="48BF1C61" w14:textId="77777777" w:rsidTr="00B06A7D">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F2F2F2" w:fill="F2F2F2"/>
            <w:vAlign w:val="center"/>
            <w:hideMark/>
          </w:tcPr>
          <w:p w14:paraId="5DEF849B" w14:textId="77777777" w:rsidR="00B06A7D" w:rsidRPr="00B6793F" w:rsidRDefault="00B06A7D" w:rsidP="00B06A7D">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 xml:space="preserve">Ministria e Arsimit </w:t>
            </w:r>
          </w:p>
        </w:tc>
      </w:tr>
      <w:tr w:rsidR="00B06A7D" w:rsidRPr="00B6793F" w14:paraId="6C3C3E26"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C00000" w:fill="C00000"/>
            <w:vAlign w:val="center"/>
            <w:hideMark/>
          </w:tcPr>
          <w:p w14:paraId="66B0888E"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455" w:type="pct"/>
            <w:tcBorders>
              <w:top w:val="nil"/>
              <w:left w:val="nil"/>
              <w:bottom w:val="single" w:sz="4" w:space="0" w:color="auto"/>
              <w:right w:val="single" w:sz="4" w:space="0" w:color="auto"/>
            </w:tcBorders>
            <w:shd w:val="clear" w:color="C00000" w:fill="C00000"/>
            <w:vAlign w:val="center"/>
            <w:hideMark/>
          </w:tcPr>
          <w:p w14:paraId="1D73AF31"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94" w:type="pct"/>
            <w:tcBorders>
              <w:top w:val="nil"/>
              <w:left w:val="nil"/>
              <w:bottom w:val="single" w:sz="4" w:space="0" w:color="auto"/>
              <w:right w:val="single" w:sz="4" w:space="0" w:color="auto"/>
            </w:tcBorders>
            <w:shd w:val="clear" w:color="C00000" w:fill="C00000"/>
            <w:vAlign w:val="center"/>
            <w:hideMark/>
          </w:tcPr>
          <w:p w14:paraId="7A14AB16"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82" w:type="pct"/>
            <w:tcBorders>
              <w:top w:val="nil"/>
              <w:left w:val="nil"/>
              <w:bottom w:val="single" w:sz="4" w:space="0" w:color="auto"/>
              <w:right w:val="single" w:sz="4" w:space="0" w:color="auto"/>
            </w:tcBorders>
            <w:shd w:val="clear" w:color="C00000" w:fill="C00000"/>
            <w:vAlign w:val="center"/>
            <w:hideMark/>
          </w:tcPr>
          <w:p w14:paraId="05F4655B"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362" w:type="pct"/>
            <w:tcBorders>
              <w:top w:val="nil"/>
              <w:left w:val="nil"/>
              <w:bottom w:val="single" w:sz="4" w:space="0" w:color="auto"/>
              <w:right w:val="single" w:sz="4" w:space="0" w:color="auto"/>
            </w:tcBorders>
            <w:shd w:val="clear" w:color="C00000" w:fill="C00000"/>
            <w:vAlign w:val="center"/>
            <w:hideMark/>
          </w:tcPr>
          <w:p w14:paraId="0BE0F900"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442" w:type="pct"/>
            <w:tcBorders>
              <w:top w:val="nil"/>
              <w:left w:val="nil"/>
              <w:bottom w:val="single" w:sz="4" w:space="0" w:color="auto"/>
              <w:right w:val="single" w:sz="4" w:space="0" w:color="auto"/>
            </w:tcBorders>
            <w:shd w:val="clear" w:color="C00000" w:fill="C00000"/>
            <w:vAlign w:val="center"/>
            <w:hideMark/>
          </w:tcPr>
          <w:p w14:paraId="50BD3D88"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55" w:type="pct"/>
            <w:tcBorders>
              <w:top w:val="nil"/>
              <w:left w:val="nil"/>
              <w:bottom w:val="single" w:sz="4" w:space="0" w:color="auto"/>
              <w:right w:val="single" w:sz="4" w:space="0" w:color="auto"/>
            </w:tcBorders>
            <w:shd w:val="clear" w:color="C00000" w:fill="C00000"/>
            <w:vAlign w:val="center"/>
            <w:hideMark/>
          </w:tcPr>
          <w:p w14:paraId="06EE5DA8"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Çështjet kryesore që parashikon të rregullojë projektakti</w:t>
            </w:r>
          </w:p>
        </w:tc>
        <w:tc>
          <w:tcPr>
            <w:tcW w:w="385" w:type="pct"/>
            <w:tcBorders>
              <w:top w:val="nil"/>
              <w:left w:val="nil"/>
              <w:bottom w:val="single" w:sz="4" w:space="0" w:color="auto"/>
              <w:right w:val="single" w:sz="4" w:space="0" w:color="auto"/>
            </w:tcBorders>
            <w:shd w:val="clear" w:color="C00000" w:fill="C00000"/>
            <w:vAlign w:val="center"/>
            <w:hideMark/>
          </w:tcPr>
          <w:p w14:paraId="018BA1F2"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t xml:space="preserve"> </w:t>
            </w:r>
            <w:r w:rsidRPr="00B6793F">
              <w:rPr>
                <w:rFonts w:ascii="Arial" w:eastAsia="Times New Roman" w:hAnsi="Arial" w:cs="Arial"/>
                <w:b/>
                <w:bCs/>
                <w:color w:val="FFFFFF"/>
                <w:sz w:val="8"/>
                <w:szCs w:val="8"/>
                <w:lang w:eastAsia="sq-AL"/>
              </w:rPr>
              <w:br/>
              <w:t xml:space="preserve"> Nëse po, të specifikohet kapitulli përkatës</w:t>
            </w:r>
          </w:p>
        </w:tc>
        <w:tc>
          <w:tcPr>
            <w:tcW w:w="450" w:type="pct"/>
            <w:tcBorders>
              <w:top w:val="nil"/>
              <w:left w:val="nil"/>
              <w:bottom w:val="single" w:sz="4" w:space="0" w:color="auto"/>
              <w:right w:val="single" w:sz="4" w:space="0" w:color="auto"/>
            </w:tcBorders>
            <w:shd w:val="clear" w:color="C00000" w:fill="C00000"/>
            <w:vAlign w:val="center"/>
            <w:hideMark/>
          </w:tcPr>
          <w:p w14:paraId="64D05EF5"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336" w:type="pct"/>
            <w:tcBorders>
              <w:top w:val="nil"/>
              <w:left w:val="nil"/>
              <w:bottom w:val="single" w:sz="4" w:space="0" w:color="auto"/>
              <w:right w:val="single" w:sz="4" w:space="0" w:color="auto"/>
            </w:tcBorders>
            <w:shd w:val="clear" w:color="C00000" w:fill="C00000"/>
            <w:vAlign w:val="center"/>
            <w:hideMark/>
          </w:tcPr>
          <w:p w14:paraId="28D7D6FD"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468" w:type="pct"/>
            <w:tcBorders>
              <w:top w:val="nil"/>
              <w:left w:val="nil"/>
              <w:bottom w:val="single" w:sz="4" w:space="0" w:color="auto"/>
              <w:right w:val="single" w:sz="4" w:space="0" w:color="auto"/>
            </w:tcBorders>
            <w:shd w:val="clear" w:color="C00000" w:fill="C00000"/>
            <w:vAlign w:val="center"/>
            <w:hideMark/>
          </w:tcPr>
          <w:p w14:paraId="7B5F821F"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t xml:space="preserve"> </w:t>
            </w:r>
            <w:r w:rsidRPr="00B6793F">
              <w:rPr>
                <w:rFonts w:ascii="Arial" w:eastAsia="Times New Roman" w:hAnsi="Arial" w:cs="Arial"/>
                <w:b/>
                <w:bCs/>
                <w:color w:val="FFFFFF"/>
                <w:sz w:val="8"/>
                <w:szCs w:val="8"/>
                <w:lang w:eastAsia="sq-AL"/>
              </w:rPr>
              <w:br/>
              <w:t xml:space="preserve"> Nëse lidhet, të specifikohen strategjitë</w:t>
            </w:r>
          </w:p>
        </w:tc>
        <w:tc>
          <w:tcPr>
            <w:tcW w:w="586" w:type="pct"/>
            <w:tcBorders>
              <w:top w:val="nil"/>
              <w:left w:val="nil"/>
              <w:bottom w:val="single" w:sz="4" w:space="0" w:color="auto"/>
              <w:right w:val="single" w:sz="4" w:space="0" w:color="auto"/>
            </w:tcBorders>
            <w:shd w:val="clear" w:color="C00000" w:fill="C00000"/>
            <w:vAlign w:val="center"/>
            <w:hideMark/>
          </w:tcPr>
          <w:p w14:paraId="1A0FD3C7" w14:textId="77777777" w:rsidR="00B06A7D" w:rsidRPr="00B6793F" w:rsidRDefault="00B06A7D" w:rsidP="00B06A7D">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t xml:space="preserve"> </w:t>
            </w:r>
            <w:r w:rsidRPr="00B6793F">
              <w:rPr>
                <w:rFonts w:ascii="Arial" w:eastAsia="Times New Roman" w:hAnsi="Arial" w:cs="Arial"/>
                <w:b/>
                <w:bCs/>
                <w:color w:val="FFFFFF"/>
                <w:sz w:val="8"/>
                <w:szCs w:val="8"/>
                <w:lang w:eastAsia="sq-AL"/>
              </w:rPr>
              <w:br/>
              <w:t xml:space="preserve"> Përgjigjuni me Po/Jo për ndikimet përkatëse</w:t>
            </w:r>
          </w:p>
        </w:tc>
      </w:tr>
      <w:tr w:rsidR="00B06A7D" w:rsidRPr="00B6793F" w14:paraId="111A545C"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5E29353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55" w:type="pct"/>
            <w:tcBorders>
              <w:top w:val="nil"/>
              <w:left w:val="nil"/>
              <w:bottom w:val="single" w:sz="4" w:space="0" w:color="auto"/>
              <w:right w:val="single" w:sz="4" w:space="0" w:color="auto"/>
            </w:tcBorders>
            <w:shd w:val="clear" w:color="auto" w:fill="auto"/>
            <w:vAlign w:val="center"/>
            <w:hideMark/>
          </w:tcPr>
          <w:p w14:paraId="6DEC1B5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krijimin e Agjencisë Kombëtare të Shërbimeve Arsimore"</w:t>
            </w:r>
          </w:p>
        </w:tc>
        <w:tc>
          <w:tcPr>
            <w:tcW w:w="394" w:type="pct"/>
            <w:tcBorders>
              <w:top w:val="nil"/>
              <w:left w:val="nil"/>
              <w:bottom w:val="single" w:sz="4" w:space="0" w:color="auto"/>
              <w:right w:val="single" w:sz="4" w:space="0" w:color="auto"/>
            </w:tcBorders>
            <w:shd w:val="clear" w:color="auto" w:fill="auto"/>
            <w:vAlign w:val="center"/>
            <w:hideMark/>
          </w:tcPr>
          <w:p w14:paraId="15E1723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82" w:type="pct"/>
            <w:tcBorders>
              <w:top w:val="nil"/>
              <w:left w:val="nil"/>
              <w:bottom w:val="single" w:sz="4" w:space="0" w:color="auto"/>
              <w:right w:val="single" w:sz="4" w:space="0" w:color="auto"/>
            </w:tcBorders>
            <w:shd w:val="clear" w:color="auto" w:fill="auto"/>
            <w:vAlign w:val="center"/>
            <w:hideMark/>
          </w:tcPr>
          <w:p w14:paraId="04E8201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582315D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55091DD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formës së organizimit dhe funksionimit të Qendrës së Shërbimeve Arsimore si agjenci autonome të krijuar me ligj të veçantë në zbatim të neneve 81, pika 1 dhe 100 të Kushtetutës të Republikës së Shqipërisë</w:t>
            </w:r>
          </w:p>
        </w:tc>
        <w:tc>
          <w:tcPr>
            <w:tcW w:w="555" w:type="pct"/>
            <w:tcBorders>
              <w:top w:val="nil"/>
              <w:left w:val="nil"/>
              <w:bottom w:val="single" w:sz="4" w:space="0" w:color="auto"/>
              <w:right w:val="single" w:sz="4" w:space="0" w:color="auto"/>
            </w:tcBorders>
            <w:shd w:val="clear" w:color="auto" w:fill="auto"/>
            <w:vAlign w:val="center"/>
            <w:hideMark/>
          </w:tcPr>
          <w:p w14:paraId="59CA80F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Objekti i këtij projektligji është krijimi i Agjencisë Kombëtare të Shërbimeve Arsimore, përcaktimi i fushës së saj të veprimtarisë, i  parimeve  dhe  rregullave  të  përgjithshme të organizimit e të funksionimit, si dhe të detyrave dhe kompetencave të saj</w:t>
            </w:r>
          </w:p>
        </w:tc>
        <w:tc>
          <w:tcPr>
            <w:tcW w:w="385" w:type="pct"/>
            <w:tcBorders>
              <w:top w:val="nil"/>
              <w:left w:val="nil"/>
              <w:bottom w:val="single" w:sz="4" w:space="0" w:color="auto"/>
              <w:right w:val="single" w:sz="4" w:space="0" w:color="auto"/>
            </w:tcBorders>
            <w:shd w:val="clear" w:color="auto" w:fill="auto"/>
            <w:vAlign w:val="center"/>
            <w:hideMark/>
          </w:tcPr>
          <w:p w14:paraId="48C1947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456956D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Zgjerojmë shërbimet arsimore online, digjitalizojmë testimet dhe sigurojmë njohjen automatike të</w:t>
            </w:r>
            <w:r w:rsidRPr="00B6793F">
              <w:rPr>
                <w:rFonts w:ascii="Arial" w:eastAsia="Times New Roman" w:hAnsi="Arial" w:cs="Arial"/>
                <w:color w:val="000000"/>
                <w:sz w:val="8"/>
                <w:szCs w:val="8"/>
                <w:lang w:eastAsia="sq-AL"/>
              </w:rPr>
              <w:br/>
              <w:t>diplomave, përmes ngritjes së një agjencie të specializuar dhe të certifikuar sipas standardeve</w:t>
            </w:r>
            <w:r w:rsidRPr="00B6793F">
              <w:rPr>
                <w:rFonts w:ascii="Arial" w:eastAsia="Times New Roman" w:hAnsi="Arial" w:cs="Arial"/>
                <w:color w:val="000000"/>
                <w:sz w:val="8"/>
                <w:szCs w:val="8"/>
                <w:lang w:eastAsia="sq-AL"/>
              </w:rPr>
              <w:br/>
              <w:t>ndërkombëtare</w:t>
            </w:r>
          </w:p>
        </w:tc>
        <w:tc>
          <w:tcPr>
            <w:tcW w:w="336" w:type="pct"/>
            <w:tcBorders>
              <w:top w:val="nil"/>
              <w:left w:val="nil"/>
              <w:bottom w:val="single" w:sz="4" w:space="0" w:color="auto"/>
              <w:right w:val="single" w:sz="4" w:space="0" w:color="auto"/>
            </w:tcBorders>
            <w:shd w:val="clear" w:color="auto" w:fill="auto"/>
            <w:vAlign w:val="center"/>
            <w:hideMark/>
          </w:tcPr>
          <w:p w14:paraId="75349BF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7E503F3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67966E8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financiare e sociale pozitive.</w:t>
            </w:r>
          </w:p>
        </w:tc>
      </w:tr>
      <w:tr w:rsidR="00B06A7D" w:rsidRPr="00B6793F" w14:paraId="18D0821A"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3A230CD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55" w:type="pct"/>
            <w:tcBorders>
              <w:top w:val="nil"/>
              <w:left w:val="nil"/>
              <w:bottom w:val="single" w:sz="4" w:space="0" w:color="auto"/>
              <w:right w:val="single" w:sz="4" w:space="0" w:color="auto"/>
            </w:tcBorders>
            <w:shd w:val="clear" w:color="auto" w:fill="auto"/>
            <w:vAlign w:val="center"/>
            <w:hideMark/>
          </w:tcPr>
          <w:p w14:paraId="6DAF54A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miratimin e standardeve dhe kritereve që mundësojnë zbatimin e parimit të shkencës së hapur në përputhje me politikat e zonës europiane të kërkimit"</w:t>
            </w:r>
          </w:p>
        </w:tc>
        <w:tc>
          <w:tcPr>
            <w:tcW w:w="394" w:type="pct"/>
            <w:tcBorders>
              <w:top w:val="nil"/>
              <w:left w:val="nil"/>
              <w:bottom w:val="single" w:sz="4" w:space="0" w:color="auto"/>
              <w:right w:val="single" w:sz="4" w:space="0" w:color="auto"/>
            </w:tcBorders>
            <w:shd w:val="clear" w:color="auto" w:fill="auto"/>
            <w:vAlign w:val="center"/>
            <w:hideMark/>
          </w:tcPr>
          <w:p w14:paraId="7A4FD41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6387C05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69EA583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5E471FE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pikës 6, të nenit 5,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69A0C12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Zbatimin e parimit të shkencës së hapur ne perputhje me politikat e zones europiane te kerkimit</w:t>
            </w:r>
          </w:p>
        </w:tc>
        <w:tc>
          <w:tcPr>
            <w:tcW w:w="385" w:type="pct"/>
            <w:tcBorders>
              <w:top w:val="nil"/>
              <w:left w:val="nil"/>
              <w:bottom w:val="single" w:sz="4" w:space="0" w:color="auto"/>
              <w:right w:val="single" w:sz="4" w:space="0" w:color="auto"/>
            </w:tcBorders>
            <w:shd w:val="clear" w:color="auto" w:fill="auto"/>
            <w:vAlign w:val="center"/>
            <w:hideMark/>
          </w:tcPr>
          <w:p w14:paraId="571EF14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25</w:t>
            </w:r>
          </w:p>
        </w:tc>
        <w:tc>
          <w:tcPr>
            <w:tcW w:w="450" w:type="pct"/>
            <w:tcBorders>
              <w:top w:val="nil"/>
              <w:left w:val="nil"/>
              <w:bottom w:val="single" w:sz="4" w:space="0" w:color="auto"/>
              <w:right w:val="single" w:sz="4" w:space="0" w:color="auto"/>
            </w:tcBorders>
            <w:shd w:val="clear" w:color="auto" w:fill="auto"/>
            <w:vAlign w:val="center"/>
            <w:hideMark/>
          </w:tcPr>
          <w:p w14:paraId="5919F64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540A977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3562034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0C2594F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0BCC7CF2"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121BE60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55" w:type="pct"/>
            <w:tcBorders>
              <w:top w:val="nil"/>
              <w:left w:val="nil"/>
              <w:bottom w:val="single" w:sz="4" w:space="0" w:color="auto"/>
              <w:right w:val="single" w:sz="4" w:space="0" w:color="auto"/>
            </w:tcBorders>
            <w:shd w:val="clear" w:color="auto" w:fill="auto"/>
            <w:vAlign w:val="center"/>
            <w:hideMark/>
          </w:tcPr>
          <w:p w14:paraId="5354786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Kodit të Etikës në Shkencë dhe Kërkim Shkencor të harmonizuar me Kodin Evropian të Sjelles për Integritet në Kërkim Shkencor" </w:t>
            </w:r>
          </w:p>
        </w:tc>
        <w:tc>
          <w:tcPr>
            <w:tcW w:w="394" w:type="pct"/>
            <w:tcBorders>
              <w:top w:val="nil"/>
              <w:left w:val="nil"/>
              <w:bottom w:val="single" w:sz="4" w:space="0" w:color="auto"/>
              <w:right w:val="single" w:sz="4" w:space="0" w:color="auto"/>
            </w:tcBorders>
            <w:shd w:val="clear" w:color="auto" w:fill="auto"/>
            <w:vAlign w:val="center"/>
            <w:hideMark/>
          </w:tcPr>
          <w:p w14:paraId="6A9CDE4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1F089DE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289EFC7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76482EA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pikës 1, të nenit 30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4A31C8A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Miratimin e kodit te etikës në shkencë dhe kërkim shkencor të harmonizuar me kodin evropian të sjelles per integritet ne kerkim shkencor</w:t>
            </w:r>
          </w:p>
        </w:tc>
        <w:tc>
          <w:tcPr>
            <w:tcW w:w="385" w:type="pct"/>
            <w:tcBorders>
              <w:top w:val="nil"/>
              <w:left w:val="nil"/>
              <w:bottom w:val="single" w:sz="4" w:space="0" w:color="auto"/>
              <w:right w:val="single" w:sz="4" w:space="0" w:color="auto"/>
            </w:tcBorders>
            <w:shd w:val="clear" w:color="auto" w:fill="auto"/>
            <w:vAlign w:val="center"/>
            <w:hideMark/>
          </w:tcPr>
          <w:p w14:paraId="72EC8E2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25</w:t>
            </w:r>
          </w:p>
        </w:tc>
        <w:tc>
          <w:tcPr>
            <w:tcW w:w="450" w:type="pct"/>
            <w:tcBorders>
              <w:top w:val="nil"/>
              <w:left w:val="nil"/>
              <w:bottom w:val="single" w:sz="4" w:space="0" w:color="auto"/>
              <w:right w:val="single" w:sz="4" w:space="0" w:color="auto"/>
            </w:tcBorders>
            <w:shd w:val="clear" w:color="auto" w:fill="auto"/>
            <w:vAlign w:val="center"/>
            <w:hideMark/>
          </w:tcPr>
          <w:p w14:paraId="7816714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10051F4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F8E3A0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7E54870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05E73330"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3EE2175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55" w:type="pct"/>
            <w:tcBorders>
              <w:top w:val="nil"/>
              <w:left w:val="nil"/>
              <w:bottom w:val="single" w:sz="4" w:space="0" w:color="auto"/>
              <w:right w:val="single" w:sz="4" w:space="0" w:color="auto"/>
            </w:tcBorders>
            <w:shd w:val="clear" w:color="auto" w:fill="auto"/>
            <w:vAlign w:val="center"/>
            <w:hideMark/>
          </w:tcPr>
          <w:p w14:paraId="02A5829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modelit të financimit për shkencën dhe kërkimin shkencor"</w:t>
            </w:r>
          </w:p>
        </w:tc>
        <w:tc>
          <w:tcPr>
            <w:tcW w:w="394" w:type="pct"/>
            <w:tcBorders>
              <w:top w:val="nil"/>
              <w:left w:val="nil"/>
              <w:bottom w:val="single" w:sz="4" w:space="0" w:color="auto"/>
              <w:right w:val="single" w:sz="4" w:space="0" w:color="auto"/>
            </w:tcBorders>
            <w:shd w:val="clear" w:color="auto" w:fill="auto"/>
            <w:vAlign w:val="center"/>
            <w:hideMark/>
          </w:tcPr>
          <w:p w14:paraId="2290114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0BF4C27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47D62E7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7EC285F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shkronjës "b", të pikës 2, të nenit 8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079B428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modelit të financimit për shkencën dhe kërkimin shkencor</w:t>
            </w:r>
          </w:p>
        </w:tc>
        <w:tc>
          <w:tcPr>
            <w:tcW w:w="385" w:type="pct"/>
            <w:tcBorders>
              <w:top w:val="nil"/>
              <w:left w:val="nil"/>
              <w:bottom w:val="single" w:sz="4" w:space="0" w:color="auto"/>
              <w:right w:val="single" w:sz="4" w:space="0" w:color="auto"/>
            </w:tcBorders>
            <w:shd w:val="clear" w:color="auto" w:fill="auto"/>
            <w:vAlign w:val="center"/>
            <w:hideMark/>
          </w:tcPr>
          <w:p w14:paraId="6A542C8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3A3E129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7A5AE30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0BC4265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7EFE895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financiare.</w:t>
            </w:r>
          </w:p>
        </w:tc>
      </w:tr>
      <w:tr w:rsidR="00B06A7D" w:rsidRPr="00B6793F" w14:paraId="55D73439"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11A359A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55" w:type="pct"/>
            <w:tcBorders>
              <w:top w:val="nil"/>
              <w:left w:val="nil"/>
              <w:bottom w:val="single" w:sz="4" w:space="0" w:color="auto"/>
              <w:right w:val="single" w:sz="4" w:space="0" w:color="auto"/>
            </w:tcBorders>
            <w:shd w:val="clear" w:color="auto" w:fill="auto"/>
            <w:vAlign w:val="center"/>
            <w:hideMark/>
          </w:tcPr>
          <w:p w14:paraId="42B2613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kritereve, rregullave dhe procedurave për krijimin, vendosjen nën mbikëqyrje, pezullimin dhe mbylljen e instituteve dhe njësive të veçanta të kërkimit shkencor”</w:t>
            </w:r>
          </w:p>
        </w:tc>
        <w:tc>
          <w:tcPr>
            <w:tcW w:w="394" w:type="pct"/>
            <w:tcBorders>
              <w:top w:val="nil"/>
              <w:left w:val="nil"/>
              <w:bottom w:val="single" w:sz="4" w:space="0" w:color="auto"/>
              <w:right w:val="single" w:sz="4" w:space="0" w:color="auto"/>
            </w:tcBorders>
            <w:shd w:val="clear" w:color="auto" w:fill="auto"/>
            <w:vAlign w:val="center"/>
            <w:hideMark/>
          </w:tcPr>
          <w:p w14:paraId="50491C4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1FCEB5B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581D48B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767AEF7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akteve nënligjore në zbatim të pikës 4, të nenit 16 dhe të pikës 1, të nenit 21,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65418C6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kritereve, rregullave dhe procedurave për krijimin, vendosjen nën mbikëqyrje, pezullimin dhe mbylljen e instituteve dhe njësive të veçanta të kërkimit shkencor</w:t>
            </w:r>
          </w:p>
        </w:tc>
        <w:tc>
          <w:tcPr>
            <w:tcW w:w="385" w:type="pct"/>
            <w:tcBorders>
              <w:top w:val="nil"/>
              <w:left w:val="nil"/>
              <w:bottom w:val="single" w:sz="4" w:space="0" w:color="auto"/>
              <w:right w:val="single" w:sz="4" w:space="0" w:color="auto"/>
            </w:tcBorders>
            <w:shd w:val="clear" w:color="auto" w:fill="auto"/>
            <w:vAlign w:val="center"/>
            <w:hideMark/>
          </w:tcPr>
          <w:p w14:paraId="1EB46C7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0AB0EBC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40527BD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3765268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3E83802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6799A439"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3BFB5E6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55" w:type="pct"/>
            <w:tcBorders>
              <w:top w:val="nil"/>
              <w:left w:val="nil"/>
              <w:bottom w:val="single" w:sz="4" w:space="0" w:color="auto"/>
              <w:right w:val="single" w:sz="4" w:space="0" w:color="auto"/>
            </w:tcBorders>
            <w:shd w:val="clear" w:color="auto" w:fill="auto"/>
            <w:vAlign w:val="center"/>
            <w:hideMark/>
          </w:tcPr>
          <w:p w14:paraId="35624EC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kritereve dhe procedurave për përfitimin e kategorisë nga punonjësit kërkimorë-shkencorë”</w:t>
            </w:r>
          </w:p>
        </w:tc>
        <w:tc>
          <w:tcPr>
            <w:tcW w:w="394" w:type="pct"/>
            <w:tcBorders>
              <w:top w:val="nil"/>
              <w:left w:val="nil"/>
              <w:bottom w:val="single" w:sz="4" w:space="0" w:color="auto"/>
              <w:right w:val="single" w:sz="4" w:space="0" w:color="auto"/>
            </w:tcBorders>
            <w:shd w:val="clear" w:color="auto" w:fill="auto"/>
            <w:vAlign w:val="center"/>
            <w:hideMark/>
          </w:tcPr>
          <w:p w14:paraId="1774A6D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7132818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39A084B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5E113F5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pikës 2, të nenit 25,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56B8EAE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Përcaktimin e kritereve dhe procedurave për përfitimin e kategorisë nga punonjësit kërkimorë-shkencorë</w:t>
            </w:r>
          </w:p>
        </w:tc>
        <w:tc>
          <w:tcPr>
            <w:tcW w:w="385" w:type="pct"/>
            <w:tcBorders>
              <w:top w:val="nil"/>
              <w:left w:val="nil"/>
              <w:bottom w:val="single" w:sz="4" w:space="0" w:color="auto"/>
              <w:right w:val="single" w:sz="4" w:space="0" w:color="auto"/>
            </w:tcBorders>
            <w:shd w:val="clear" w:color="auto" w:fill="auto"/>
            <w:vAlign w:val="center"/>
            <w:hideMark/>
          </w:tcPr>
          <w:p w14:paraId="0F17FC5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2637F1A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4B3DF33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2A8B8F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3DCC746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0F8CEE7B"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0C3E09A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55" w:type="pct"/>
            <w:tcBorders>
              <w:top w:val="nil"/>
              <w:left w:val="nil"/>
              <w:bottom w:val="single" w:sz="4" w:space="0" w:color="auto"/>
              <w:right w:val="single" w:sz="4" w:space="0" w:color="auto"/>
            </w:tcBorders>
            <w:shd w:val="clear" w:color="auto" w:fill="auto"/>
            <w:vAlign w:val="center"/>
            <w:hideMark/>
          </w:tcPr>
          <w:p w14:paraId="4304470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fushave të rëndësisë së veçantë të kërkimit shkencor për  të cilat kërkohet leje e veprimtarisë kërkimore-shkencore, si dhe kriteret e procedurat për lëshimin e lejes”</w:t>
            </w:r>
          </w:p>
        </w:tc>
        <w:tc>
          <w:tcPr>
            <w:tcW w:w="394" w:type="pct"/>
            <w:tcBorders>
              <w:top w:val="nil"/>
              <w:left w:val="nil"/>
              <w:bottom w:val="single" w:sz="4" w:space="0" w:color="auto"/>
              <w:right w:val="single" w:sz="4" w:space="0" w:color="auto"/>
            </w:tcBorders>
            <w:shd w:val="clear" w:color="auto" w:fill="auto"/>
            <w:vAlign w:val="center"/>
            <w:hideMark/>
          </w:tcPr>
          <w:p w14:paraId="16265DD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58EBE49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6CAC5D2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2B7D754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pikës 3, të nenit 19,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0709314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fushave të rëndësisë së veçantë të kërkimit shkencor për të cilat kërkohet leje e veprimtarisë kërkimore-shkencore, si dhe kriteret e procedurat për lëshimin e lejes</w:t>
            </w:r>
          </w:p>
        </w:tc>
        <w:tc>
          <w:tcPr>
            <w:tcW w:w="385" w:type="pct"/>
            <w:tcBorders>
              <w:top w:val="nil"/>
              <w:left w:val="nil"/>
              <w:bottom w:val="single" w:sz="4" w:space="0" w:color="auto"/>
              <w:right w:val="single" w:sz="4" w:space="0" w:color="auto"/>
            </w:tcBorders>
            <w:shd w:val="clear" w:color="auto" w:fill="auto"/>
            <w:vAlign w:val="center"/>
            <w:hideMark/>
          </w:tcPr>
          <w:p w14:paraId="06B4871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56AFB22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2D528DD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5318146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5DD355B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434D6EBE"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2CA5AEB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55" w:type="pct"/>
            <w:tcBorders>
              <w:top w:val="nil"/>
              <w:left w:val="nil"/>
              <w:bottom w:val="single" w:sz="4" w:space="0" w:color="auto"/>
              <w:right w:val="single" w:sz="4" w:space="0" w:color="auto"/>
            </w:tcBorders>
            <w:shd w:val="clear" w:color="auto" w:fill="auto"/>
            <w:vAlign w:val="center"/>
            <w:hideMark/>
          </w:tcPr>
          <w:p w14:paraId="6B2C67A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krijimin, organizimin dhe funksionimin e Inspektoriatit Qendror të Arsimit Parauniversitar </w:t>
            </w:r>
          </w:p>
        </w:tc>
        <w:tc>
          <w:tcPr>
            <w:tcW w:w="394" w:type="pct"/>
            <w:tcBorders>
              <w:top w:val="nil"/>
              <w:left w:val="nil"/>
              <w:bottom w:val="single" w:sz="4" w:space="0" w:color="auto"/>
              <w:right w:val="single" w:sz="4" w:space="0" w:color="auto"/>
            </w:tcBorders>
            <w:shd w:val="clear" w:color="auto" w:fill="auto"/>
            <w:vAlign w:val="center"/>
            <w:hideMark/>
          </w:tcPr>
          <w:p w14:paraId="2190CB2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auto" w:fill="auto"/>
            <w:vAlign w:val="center"/>
            <w:hideMark/>
          </w:tcPr>
          <w:p w14:paraId="4ACE899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708100F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200F6D9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ka si qëllim krijimin, organizimin dhe funksionimin e Inspektoratit Qendror të Arsimit Parauniversitar (IQAP) sipas përcaktimeve të pikës 1, të nenit 26, të ligjit nr. 99/2024, datë 12.9.2024, “Për inspektimin në Republikën e Shqipërisë” dhe pikës 3, të nenit 25, të ligjit nr. 69/2012 “Për sistemin arsimor parauniversitar në Republikën e Shqipërisë” i ndryshuar. </w:t>
            </w:r>
          </w:p>
        </w:tc>
        <w:tc>
          <w:tcPr>
            <w:tcW w:w="555" w:type="pct"/>
            <w:tcBorders>
              <w:top w:val="nil"/>
              <w:left w:val="nil"/>
              <w:bottom w:val="single" w:sz="4" w:space="0" w:color="auto"/>
              <w:right w:val="single" w:sz="4" w:space="0" w:color="auto"/>
            </w:tcBorders>
            <w:shd w:val="clear" w:color="auto" w:fill="auto"/>
            <w:vAlign w:val="center"/>
            <w:hideMark/>
          </w:tcPr>
          <w:p w14:paraId="0AEBC33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Qëllimi i këtij projektvendimi lidhet me një nga qëllimet prioritare të ligjit për inspektimin mbi uljen e barrës administrative ndaj biznesit, nëpërmjet riorganizimit të inspektorateve dhe institucioneve me funksione inspektimi në fushë zbatimin e ligjit për inspektimin, sipas fushave të lidhura me risqet e ngjashme. Problematikat e vazhdueshme mbi përplasjet dhe mbivendosjet e kompetencave institucionale për shkak të ushtrimit të funksioneve të njëjta apo të ngjashme inspektuese sjell si nevojë të domosdoshme riorganizimin e tyre, duke bashkuar në struktura të vetme inspektuese institucionet/strukturat që kanë funksione të ngjashme inspektimi. </w:t>
            </w:r>
          </w:p>
        </w:tc>
        <w:tc>
          <w:tcPr>
            <w:tcW w:w="385" w:type="pct"/>
            <w:tcBorders>
              <w:top w:val="nil"/>
              <w:left w:val="nil"/>
              <w:bottom w:val="single" w:sz="4" w:space="0" w:color="auto"/>
              <w:right w:val="single" w:sz="4" w:space="0" w:color="auto"/>
            </w:tcBorders>
            <w:shd w:val="clear" w:color="auto" w:fill="auto"/>
            <w:vAlign w:val="center"/>
            <w:hideMark/>
          </w:tcPr>
          <w:p w14:paraId="11AD303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3C202F0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 xml:space="preserve">   Riorganizojmë të gjithë sistemin e inspektorateve për ta bërë më transparent, më efikas dhe më miqësor për biznesin, duke shmangur abuzimet dhe kontrollin e panevojshëm                   Reformojmë sistemin e Inspektimit dhe Kontrollit edhe në kuadër të ligjit të ri të inspektimit, duke e përafruar inspektimin me standardet dhe protokollet e BE-së. </w:t>
            </w:r>
          </w:p>
        </w:tc>
        <w:tc>
          <w:tcPr>
            <w:tcW w:w="336" w:type="pct"/>
            <w:tcBorders>
              <w:top w:val="nil"/>
              <w:left w:val="nil"/>
              <w:bottom w:val="single" w:sz="4" w:space="0" w:color="auto"/>
              <w:right w:val="single" w:sz="4" w:space="0" w:color="auto"/>
            </w:tcBorders>
            <w:shd w:val="clear" w:color="auto" w:fill="auto"/>
            <w:vAlign w:val="center"/>
            <w:hideMark/>
          </w:tcPr>
          <w:p w14:paraId="39BA344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377576B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3058374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financiare e sociale pozitive.</w:t>
            </w:r>
          </w:p>
        </w:tc>
      </w:tr>
      <w:tr w:rsidR="00B06A7D" w:rsidRPr="00B6793F" w14:paraId="3926B240"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0C9E419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455" w:type="pct"/>
            <w:tcBorders>
              <w:top w:val="nil"/>
              <w:left w:val="nil"/>
              <w:bottom w:val="single" w:sz="4" w:space="0" w:color="auto"/>
              <w:right w:val="single" w:sz="4" w:space="0" w:color="auto"/>
            </w:tcBorders>
            <w:shd w:val="clear" w:color="auto" w:fill="auto"/>
            <w:vAlign w:val="center"/>
            <w:hideMark/>
          </w:tcPr>
          <w:p w14:paraId="2E47448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krijimin e bazës së të dhënave shtetërore Sistemi Shqiptar i Informacionit të Kërkimit Shkencor (ACRIS)</w:t>
            </w:r>
          </w:p>
        </w:tc>
        <w:tc>
          <w:tcPr>
            <w:tcW w:w="394" w:type="pct"/>
            <w:tcBorders>
              <w:top w:val="nil"/>
              <w:left w:val="nil"/>
              <w:bottom w:val="single" w:sz="4" w:space="0" w:color="auto"/>
              <w:right w:val="single" w:sz="4" w:space="0" w:color="auto"/>
            </w:tcBorders>
            <w:shd w:val="clear" w:color="auto" w:fill="auto"/>
            <w:vAlign w:val="center"/>
            <w:hideMark/>
          </w:tcPr>
          <w:p w14:paraId="7F1BCBF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auto" w:fill="auto"/>
            <w:vAlign w:val="center"/>
            <w:hideMark/>
          </w:tcPr>
          <w:p w14:paraId="686DEC3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5C0D1B6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7DE13B8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Bazuar ne Ligjin Nr. 10 325, datë 23.9.2010 “Për bazat e të dhënave shtetërore” bazat e të dhënave shtetërore krijohen me vendim të të Këshillit të Ministrave. </w:t>
            </w:r>
            <w:r w:rsidRPr="00B6793F">
              <w:rPr>
                <w:rFonts w:ascii="Arial" w:eastAsia="Times New Roman" w:hAnsi="Arial" w:cs="Arial"/>
                <w:color w:val="000000"/>
                <w:sz w:val="8"/>
                <w:szCs w:val="8"/>
                <w:lang w:eastAsia="sq-AL"/>
              </w:rPr>
              <w:br/>
              <w:t xml:space="preserve">Projektakti propozohet në kuadër të ngritjes dhe funksionimit të bazës së të dhënave shtetërore Sistemi Shqiptar i Informacionit të Kërkimit Shkencor (ACRIS) </w:t>
            </w:r>
          </w:p>
        </w:tc>
        <w:tc>
          <w:tcPr>
            <w:tcW w:w="555" w:type="pct"/>
            <w:tcBorders>
              <w:top w:val="nil"/>
              <w:left w:val="nil"/>
              <w:bottom w:val="single" w:sz="4" w:space="0" w:color="auto"/>
              <w:right w:val="single" w:sz="4" w:space="0" w:color="auto"/>
            </w:tcBorders>
            <w:shd w:val="clear" w:color="auto" w:fill="auto"/>
            <w:vAlign w:val="center"/>
            <w:hideMark/>
          </w:tcPr>
          <w:p w14:paraId="44B650B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Qëllimi i këtij projektakti është të krijojë bazën e të dhënave shtetërore Sistemi Shqiptar i Informacionit të Kërkimit Shkencor (ACRIS) </w:t>
            </w:r>
          </w:p>
        </w:tc>
        <w:tc>
          <w:tcPr>
            <w:tcW w:w="385" w:type="pct"/>
            <w:tcBorders>
              <w:top w:val="nil"/>
              <w:left w:val="nil"/>
              <w:bottom w:val="single" w:sz="4" w:space="0" w:color="auto"/>
              <w:right w:val="single" w:sz="4" w:space="0" w:color="auto"/>
            </w:tcBorders>
            <w:shd w:val="clear" w:color="auto" w:fill="auto"/>
            <w:vAlign w:val="center"/>
            <w:hideMark/>
          </w:tcPr>
          <w:p w14:paraId="21442546" w14:textId="77777777" w:rsidR="00B06A7D" w:rsidRPr="00B6793F" w:rsidRDefault="00B06A7D" w:rsidP="00B06A7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4E56B44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Zgjerojmë shërbimet arsimore online, digjitalizojmë testimet dhe sigurojmë njohjen automatike të</w:t>
            </w:r>
            <w:r w:rsidRPr="00B6793F">
              <w:rPr>
                <w:rFonts w:ascii="Arial" w:eastAsia="Times New Roman" w:hAnsi="Arial" w:cs="Arial"/>
                <w:color w:val="000000"/>
                <w:sz w:val="8"/>
                <w:szCs w:val="8"/>
                <w:lang w:eastAsia="sq-AL"/>
              </w:rPr>
              <w:br/>
              <w:t>diplomave, përmes ngritjes së një agjencie të specializuar dhe të certifikuar sipas standardeve</w:t>
            </w:r>
            <w:r w:rsidRPr="00B6793F">
              <w:rPr>
                <w:rFonts w:ascii="Arial" w:eastAsia="Times New Roman" w:hAnsi="Arial" w:cs="Arial"/>
                <w:color w:val="000000"/>
                <w:sz w:val="8"/>
                <w:szCs w:val="8"/>
                <w:lang w:eastAsia="sq-AL"/>
              </w:rPr>
              <w:br/>
              <w:t>ndërkombëtare</w:t>
            </w:r>
          </w:p>
        </w:tc>
        <w:tc>
          <w:tcPr>
            <w:tcW w:w="336" w:type="pct"/>
            <w:tcBorders>
              <w:top w:val="nil"/>
              <w:left w:val="nil"/>
              <w:bottom w:val="single" w:sz="4" w:space="0" w:color="auto"/>
              <w:right w:val="single" w:sz="4" w:space="0" w:color="auto"/>
            </w:tcBorders>
            <w:shd w:val="clear" w:color="auto" w:fill="auto"/>
            <w:vAlign w:val="center"/>
            <w:hideMark/>
          </w:tcPr>
          <w:p w14:paraId="6F4E534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ADD4B3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069C66F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financiare brenda tavaneve buxhetore. </w:t>
            </w:r>
            <w:r w:rsidRPr="00B6793F">
              <w:rPr>
                <w:rFonts w:ascii="Arial" w:eastAsia="Times New Roman" w:hAnsi="Arial" w:cs="Arial"/>
                <w:color w:val="000000"/>
                <w:sz w:val="8"/>
                <w:szCs w:val="8"/>
                <w:lang w:eastAsia="sq-AL"/>
              </w:rPr>
              <w:br/>
              <w:t>Ka efekte sociale pozitive.</w:t>
            </w:r>
          </w:p>
        </w:tc>
      </w:tr>
      <w:tr w:rsidR="00B06A7D" w:rsidRPr="00B6793F" w14:paraId="4064D223"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1C9114A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55" w:type="pct"/>
            <w:tcBorders>
              <w:top w:val="nil"/>
              <w:left w:val="nil"/>
              <w:bottom w:val="single" w:sz="4" w:space="0" w:color="auto"/>
              <w:right w:val="single" w:sz="4" w:space="0" w:color="auto"/>
            </w:tcBorders>
            <w:shd w:val="clear" w:color="auto" w:fill="auto"/>
            <w:vAlign w:val="center"/>
            <w:hideMark/>
          </w:tcPr>
          <w:p w14:paraId="04D1DE2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krijimin e bazës së të dhënave shtetërore të Sistemit të Menaxhimit të Informacionit të Arsimit të Lartë (SMIAL)"</w:t>
            </w:r>
          </w:p>
        </w:tc>
        <w:tc>
          <w:tcPr>
            <w:tcW w:w="394" w:type="pct"/>
            <w:tcBorders>
              <w:top w:val="nil"/>
              <w:left w:val="nil"/>
              <w:bottom w:val="single" w:sz="4" w:space="0" w:color="auto"/>
              <w:right w:val="single" w:sz="4" w:space="0" w:color="auto"/>
            </w:tcBorders>
            <w:shd w:val="clear" w:color="auto" w:fill="auto"/>
            <w:vAlign w:val="center"/>
            <w:hideMark/>
          </w:tcPr>
          <w:p w14:paraId="02443A5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auto" w:fill="auto"/>
            <w:vAlign w:val="center"/>
            <w:hideMark/>
          </w:tcPr>
          <w:p w14:paraId="0E7EC99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310953B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single" w:sz="4" w:space="0" w:color="auto"/>
              <w:right w:val="single" w:sz="4" w:space="0" w:color="auto"/>
            </w:tcBorders>
            <w:shd w:val="clear" w:color="auto" w:fill="auto"/>
            <w:vAlign w:val="center"/>
            <w:hideMark/>
          </w:tcPr>
          <w:p w14:paraId="4DDE8A5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Bazuar ne Ligjin Nr. 10 325, datë 23.9.2010 “Për bazat e të dhënave shtetërore” bazat e të dhënave shtetërore krijohen me vendim të të Këshillit të Ministrave. </w:t>
            </w:r>
            <w:r w:rsidRPr="00B6793F">
              <w:rPr>
                <w:rFonts w:ascii="Arial" w:eastAsia="Times New Roman" w:hAnsi="Arial" w:cs="Arial"/>
                <w:color w:val="000000"/>
                <w:sz w:val="8"/>
                <w:szCs w:val="8"/>
                <w:lang w:eastAsia="sq-AL"/>
              </w:rPr>
              <w:br/>
              <w:t>Projektakti propozohet në kuadër të ngritjes dhe funksionimit të bazës së të dhënave shtetërore Sistemi i Menaxhimit të Informacionit të Arsimit të Lartë (SMIAL)</w:t>
            </w:r>
          </w:p>
        </w:tc>
        <w:tc>
          <w:tcPr>
            <w:tcW w:w="555" w:type="pct"/>
            <w:tcBorders>
              <w:top w:val="nil"/>
              <w:left w:val="nil"/>
              <w:bottom w:val="single" w:sz="4" w:space="0" w:color="auto"/>
              <w:right w:val="single" w:sz="4" w:space="0" w:color="auto"/>
            </w:tcBorders>
            <w:shd w:val="clear" w:color="auto" w:fill="auto"/>
            <w:vAlign w:val="center"/>
            <w:hideMark/>
          </w:tcPr>
          <w:p w14:paraId="6D6E488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Qëllimi i këtij projektakti është të krijojë bazën e të dhënave shtetërore në fushën e arsimit të lartë, Sistemi i Menaxhimit të Informacionit të Arsimit të Lartë (SMIAL) </w:t>
            </w:r>
          </w:p>
        </w:tc>
        <w:tc>
          <w:tcPr>
            <w:tcW w:w="385" w:type="pct"/>
            <w:tcBorders>
              <w:top w:val="nil"/>
              <w:left w:val="nil"/>
              <w:bottom w:val="single" w:sz="4" w:space="0" w:color="auto"/>
              <w:right w:val="single" w:sz="4" w:space="0" w:color="auto"/>
            </w:tcBorders>
            <w:shd w:val="clear" w:color="auto" w:fill="auto"/>
            <w:vAlign w:val="center"/>
            <w:hideMark/>
          </w:tcPr>
          <w:p w14:paraId="3AE06457" w14:textId="77777777" w:rsidR="00B06A7D" w:rsidRPr="00B6793F" w:rsidRDefault="00B06A7D" w:rsidP="00B06A7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kapitulli 26</w:t>
            </w:r>
          </w:p>
        </w:tc>
        <w:tc>
          <w:tcPr>
            <w:tcW w:w="450" w:type="pct"/>
            <w:tcBorders>
              <w:top w:val="nil"/>
              <w:left w:val="nil"/>
              <w:bottom w:val="single" w:sz="4" w:space="0" w:color="auto"/>
              <w:right w:val="single" w:sz="4" w:space="0" w:color="auto"/>
            </w:tcBorders>
            <w:shd w:val="clear" w:color="auto" w:fill="auto"/>
            <w:vAlign w:val="center"/>
            <w:hideMark/>
          </w:tcPr>
          <w:p w14:paraId="4D76319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Zgjerojmë shërbimet arsimore online, digjitalizojmë testimet dhe sigurojmë njohjen automatike të</w:t>
            </w:r>
            <w:r w:rsidRPr="00B6793F">
              <w:rPr>
                <w:rFonts w:ascii="Arial" w:eastAsia="Times New Roman" w:hAnsi="Arial" w:cs="Arial"/>
                <w:color w:val="000000"/>
                <w:sz w:val="8"/>
                <w:szCs w:val="8"/>
                <w:lang w:eastAsia="sq-AL"/>
              </w:rPr>
              <w:br/>
              <w:t>diplomave, përmes ngritjes së një agjencie të specializuar dhe të certifikuar sipas standardeve</w:t>
            </w:r>
            <w:r w:rsidRPr="00B6793F">
              <w:rPr>
                <w:rFonts w:ascii="Arial" w:eastAsia="Times New Roman" w:hAnsi="Arial" w:cs="Arial"/>
                <w:color w:val="000000"/>
                <w:sz w:val="8"/>
                <w:szCs w:val="8"/>
                <w:lang w:eastAsia="sq-AL"/>
              </w:rPr>
              <w:br/>
              <w:t>ndërkombëtare</w:t>
            </w:r>
          </w:p>
        </w:tc>
        <w:tc>
          <w:tcPr>
            <w:tcW w:w="336" w:type="pct"/>
            <w:tcBorders>
              <w:top w:val="nil"/>
              <w:left w:val="nil"/>
              <w:bottom w:val="single" w:sz="4" w:space="0" w:color="auto"/>
              <w:right w:val="single" w:sz="4" w:space="0" w:color="auto"/>
            </w:tcBorders>
            <w:shd w:val="clear" w:color="auto" w:fill="auto"/>
            <w:vAlign w:val="center"/>
            <w:hideMark/>
          </w:tcPr>
          <w:p w14:paraId="4A59AC2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6D2EFBE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000000" w:fill="FFFFFF"/>
            <w:vAlign w:val="center"/>
            <w:hideMark/>
          </w:tcPr>
          <w:p w14:paraId="3E82F10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30A6136C"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76DE5E9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455" w:type="pct"/>
            <w:tcBorders>
              <w:top w:val="nil"/>
              <w:left w:val="nil"/>
              <w:bottom w:val="nil"/>
              <w:right w:val="single" w:sz="4" w:space="0" w:color="auto"/>
            </w:tcBorders>
            <w:shd w:val="clear" w:color="auto" w:fill="auto"/>
            <w:vAlign w:val="center"/>
            <w:hideMark/>
          </w:tcPr>
          <w:p w14:paraId="4BDF5A1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krijimin e bazës së të dhënave shtetërore të Sistemit të Provimit të Shtetit dhe provimeve të tjera të digjitalizuara” </w:t>
            </w:r>
          </w:p>
        </w:tc>
        <w:tc>
          <w:tcPr>
            <w:tcW w:w="394" w:type="pct"/>
            <w:tcBorders>
              <w:top w:val="nil"/>
              <w:left w:val="nil"/>
              <w:bottom w:val="single" w:sz="4" w:space="0" w:color="auto"/>
              <w:right w:val="single" w:sz="4" w:space="0" w:color="auto"/>
            </w:tcBorders>
            <w:shd w:val="clear" w:color="auto" w:fill="auto"/>
            <w:vAlign w:val="center"/>
            <w:hideMark/>
          </w:tcPr>
          <w:p w14:paraId="5290D83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auto" w:fill="auto"/>
            <w:vAlign w:val="center"/>
            <w:hideMark/>
          </w:tcPr>
          <w:p w14:paraId="19C45D8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1D43B9F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nil"/>
              <w:left w:val="nil"/>
              <w:bottom w:val="nil"/>
              <w:right w:val="single" w:sz="4" w:space="0" w:color="auto"/>
            </w:tcBorders>
            <w:shd w:val="clear" w:color="auto" w:fill="auto"/>
            <w:vAlign w:val="center"/>
            <w:hideMark/>
          </w:tcPr>
          <w:p w14:paraId="4A41F0A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Bazuar ne Ligjin Nr. 10 325, datë 23.9.2010 “Për bazat e të dhënave shtetërore” ky projektvendim ka për qëllim përmirësimin dhe plotësimin e kuadrit ligjor lidhur me krijimin e bazës së të dhënave shtetërore të Sistemit të Provimit të Shtetit, i cili do të plotësohet edhe me të dhëna të tjera shtesë lidhur me organizimin dhe zhvillimin e procesit për dhënien e provimeve të tjera të digjitalizuara, që do të jenë pjesë e këtij sistemi. </w:t>
            </w:r>
          </w:p>
        </w:tc>
        <w:tc>
          <w:tcPr>
            <w:tcW w:w="555" w:type="pct"/>
            <w:tcBorders>
              <w:top w:val="nil"/>
              <w:left w:val="nil"/>
              <w:bottom w:val="nil"/>
              <w:right w:val="single" w:sz="4" w:space="0" w:color="auto"/>
            </w:tcBorders>
            <w:shd w:val="clear" w:color="auto" w:fill="auto"/>
            <w:vAlign w:val="center"/>
            <w:hideMark/>
          </w:tcPr>
          <w:p w14:paraId="5EB9174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Sistemi do të bëjë të mundur përditësimin e të dhënave që merren nga Qendra e Shërbimeve Arsimore, Agjencia e Sigurimit të Cilësisë së Arsimit Parauniversitar, Agjencia Kombëtare e Arsimit Parauniversitar, Drejtoritë Rajonale të Arsimit Parauniversitar, Zyrat Vendore të Arsimit Parauniversitar, Urdhrat profesionalë, kandidatët, ministritë përgjegjëse, si dhe institucionet publike dhe jopublike që kërkojnë të zhvillojnë provime të tjera të digjitalizuara pranë Qendrës së Shërbimeve Arsimore duke siguruar menaxhimin efektiv të sistemit, të bazuar në mekanizma funksionale për sigurimin e cilësisë, transparencës dhe llogaridhënies.</w:t>
            </w:r>
          </w:p>
        </w:tc>
        <w:tc>
          <w:tcPr>
            <w:tcW w:w="385" w:type="pct"/>
            <w:tcBorders>
              <w:top w:val="nil"/>
              <w:left w:val="nil"/>
              <w:bottom w:val="nil"/>
              <w:right w:val="single" w:sz="4" w:space="0" w:color="auto"/>
            </w:tcBorders>
            <w:shd w:val="clear" w:color="auto" w:fill="auto"/>
            <w:vAlign w:val="center"/>
            <w:hideMark/>
          </w:tcPr>
          <w:p w14:paraId="7DBF8B08" w14:textId="77777777" w:rsidR="00B06A7D" w:rsidRPr="00B6793F" w:rsidRDefault="00B06A7D" w:rsidP="00B06A7D">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3845BC9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Zgjerojmë shërbimet arsimore online, digjitalizojmë testimet dhe sigurojmë njohjen automatike të</w:t>
            </w:r>
            <w:r w:rsidRPr="00B6793F">
              <w:rPr>
                <w:rFonts w:ascii="Arial" w:eastAsia="Times New Roman" w:hAnsi="Arial" w:cs="Arial"/>
                <w:color w:val="000000"/>
                <w:sz w:val="8"/>
                <w:szCs w:val="8"/>
                <w:lang w:eastAsia="sq-AL"/>
              </w:rPr>
              <w:br/>
              <w:t>diplomave, përmes ngritjes së një agjencie të specializuar dhe të certifikuar sipas standardeve</w:t>
            </w:r>
            <w:r w:rsidRPr="00B6793F">
              <w:rPr>
                <w:rFonts w:ascii="Arial" w:eastAsia="Times New Roman" w:hAnsi="Arial" w:cs="Arial"/>
                <w:color w:val="000000"/>
                <w:sz w:val="8"/>
                <w:szCs w:val="8"/>
                <w:lang w:eastAsia="sq-AL"/>
              </w:rPr>
              <w:br/>
              <w:t>ndërkombëtare</w:t>
            </w:r>
          </w:p>
        </w:tc>
        <w:tc>
          <w:tcPr>
            <w:tcW w:w="336" w:type="pct"/>
            <w:tcBorders>
              <w:top w:val="nil"/>
              <w:left w:val="nil"/>
              <w:bottom w:val="single" w:sz="4" w:space="0" w:color="auto"/>
              <w:right w:val="single" w:sz="4" w:space="0" w:color="auto"/>
            </w:tcBorders>
            <w:shd w:val="clear" w:color="auto" w:fill="auto"/>
            <w:vAlign w:val="center"/>
            <w:hideMark/>
          </w:tcPr>
          <w:p w14:paraId="66611BD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3674D96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000000" w:fill="FFFFFF"/>
            <w:vAlign w:val="center"/>
            <w:hideMark/>
          </w:tcPr>
          <w:p w14:paraId="3BC5DC6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1C5D5719"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6E43D73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3BA38583" w14:textId="77777777" w:rsidR="00B06A7D" w:rsidRPr="00B6793F" w:rsidRDefault="00B06A7D" w:rsidP="00B06A7D">
            <w:pPr>
              <w:spacing w:after="0" w:line="240" w:lineRule="auto"/>
              <w:jc w:val="center"/>
              <w:rPr>
                <w:rFonts w:ascii="Arial" w:eastAsia="Times New Roman" w:hAnsi="Arial" w:cs="Arial"/>
                <w:color w:val="202124"/>
                <w:sz w:val="8"/>
                <w:szCs w:val="8"/>
                <w:lang w:eastAsia="sq-AL"/>
              </w:rPr>
            </w:pPr>
            <w:r w:rsidRPr="00B6793F">
              <w:rPr>
                <w:rFonts w:ascii="Arial" w:eastAsia="Times New Roman" w:hAnsi="Arial" w:cs="Arial"/>
                <w:color w:val="202124"/>
                <w:sz w:val="8"/>
                <w:szCs w:val="8"/>
                <w:lang w:eastAsia="sq-AL"/>
              </w:rPr>
              <w:t xml:space="preserve">Ndryshimi i vendimit nr. 606, datë 14.9.2022 "Për miratimin e programit kombëtar për aktivitetet jashtë orarit mësimor dhe për një shtesë fondi në buxhetin e vitit 2022, miratuar për Ministrinë e Arsimit dhe Sportit", i ndryshuar </w:t>
            </w:r>
          </w:p>
        </w:tc>
        <w:tc>
          <w:tcPr>
            <w:tcW w:w="394" w:type="pct"/>
            <w:tcBorders>
              <w:top w:val="nil"/>
              <w:left w:val="nil"/>
              <w:bottom w:val="single" w:sz="4" w:space="0" w:color="auto"/>
              <w:right w:val="single" w:sz="4" w:space="0" w:color="auto"/>
            </w:tcBorders>
            <w:shd w:val="clear" w:color="auto" w:fill="auto"/>
            <w:vAlign w:val="center"/>
            <w:hideMark/>
          </w:tcPr>
          <w:p w14:paraId="0B45BF3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0DC6806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1338787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7873060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propozohet në zbatim të shkronjës “b” të pikës 3 të nenit 54 të ligjit nr. 69/2012 “Për arsimin parauniversitar në Republikën e Shqipërisë”, i ndryshuar në kuadër të  vlerësimit që Ministria e Arsimit po i bën efektivitetit dhe vlefshmërisë së kësaj VKM-je në zbatimin e deritanishëm dhe përshtatja e saj me nevojat dhe zhvillimet e reformave kurrikulare në shkolla.</w:t>
            </w:r>
            <w:r w:rsidRPr="00B6793F">
              <w:rPr>
                <w:rFonts w:ascii="Arial" w:eastAsia="Times New Roman" w:hAnsi="Arial" w:cs="Arial"/>
                <w:color w:val="000000"/>
                <w:sz w:val="8"/>
                <w:szCs w:val="8"/>
                <w:lang w:eastAsia="sq-AL"/>
              </w:rPr>
              <w:br/>
              <w:t xml:space="preserve">Hartimi i PVKM është në zbatim të Planit Kombëtar të Veprimit për Fuqizimin e Mekanizmave të Parandalimit të çdo forme dhune e bullizmi për sigurinë në institucionet arsimore parauniversitare. Në këtë plan veprimi është parashikuar që në periudhën 2025-2027 të pilotohen dy programet "After school" dhe "Shkollat verore". Në muajit qershor-korrik 2025 programi "Shkollat verore" u pilotua me ndihmën e donatorëve, por këto pragrame do të vazhdojnë pilotimin dhe për këtë duhet hartimi i një VKM-je për realizim me efektiv, si dhe parashikimi i efketeve financiare </w:t>
            </w:r>
          </w:p>
        </w:tc>
        <w:tc>
          <w:tcPr>
            <w:tcW w:w="555" w:type="pct"/>
            <w:tcBorders>
              <w:top w:val="single" w:sz="4" w:space="0" w:color="auto"/>
              <w:left w:val="nil"/>
              <w:bottom w:val="single" w:sz="4" w:space="0" w:color="auto"/>
              <w:right w:val="single" w:sz="4" w:space="0" w:color="auto"/>
            </w:tcBorders>
            <w:shd w:val="clear" w:color="auto" w:fill="auto"/>
            <w:vAlign w:val="center"/>
            <w:hideMark/>
          </w:tcPr>
          <w:p w14:paraId="6FBC658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Parashikohet të rishikohet kurrikula e deritanishme e programit JOM;                          </w:t>
            </w:r>
            <w:r w:rsidRPr="00B6793F">
              <w:rPr>
                <w:rFonts w:ascii="Arial" w:eastAsia="Times New Roman" w:hAnsi="Arial" w:cs="Arial"/>
                <w:color w:val="000000"/>
                <w:sz w:val="8"/>
                <w:szCs w:val="8"/>
                <w:lang w:eastAsia="sq-AL"/>
              </w:rPr>
              <w:br/>
              <w:t>2. Ndryshime të mënyrës së organizimit dhe funksionimit të këtyre aktiviteteve.</w:t>
            </w:r>
            <w:r w:rsidRPr="00B6793F">
              <w:rPr>
                <w:rFonts w:ascii="Arial" w:eastAsia="Times New Roman" w:hAnsi="Arial" w:cs="Arial"/>
                <w:color w:val="000000"/>
                <w:sz w:val="8"/>
                <w:szCs w:val="8"/>
                <w:lang w:eastAsia="sq-AL"/>
              </w:rPr>
              <w:br/>
              <w:t>3. Do të parashikohen roli dhe qëllimi i programeve "After school" dhe "Shkollat verore", strukturat që do të angazhohen dhe përgjegjësisa e secilës strukturë.                                                                  4.Do të parashikohen efeket financiare për periudhën e pilotimit, mënyra dhe vlera e pagesës për punonjësit që do të angazhohen dhe për shërbime të tjera të nevojshme në funksion të programeve që do të pilotohen.</w:t>
            </w:r>
          </w:p>
        </w:tc>
        <w:tc>
          <w:tcPr>
            <w:tcW w:w="385" w:type="pct"/>
            <w:tcBorders>
              <w:top w:val="single" w:sz="4" w:space="0" w:color="auto"/>
              <w:left w:val="nil"/>
              <w:bottom w:val="single" w:sz="4" w:space="0" w:color="auto"/>
              <w:right w:val="single" w:sz="4" w:space="0" w:color="auto"/>
            </w:tcBorders>
            <w:shd w:val="clear" w:color="auto" w:fill="auto"/>
            <w:vAlign w:val="center"/>
            <w:hideMark/>
          </w:tcPr>
          <w:p w14:paraId="2990FF6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3AA223C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Zbatojmë programin e ushqimit në çdo bashki qendër qarku dhe nisim një program të ri passhkollor (after school)</w:t>
            </w:r>
          </w:p>
        </w:tc>
        <w:tc>
          <w:tcPr>
            <w:tcW w:w="336" w:type="pct"/>
            <w:tcBorders>
              <w:top w:val="nil"/>
              <w:left w:val="nil"/>
              <w:bottom w:val="single" w:sz="4" w:space="0" w:color="auto"/>
              <w:right w:val="single" w:sz="4" w:space="0" w:color="auto"/>
            </w:tcBorders>
            <w:shd w:val="clear" w:color="auto" w:fill="auto"/>
            <w:vAlign w:val="center"/>
            <w:hideMark/>
          </w:tcPr>
          <w:p w14:paraId="79424BB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7F5FE34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1C9F0A5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financiare, ka efekte sociale pozitive tek fëmijët e arsimit bazë.</w:t>
            </w:r>
          </w:p>
        </w:tc>
      </w:tr>
      <w:tr w:rsidR="00B06A7D" w:rsidRPr="00B6793F" w14:paraId="761CA805"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43E30E3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455" w:type="pct"/>
            <w:tcBorders>
              <w:top w:val="nil"/>
              <w:left w:val="nil"/>
              <w:bottom w:val="single" w:sz="4" w:space="0" w:color="auto"/>
              <w:right w:val="single" w:sz="4" w:space="0" w:color="auto"/>
            </w:tcBorders>
            <w:shd w:val="clear" w:color="auto" w:fill="auto"/>
            <w:vAlign w:val="center"/>
            <w:hideMark/>
          </w:tcPr>
          <w:p w14:paraId="78A5D77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w:t>
            </w:r>
            <w:r w:rsidRPr="00B6793F">
              <w:rPr>
                <w:rFonts w:ascii="Arial" w:eastAsia="Times New Roman" w:hAnsi="Arial" w:cs="Arial"/>
                <w:color w:val="000000"/>
                <w:sz w:val="8"/>
                <w:szCs w:val="8"/>
                <w:lang w:eastAsia="sq-AL"/>
              </w:rPr>
              <w:br/>
              <w:t>një shtesë në vendimin nr.649, datë 14.9.2011, të Këshillit të Ministrave, “për përcaktimin e listës së specialiteteve, nënspecialiteteve apo specialiteteve plotësuese për profesionet e rregulluara”, të ndryshuar</w:t>
            </w:r>
          </w:p>
        </w:tc>
        <w:tc>
          <w:tcPr>
            <w:tcW w:w="394" w:type="pct"/>
            <w:tcBorders>
              <w:top w:val="nil"/>
              <w:left w:val="nil"/>
              <w:bottom w:val="single" w:sz="4" w:space="0" w:color="auto"/>
              <w:right w:val="single" w:sz="4" w:space="0" w:color="auto"/>
            </w:tcBorders>
            <w:shd w:val="clear" w:color="auto" w:fill="auto"/>
            <w:vAlign w:val="center"/>
            <w:hideMark/>
          </w:tcPr>
          <w:p w14:paraId="0D477E2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auto" w:fill="auto"/>
            <w:vAlign w:val="center"/>
            <w:hideMark/>
          </w:tcPr>
          <w:p w14:paraId="0AC0095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 dhe</w:t>
            </w:r>
            <w:r w:rsidRPr="00B6793F">
              <w:rPr>
                <w:rFonts w:ascii="Arial" w:eastAsia="Times New Roman" w:hAnsi="Arial" w:cs="Arial"/>
                <w:color w:val="000000"/>
                <w:sz w:val="8"/>
                <w:szCs w:val="8"/>
                <w:lang w:eastAsia="sq-AL"/>
              </w:rPr>
              <w:br/>
              <w:t xml:space="preserve">Ministri i Shëndetësisë dhe Mirëqenies Sociale  </w:t>
            </w:r>
          </w:p>
        </w:tc>
        <w:tc>
          <w:tcPr>
            <w:tcW w:w="362" w:type="pct"/>
            <w:tcBorders>
              <w:top w:val="nil"/>
              <w:left w:val="nil"/>
              <w:bottom w:val="single" w:sz="4" w:space="0" w:color="auto"/>
              <w:right w:val="single" w:sz="4" w:space="0" w:color="auto"/>
            </w:tcBorders>
            <w:shd w:val="clear" w:color="auto" w:fill="auto"/>
            <w:vAlign w:val="center"/>
            <w:hideMark/>
          </w:tcPr>
          <w:p w14:paraId="04343B8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62DBB45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propozohet në zbatim të nenit 13, të ligjit nr.10171, datë 22.10.2009, “Për profesionet e rregulluara në Republikën e Shqipërisë”, të ndryshuar</w:t>
            </w:r>
          </w:p>
        </w:tc>
        <w:tc>
          <w:tcPr>
            <w:tcW w:w="555" w:type="pct"/>
            <w:tcBorders>
              <w:top w:val="nil"/>
              <w:left w:val="nil"/>
              <w:bottom w:val="single" w:sz="4" w:space="0" w:color="auto"/>
              <w:right w:val="single" w:sz="4" w:space="0" w:color="auto"/>
            </w:tcBorders>
            <w:shd w:val="clear" w:color="auto" w:fill="auto"/>
            <w:vAlign w:val="center"/>
            <w:hideMark/>
          </w:tcPr>
          <w:p w14:paraId="21A1ED0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shtojcës 1 të vendimit nr.649, datë 14.9.2011, të Këshillit të Ministrave, të ndryshuar, “Lista e specialiteteve, nënspecialiteteve apo specialiteteve plotësuese për profesionet e rregulluara”, në kuadër të përfshirjes në ndarjen V, për profesionin e fizioterapistit Diplomave në "Shkenca Rehabilitimi" ose ekuivalente me këto diploma.</w:t>
            </w:r>
          </w:p>
        </w:tc>
        <w:tc>
          <w:tcPr>
            <w:tcW w:w="385" w:type="pct"/>
            <w:tcBorders>
              <w:top w:val="nil"/>
              <w:left w:val="nil"/>
              <w:bottom w:val="single" w:sz="4" w:space="0" w:color="auto"/>
              <w:right w:val="single" w:sz="4" w:space="0" w:color="auto"/>
            </w:tcBorders>
            <w:shd w:val="clear" w:color="auto" w:fill="auto"/>
            <w:vAlign w:val="center"/>
            <w:hideMark/>
          </w:tcPr>
          <w:p w14:paraId="5C0E2E2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270E8D5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Ngremë arsimin shqiptar në lartësinë e standardeve evropiane, duke e bërë shkollën urën e së</w:t>
            </w:r>
            <w:r w:rsidRPr="00B6793F">
              <w:rPr>
                <w:rFonts w:ascii="Arial" w:eastAsia="Times New Roman" w:hAnsi="Arial" w:cs="Arial"/>
                <w:color w:val="000000"/>
                <w:sz w:val="8"/>
                <w:szCs w:val="8"/>
                <w:lang w:eastAsia="sq-AL"/>
              </w:rPr>
              <w:br/>
              <w:t>ardhmes ku çdo fëmijë dhe i ri gjen mundësi për t’u rritur, për t’u formuar dhe për të qenë një qytetar</w:t>
            </w:r>
            <w:r w:rsidRPr="00B6793F">
              <w:rPr>
                <w:rFonts w:ascii="Arial" w:eastAsia="Times New Roman" w:hAnsi="Arial" w:cs="Arial"/>
                <w:color w:val="000000"/>
                <w:sz w:val="8"/>
                <w:szCs w:val="8"/>
                <w:lang w:eastAsia="sq-AL"/>
              </w:rPr>
              <w:br/>
              <w:t>dinjitoz i Evropës.</w:t>
            </w:r>
          </w:p>
        </w:tc>
        <w:tc>
          <w:tcPr>
            <w:tcW w:w="336" w:type="pct"/>
            <w:tcBorders>
              <w:top w:val="nil"/>
              <w:left w:val="nil"/>
              <w:bottom w:val="single" w:sz="4" w:space="0" w:color="auto"/>
              <w:right w:val="single" w:sz="4" w:space="0" w:color="auto"/>
            </w:tcBorders>
            <w:shd w:val="clear" w:color="auto" w:fill="auto"/>
            <w:vAlign w:val="center"/>
            <w:hideMark/>
          </w:tcPr>
          <w:p w14:paraId="74518C1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7778126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54665D7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për profesionistëve në fushën e shëndetit. </w:t>
            </w:r>
          </w:p>
        </w:tc>
      </w:tr>
      <w:tr w:rsidR="00B06A7D" w:rsidRPr="00B6793F" w14:paraId="4CEE6A63"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4466C97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55" w:type="pct"/>
            <w:tcBorders>
              <w:top w:val="nil"/>
              <w:left w:val="nil"/>
              <w:bottom w:val="single" w:sz="4" w:space="0" w:color="auto"/>
              <w:right w:val="single" w:sz="4" w:space="0" w:color="auto"/>
            </w:tcBorders>
            <w:shd w:val="clear" w:color="auto" w:fill="auto"/>
            <w:vAlign w:val="center"/>
            <w:hideMark/>
          </w:tcPr>
          <w:p w14:paraId="364AD72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përcaktimin e kritereve, procedurave, periodicitetit, metodologjisë dhe llojeve të masave për vlerësimin e instituteve dhe njësive të veçanta të kërkimit shkencor që financohen me fonde publike” </w:t>
            </w:r>
          </w:p>
        </w:tc>
        <w:tc>
          <w:tcPr>
            <w:tcW w:w="394" w:type="pct"/>
            <w:tcBorders>
              <w:top w:val="nil"/>
              <w:left w:val="nil"/>
              <w:bottom w:val="single" w:sz="4" w:space="0" w:color="auto"/>
              <w:right w:val="single" w:sz="4" w:space="0" w:color="auto"/>
            </w:tcBorders>
            <w:shd w:val="clear" w:color="auto" w:fill="auto"/>
            <w:vAlign w:val="center"/>
            <w:hideMark/>
          </w:tcPr>
          <w:p w14:paraId="702DE57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2BC8D35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52603A4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50A8537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nenligjor në zbatim të pikës 2, të nenit 20,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6496D35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kritereve, procedurave, periodicitetit dhe metodologjisë së vlerësimit të përmbushjes së kushteve dhe kritereve të funksionimit të Instituteve dhe njësive të veçanta të kërkimit shkencor që financohen me fonde publike</w:t>
            </w:r>
          </w:p>
        </w:tc>
        <w:tc>
          <w:tcPr>
            <w:tcW w:w="385" w:type="pct"/>
            <w:tcBorders>
              <w:top w:val="nil"/>
              <w:left w:val="nil"/>
              <w:bottom w:val="single" w:sz="4" w:space="0" w:color="auto"/>
              <w:right w:val="single" w:sz="4" w:space="0" w:color="auto"/>
            </w:tcBorders>
            <w:shd w:val="clear" w:color="auto" w:fill="auto"/>
            <w:vAlign w:val="center"/>
            <w:hideMark/>
          </w:tcPr>
          <w:p w14:paraId="0937C6D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3BD506F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767832A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7C3C081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260FF31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651E3FDD"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7174436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455" w:type="pct"/>
            <w:tcBorders>
              <w:top w:val="nil"/>
              <w:left w:val="nil"/>
              <w:bottom w:val="single" w:sz="4" w:space="0" w:color="auto"/>
              <w:right w:val="single" w:sz="4" w:space="0" w:color="auto"/>
            </w:tcBorders>
            <w:shd w:val="clear" w:color="auto" w:fill="auto"/>
            <w:vAlign w:val="center"/>
            <w:hideMark/>
          </w:tcPr>
          <w:p w14:paraId="144AFF1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kritereve dhe procedurave për dhënien e statusit “Qendër Ekselence””.</w:t>
            </w:r>
          </w:p>
        </w:tc>
        <w:tc>
          <w:tcPr>
            <w:tcW w:w="394" w:type="pct"/>
            <w:tcBorders>
              <w:top w:val="nil"/>
              <w:left w:val="nil"/>
              <w:bottom w:val="single" w:sz="4" w:space="0" w:color="auto"/>
              <w:right w:val="single" w:sz="4" w:space="0" w:color="auto"/>
            </w:tcBorders>
            <w:shd w:val="clear" w:color="auto" w:fill="auto"/>
            <w:vAlign w:val="center"/>
            <w:hideMark/>
          </w:tcPr>
          <w:p w14:paraId="1C29F20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1035A42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74E6F77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5BB113E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pikës 1, të nenit 22,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3356812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kritereve dhe procedurave për dhënien e statusit “Qendër Ekselence””</w:t>
            </w:r>
          </w:p>
        </w:tc>
        <w:tc>
          <w:tcPr>
            <w:tcW w:w="385" w:type="pct"/>
            <w:tcBorders>
              <w:top w:val="nil"/>
              <w:left w:val="nil"/>
              <w:bottom w:val="single" w:sz="4" w:space="0" w:color="auto"/>
              <w:right w:val="single" w:sz="4" w:space="0" w:color="auto"/>
            </w:tcBorders>
            <w:shd w:val="clear" w:color="auto" w:fill="auto"/>
            <w:vAlign w:val="center"/>
            <w:hideMark/>
          </w:tcPr>
          <w:p w14:paraId="18A694E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49AA6D6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2A33F75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6A38B4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6B2427F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313AD20E"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5484FB5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455" w:type="pct"/>
            <w:tcBorders>
              <w:top w:val="nil"/>
              <w:left w:val="nil"/>
              <w:bottom w:val="single" w:sz="4" w:space="0" w:color="auto"/>
              <w:right w:val="single" w:sz="4" w:space="0" w:color="auto"/>
            </w:tcBorders>
            <w:shd w:val="clear" w:color="auto" w:fill="auto"/>
            <w:vAlign w:val="center"/>
            <w:hideMark/>
          </w:tcPr>
          <w:p w14:paraId="0CAB34B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nivelit të pagës, kategorizimet në pagë dhe shpërblimin për punën në bazë të cilësisë dhe të rëndësisë së rezultateve të kërkimit shkencor, të personelit të instituteve dhe të njësive të veçanta të kërkimit shkencor publik”</w:t>
            </w:r>
          </w:p>
        </w:tc>
        <w:tc>
          <w:tcPr>
            <w:tcW w:w="394" w:type="pct"/>
            <w:tcBorders>
              <w:top w:val="nil"/>
              <w:left w:val="nil"/>
              <w:bottom w:val="single" w:sz="4" w:space="0" w:color="auto"/>
              <w:right w:val="single" w:sz="4" w:space="0" w:color="auto"/>
            </w:tcBorders>
            <w:shd w:val="clear" w:color="auto" w:fill="auto"/>
            <w:vAlign w:val="center"/>
            <w:hideMark/>
          </w:tcPr>
          <w:p w14:paraId="1F1115F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6D853A6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2B1ED47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58CAB37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pikës 4, të nenit 23,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735410A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nivelit të pagës, kategorizimit në pagë dhe shpërblimin për punën në bazë të cilësisë dhe të rëndësisë së rezultateve të kërkimit shkencor, të personelit të instituteve dhe të njësive të veçanta të kërkimit shkencor publik</w:t>
            </w:r>
          </w:p>
        </w:tc>
        <w:tc>
          <w:tcPr>
            <w:tcW w:w="385" w:type="pct"/>
            <w:tcBorders>
              <w:top w:val="nil"/>
              <w:left w:val="nil"/>
              <w:bottom w:val="single" w:sz="4" w:space="0" w:color="auto"/>
              <w:right w:val="single" w:sz="4" w:space="0" w:color="auto"/>
            </w:tcBorders>
            <w:shd w:val="clear" w:color="auto" w:fill="auto"/>
            <w:vAlign w:val="center"/>
            <w:hideMark/>
          </w:tcPr>
          <w:p w14:paraId="7B0FE5D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2BF1E0E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794D7F0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D0F984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4A516FC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financiare, ka efekte sociale pozitive. </w:t>
            </w:r>
          </w:p>
        </w:tc>
      </w:tr>
      <w:tr w:rsidR="00B06A7D" w:rsidRPr="00B6793F" w14:paraId="14117389"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389940F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455" w:type="pct"/>
            <w:tcBorders>
              <w:top w:val="nil"/>
              <w:left w:val="nil"/>
              <w:bottom w:val="single" w:sz="4" w:space="0" w:color="auto"/>
              <w:right w:val="single" w:sz="4" w:space="0" w:color="auto"/>
            </w:tcBorders>
            <w:shd w:val="clear" w:color="auto" w:fill="auto"/>
            <w:vAlign w:val="center"/>
            <w:hideMark/>
          </w:tcPr>
          <w:p w14:paraId="6A5E5AC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formës, përmbajtjes dhe elementët e Regjistrit Kombëtar të Institucioneve, Instituteve, Njësive të Veçanta të Kërkimit Shkencor dhe Kërkuesve Shkencorë, si dhe procedurat e krijimit, administrimit të informacionit, si dhe dokumentacioni që depozitohet për regjistrim”</w:t>
            </w:r>
          </w:p>
        </w:tc>
        <w:tc>
          <w:tcPr>
            <w:tcW w:w="394" w:type="pct"/>
            <w:tcBorders>
              <w:top w:val="nil"/>
              <w:left w:val="nil"/>
              <w:bottom w:val="single" w:sz="4" w:space="0" w:color="auto"/>
              <w:right w:val="single" w:sz="4" w:space="0" w:color="auto"/>
            </w:tcBorders>
            <w:shd w:val="clear" w:color="auto" w:fill="auto"/>
            <w:vAlign w:val="center"/>
            <w:hideMark/>
          </w:tcPr>
          <w:p w14:paraId="40CDB20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2E347F2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2EFFD51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279F855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aktit nënligjor në zbatim të pikës 2 dhe 3, të nenit 18, të ligjit nr. 109/2024 "Për shkencën dhe kërkimin shkencor në Republikën e Shqipërisë"</w:t>
            </w:r>
          </w:p>
        </w:tc>
        <w:tc>
          <w:tcPr>
            <w:tcW w:w="555" w:type="pct"/>
            <w:tcBorders>
              <w:top w:val="nil"/>
              <w:left w:val="nil"/>
              <w:bottom w:val="single" w:sz="4" w:space="0" w:color="auto"/>
              <w:right w:val="single" w:sz="4" w:space="0" w:color="auto"/>
            </w:tcBorders>
            <w:shd w:val="clear" w:color="auto" w:fill="auto"/>
            <w:vAlign w:val="center"/>
            <w:hideMark/>
          </w:tcPr>
          <w:p w14:paraId="2DCC13B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 i formës, përmbajtjes dhe elementëve të Regjistrit Kombëtar të Institucioneve, Instituteve, Njësive të Veçanta të Kërkimit Shkencor dhe Kërkuesve Shkencorë, si dhe procedurat e krijimit, administrimit të informacionit, si dhe dokumentacioni që depozitohet për regjistrim</w:t>
            </w:r>
          </w:p>
        </w:tc>
        <w:tc>
          <w:tcPr>
            <w:tcW w:w="385" w:type="pct"/>
            <w:tcBorders>
              <w:top w:val="nil"/>
              <w:left w:val="nil"/>
              <w:bottom w:val="single" w:sz="4" w:space="0" w:color="auto"/>
              <w:right w:val="single" w:sz="4" w:space="0" w:color="auto"/>
            </w:tcBorders>
            <w:shd w:val="clear" w:color="auto" w:fill="auto"/>
            <w:vAlign w:val="center"/>
            <w:hideMark/>
          </w:tcPr>
          <w:p w14:paraId="091DC9B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56CF868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Ndërtojmë një sistem kërkimor-shkencor të përafruar me modelin e BE, duke zbatuar kuadrin</w:t>
            </w:r>
            <w:r w:rsidRPr="00B6793F">
              <w:rPr>
                <w:rFonts w:ascii="Arial" w:eastAsia="Times New Roman" w:hAnsi="Arial" w:cs="Arial"/>
                <w:color w:val="000000"/>
                <w:sz w:val="8"/>
                <w:szCs w:val="8"/>
                <w:lang w:eastAsia="sq-AL"/>
              </w:rPr>
              <w:br/>
              <w:t>ligjor për shkencën dhe duke dyfishuar investimet për laboratorë modernë në universitetet publike,</w:t>
            </w:r>
            <w:r w:rsidRPr="00B6793F">
              <w:rPr>
                <w:rFonts w:ascii="Arial" w:eastAsia="Times New Roman" w:hAnsi="Arial" w:cs="Arial"/>
                <w:color w:val="000000"/>
                <w:sz w:val="8"/>
                <w:szCs w:val="8"/>
                <w:lang w:eastAsia="sq-AL"/>
              </w:rPr>
              <w:br/>
              <w:t>institutet dhe njësitë kërkimore.</w:t>
            </w:r>
          </w:p>
        </w:tc>
        <w:tc>
          <w:tcPr>
            <w:tcW w:w="336" w:type="pct"/>
            <w:tcBorders>
              <w:top w:val="nil"/>
              <w:left w:val="nil"/>
              <w:bottom w:val="single" w:sz="4" w:space="0" w:color="auto"/>
              <w:right w:val="single" w:sz="4" w:space="0" w:color="auto"/>
            </w:tcBorders>
            <w:shd w:val="clear" w:color="auto" w:fill="auto"/>
            <w:vAlign w:val="center"/>
            <w:hideMark/>
          </w:tcPr>
          <w:p w14:paraId="7269EE1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64DF056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w:t>
            </w:r>
            <w:r w:rsidRPr="00B6793F">
              <w:rPr>
                <w:rFonts w:ascii="Arial" w:eastAsia="Times New Roman" w:hAnsi="Arial" w:cs="Arial"/>
                <w:color w:val="000000"/>
                <w:sz w:val="8"/>
                <w:szCs w:val="8"/>
                <w:lang w:eastAsia="sq-AL"/>
              </w:rPr>
              <w:br/>
              <w:t>nr. 542, datë 20.09.2023 i Këshillit të Ministrave “Për miratimin e Strategjisë Kombëtare për Kërkimin Shkencor, Teknologjinë dhe Inovacionin 2023–2030 dhe të planit të veprimit për zbatimin e saj”</w:t>
            </w:r>
          </w:p>
        </w:tc>
        <w:tc>
          <w:tcPr>
            <w:tcW w:w="586" w:type="pct"/>
            <w:tcBorders>
              <w:top w:val="nil"/>
              <w:left w:val="nil"/>
              <w:bottom w:val="single" w:sz="4" w:space="0" w:color="auto"/>
              <w:right w:val="single" w:sz="4" w:space="0" w:color="auto"/>
            </w:tcBorders>
            <w:shd w:val="clear" w:color="auto" w:fill="auto"/>
            <w:vAlign w:val="center"/>
            <w:hideMark/>
          </w:tcPr>
          <w:p w14:paraId="5ADE0FD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086DA7EE"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7C8A017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455" w:type="pct"/>
            <w:tcBorders>
              <w:top w:val="nil"/>
              <w:left w:val="nil"/>
              <w:bottom w:val="single" w:sz="4" w:space="0" w:color="auto"/>
              <w:right w:val="single" w:sz="4" w:space="0" w:color="auto"/>
            </w:tcBorders>
            <w:shd w:val="clear" w:color="000000" w:fill="FFFFFF"/>
            <w:vAlign w:val="center"/>
            <w:hideMark/>
          </w:tcPr>
          <w:p w14:paraId="55683DD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në vendimin nr. 288, datë 21.5.2018 të Këshillit të Ministrave, "Për miratimin e kufirit maksimal të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 i ndryshuar</w:t>
            </w:r>
          </w:p>
        </w:tc>
        <w:tc>
          <w:tcPr>
            <w:tcW w:w="394" w:type="pct"/>
            <w:tcBorders>
              <w:top w:val="nil"/>
              <w:left w:val="nil"/>
              <w:bottom w:val="single" w:sz="4" w:space="0" w:color="auto"/>
              <w:right w:val="single" w:sz="4" w:space="0" w:color="auto"/>
            </w:tcBorders>
            <w:shd w:val="clear" w:color="000000" w:fill="FFFFFF"/>
            <w:vAlign w:val="center"/>
            <w:hideMark/>
          </w:tcPr>
          <w:p w14:paraId="1B19B06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000000" w:fill="FFFFFF"/>
            <w:vAlign w:val="center"/>
            <w:hideMark/>
          </w:tcPr>
          <w:p w14:paraId="43925CC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60FF137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000000" w:fill="FFFFFF"/>
            <w:vAlign w:val="center"/>
            <w:hideMark/>
          </w:tcPr>
          <w:p w14:paraId="3499B04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vendimit për shkak të hapjes së programeve të reja të studimit, duke vendosur kufirin maksimal sipas ciklit të programeve, në zbatim të pikës 2, të nenit 7, të ligjit nr. 80/2015, “Për arsimin e lartë dhe kërkimin shkencor në institucionet e arsimit të lartë në Republikën e Shqipërisë”</w:t>
            </w:r>
          </w:p>
        </w:tc>
        <w:tc>
          <w:tcPr>
            <w:tcW w:w="555" w:type="pct"/>
            <w:tcBorders>
              <w:top w:val="nil"/>
              <w:left w:val="nil"/>
              <w:bottom w:val="single" w:sz="4" w:space="0" w:color="auto"/>
              <w:right w:val="single" w:sz="4" w:space="0" w:color="auto"/>
            </w:tcBorders>
            <w:shd w:val="clear" w:color="000000" w:fill="FFFFFF"/>
            <w:vAlign w:val="center"/>
            <w:hideMark/>
          </w:tcPr>
          <w:p w14:paraId="070BEED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Përditësimi i listës me programe të reja të hapura apo ndryshimit të emërtimeve në kuadër të riogrnaizimit të tyre, si dhe heqja nga listat e programeve që janë mbyllur.</w:t>
            </w:r>
          </w:p>
        </w:tc>
        <w:tc>
          <w:tcPr>
            <w:tcW w:w="385" w:type="pct"/>
            <w:tcBorders>
              <w:top w:val="nil"/>
              <w:left w:val="nil"/>
              <w:bottom w:val="single" w:sz="4" w:space="0" w:color="auto"/>
              <w:right w:val="single" w:sz="4" w:space="0" w:color="auto"/>
            </w:tcBorders>
            <w:shd w:val="clear" w:color="000000" w:fill="FFFFFF"/>
            <w:vAlign w:val="center"/>
            <w:hideMark/>
          </w:tcPr>
          <w:p w14:paraId="6FD70C5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28015C1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Ngremë arsimin shqiptar në lartësinë e standardeve evropiane, duke e bërë shkollën urën e së</w:t>
            </w:r>
            <w:r w:rsidRPr="00B6793F">
              <w:rPr>
                <w:rFonts w:ascii="Arial" w:eastAsia="Times New Roman" w:hAnsi="Arial" w:cs="Arial"/>
                <w:color w:val="000000"/>
                <w:sz w:val="8"/>
                <w:szCs w:val="8"/>
                <w:lang w:eastAsia="sq-AL"/>
              </w:rPr>
              <w:br/>
              <w:t>ardhmes ku çdo fëmijë dhe i ri gjen mundësi për t’u rritur, për t’u formuar dhe për të qenë një qytetar</w:t>
            </w:r>
            <w:r w:rsidRPr="00B6793F">
              <w:rPr>
                <w:rFonts w:ascii="Arial" w:eastAsia="Times New Roman" w:hAnsi="Arial" w:cs="Arial"/>
                <w:color w:val="000000"/>
                <w:sz w:val="8"/>
                <w:szCs w:val="8"/>
                <w:lang w:eastAsia="sq-AL"/>
              </w:rPr>
              <w:br/>
              <w:t>dinjitoz i Evropës.</w:t>
            </w:r>
          </w:p>
        </w:tc>
        <w:tc>
          <w:tcPr>
            <w:tcW w:w="336" w:type="pct"/>
            <w:tcBorders>
              <w:top w:val="nil"/>
              <w:left w:val="nil"/>
              <w:bottom w:val="single" w:sz="4" w:space="0" w:color="auto"/>
              <w:right w:val="single" w:sz="4" w:space="0" w:color="auto"/>
            </w:tcBorders>
            <w:shd w:val="clear" w:color="auto" w:fill="auto"/>
            <w:vAlign w:val="center"/>
            <w:hideMark/>
          </w:tcPr>
          <w:p w14:paraId="5735D8C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47C9697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14E0A02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04E66BEF"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71D0172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455" w:type="pct"/>
            <w:tcBorders>
              <w:top w:val="nil"/>
              <w:left w:val="nil"/>
              <w:bottom w:val="single" w:sz="4" w:space="0" w:color="auto"/>
              <w:right w:val="single" w:sz="4" w:space="0" w:color="auto"/>
            </w:tcBorders>
            <w:shd w:val="clear" w:color="000000" w:fill="FFFFFF"/>
            <w:vAlign w:val="center"/>
            <w:hideMark/>
          </w:tcPr>
          <w:p w14:paraId="5715D84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vendimin nr. 436, datë 3.6.2020, të Këshillit të Ministrave, "Për përcaktimin e kriterit të notës mesatare për pranimin e kandidatëve në programet e studimeve të ciklit të parë dhe në programet e integruara të studimeve të ciklit të dytë ose transferimin e studimeve në vitet e ndërmjetme të këtyre</w:t>
            </w:r>
            <w:r w:rsidRPr="00B6793F">
              <w:rPr>
                <w:rFonts w:ascii="Arial" w:eastAsia="Times New Roman" w:hAnsi="Arial" w:cs="Arial"/>
                <w:color w:val="000000"/>
                <w:sz w:val="8"/>
                <w:szCs w:val="8"/>
                <w:lang w:eastAsia="sq-AL"/>
              </w:rPr>
              <w:br/>
              <w:t>programeve, në institucionet e arsimit të lartë, për vitet akademike 2020–2021 dhe 2021-2022 e në vijim" i ndryshuar.</w:t>
            </w:r>
          </w:p>
        </w:tc>
        <w:tc>
          <w:tcPr>
            <w:tcW w:w="394" w:type="pct"/>
            <w:tcBorders>
              <w:top w:val="nil"/>
              <w:left w:val="nil"/>
              <w:bottom w:val="single" w:sz="4" w:space="0" w:color="auto"/>
              <w:right w:val="single" w:sz="4" w:space="0" w:color="auto"/>
            </w:tcBorders>
            <w:shd w:val="clear" w:color="000000" w:fill="FFFFFF"/>
            <w:vAlign w:val="center"/>
            <w:hideMark/>
          </w:tcPr>
          <w:p w14:paraId="7C17588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000000" w:fill="FFFFFF"/>
            <w:vAlign w:val="center"/>
            <w:hideMark/>
          </w:tcPr>
          <w:p w14:paraId="26AC6ED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Arsimit</w:t>
            </w:r>
          </w:p>
        </w:tc>
        <w:tc>
          <w:tcPr>
            <w:tcW w:w="362" w:type="pct"/>
            <w:tcBorders>
              <w:top w:val="nil"/>
              <w:left w:val="nil"/>
              <w:bottom w:val="single" w:sz="4" w:space="0" w:color="auto"/>
              <w:right w:val="single" w:sz="4" w:space="0" w:color="auto"/>
            </w:tcBorders>
            <w:shd w:val="clear" w:color="auto" w:fill="auto"/>
            <w:vAlign w:val="center"/>
            <w:hideMark/>
          </w:tcPr>
          <w:p w14:paraId="402402E5"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000000" w:fill="FFFFFF"/>
            <w:vAlign w:val="center"/>
            <w:hideMark/>
          </w:tcPr>
          <w:p w14:paraId="408FE32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vendimit me qëllim përjashtimin nga plotësimi i kriterit të notës mesatare personat me AK (ankesa nga KMD), si dhe rishikimi shtojcave në kuadër të hpjes, riorganizimit dh mbylljes së programeve në institucionet publike dhe jopublike të arsimit të lartë, në zbatim të të pikës 1, të nenit 74, të ligjit nr. 80/2015, “Për</w:t>
            </w:r>
            <w:r w:rsidRPr="00B6793F">
              <w:rPr>
                <w:rFonts w:ascii="Arial" w:eastAsia="Times New Roman" w:hAnsi="Arial" w:cs="Arial"/>
                <w:color w:val="000000"/>
                <w:sz w:val="8"/>
                <w:szCs w:val="8"/>
                <w:lang w:eastAsia="sq-AL"/>
              </w:rPr>
              <w:br/>
              <w:t>arsimin e lartë dhe kërkimin shkencor në institucionet e arsimit të lartë në Republikën e Shqipërisë”</w:t>
            </w:r>
          </w:p>
        </w:tc>
        <w:tc>
          <w:tcPr>
            <w:tcW w:w="555" w:type="pct"/>
            <w:tcBorders>
              <w:top w:val="nil"/>
              <w:left w:val="nil"/>
              <w:bottom w:val="single" w:sz="4" w:space="0" w:color="auto"/>
              <w:right w:val="single" w:sz="4" w:space="0" w:color="auto"/>
            </w:tcBorders>
            <w:shd w:val="clear" w:color="000000" w:fill="FFFFFF"/>
            <w:vAlign w:val="center"/>
            <w:hideMark/>
          </w:tcPr>
          <w:p w14:paraId="6B0A58C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vendimi për shkak të hapjes së programeve të reja të studimit në fushën e mësuesisë, apo riorganizimit dhe mbylljes së disa programeve, sipas nevojave dhe kërkesave të institucioneve të arsimit të lartë</w:t>
            </w:r>
          </w:p>
        </w:tc>
        <w:tc>
          <w:tcPr>
            <w:tcW w:w="385" w:type="pct"/>
            <w:tcBorders>
              <w:top w:val="nil"/>
              <w:left w:val="nil"/>
              <w:bottom w:val="single" w:sz="4" w:space="0" w:color="auto"/>
              <w:right w:val="single" w:sz="4" w:space="0" w:color="auto"/>
            </w:tcBorders>
            <w:shd w:val="clear" w:color="000000" w:fill="FFFFFF"/>
            <w:vAlign w:val="center"/>
            <w:hideMark/>
          </w:tcPr>
          <w:p w14:paraId="06FDF0E4"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570F1FB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Ngremë arsimin shqiptar në lartësinë e standardeve evropiane, duke e bërë shkollën urën e së</w:t>
            </w:r>
            <w:r w:rsidRPr="00B6793F">
              <w:rPr>
                <w:rFonts w:ascii="Arial" w:eastAsia="Times New Roman" w:hAnsi="Arial" w:cs="Arial"/>
                <w:color w:val="000000"/>
                <w:sz w:val="8"/>
                <w:szCs w:val="8"/>
                <w:lang w:eastAsia="sq-AL"/>
              </w:rPr>
              <w:br/>
              <w:t>ardhmes ku çdo fëmijë dhe i ri gjen mundësi për t’u rritur, për t’u formuar dhe për të qenë një qytetar</w:t>
            </w:r>
            <w:r w:rsidRPr="00B6793F">
              <w:rPr>
                <w:rFonts w:ascii="Arial" w:eastAsia="Times New Roman" w:hAnsi="Arial" w:cs="Arial"/>
                <w:color w:val="000000"/>
                <w:sz w:val="8"/>
                <w:szCs w:val="8"/>
                <w:lang w:eastAsia="sq-AL"/>
              </w:rPr>
              <w:br/>
              <w:t>dinjitoz i Evropës.</w:t>
            </w:r>
          </w:p>
        </w:tc>
        <w:tc>
          <w:tcPr>
            <w:tcW w:w="336" w:type="pct"/>
            <w:tcBorders>
              <w:top w:val="nil"/>
              <w:left w:val="nil"/>
              <w:bottom w:val="single" w:sz="4" w:space="0" w:color="auto"/>
              <w:right w:val="single" w:sz="4" w:space="0" w:color="auto"/>
            </w:tcBorders>
            <w:shd w:val="clear" w:color="auto" w:fill="auto"/>
            <w:vAlign w:val="center"/>
            <w:hideMark/>
          </w:tcPr>
          <w:p w14:paraId="7A3F7A0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703854B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3C18223E"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sociale pozitive.</w:t>
            </w:r>
          </w:p>
        </w:tc>
      </w:tr>
      <w:tr w:rsidR="00B06A7D" w:rsidRPr="00B6793F" w14:paraId="29674DDB"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16C7674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455" w:type="pct"/>
            <w:tcBorders>
              <w:top w:val="nil"/>
              <w:left w:val="nil"/>
              <w:bottom w:val="single" w:sz="4" w:space="0" w:color="auto"/>
              <w:right w:val="single" w:sz="4" w:space="0" w:color="auto"/>
            </w:tcBorders>
            <w:shd w:val="clear" w:color="000000" w:fill="FFFFFF"/>
            <w:vAlign w:val="center"/>
            <w:hideMark/>
          </w:tcPr>
          <w:p w14:paraId="7AD1ABC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në vendimin nr. 666, datë 10.10.2019, të Këshillit të Ministrave "Për kuotat financiare të ushqimit në mensa e konvikte dhe përcaktimin e kritereve për përfitimin e bursave e të pagesave për nxënësit e arsimit parauniversitar në institucionet arsimore publike" i ndryshuar</w:t>
            </w:r>
          </w:p>
        </w:tc>
        <w:tc>
          <w:tcPr>
            <w:tcW w:w="394" w:type="pct"/>
            <w:tcBorders>
              <w:top w:val="nil"/>
              <w:left w:val="nil"/>
              <w:bottom w:val="single" w:sz="4" w:space="0" w:color="auto"/>
              <w:right w:val="single" w:sz="4" w:space="0" w:color="auto"/>
            </w:tcBorders>
            <w:shd w:val="clear" w:color="000000" w:fill="FFFFFF"/>
            <w:vAlign w:val="center"/>
            <w:hideMark/>
          </w:tcPr>
          <w:p w14:paraId="58B8498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 </w:t>
            </w:r>
          </w:p>
        </w:tc>
        <w:tc>
          <w:tcPr>
            <w:tcW w:w="382" w:type="pct"/>
            <w:tcBorders>
              <w:top w:val="nil"/>
              <w:left w:val="nil"/>
              <w:bottom w:val="single" w:sz="4" w:space="0" w:color="auto"/>
              <w:right w:val="single" w:sz="4" w:space="0" w:color="auto"/>
            </w:tcBorders>
            <w:shd w:val="clear" w:color="000000" w:fill="FFFFFF"/>
            <w:vAlign w:val="center"/>
            <w:hideMark/>
          </w:tcPr>
          <w:p w14:paraId="30E9EF0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dhe </w:t>
            </w:r>
            <w:r w:rsidRPr="00B6793F">
              <w:rPr>
                <w:rFonts w:ascii="Arial" w:eastAsia="Times New Roman" w:hAnsi="Arial" w:cs="Arial"/>
                <w:color w:val="000000"/>
                <w:sz w:val="8"/>
                <w:szCs w:val="8"/>
                <w:lang w:eastAsia="sq-AL"/>
              </w:rPr>
              <w:br/>
              <w:t xml:space="preserve">Ministri i Ekonomisë dhe Inovacionit </w:t>
            </w:r>
          </w:p>
        </w:tc>
        <w:tc>
          <w:tcPr>
            <w:tcW w:w="362" w:type="pct"/>
            <w:tcBorders>
              <w:top w:val="nil"/>
              <w:left w:val="nil"/>
              <w:bottom w:val="single" w:sz="4" w:space="0" w:color="auto"/>
              <w:right w:val="single" w:sz="4" w:space="0" w:color="auto"/>
            </w:tcBorders>
            <w:shd w:val="clear" w:color="auto" w:fill="auto"/>
            <w:vAlign w:val="center"/>
            <w:hideMark/>
          </w:tcPr>
          <w:p w14:paraId="1982B1D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000000" w:fill="FFFFFF"/>
            <w:vAlign w:val="center"/>
            <w:hideMark/>
          </w:tcPr>
          <w:p w14:paraId="45EE1D1D"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Sqarimi mbi mënyrën e ndarjes së bursave sipas kuotave për nxënësit që plotësojnë kriterete (raste ankesash nga KMD), në zbatim të nenit 19, të ligjit nr. 69/2012, “Për sistemin arsimor parauniversitar në Republikën e Shqipërisë”, të ndryshuar, të pikës 2, të nenit 32, të ligjit nr. 15/2017, “Për arsimin dhe formimin profesional në Republikën e Shqipërisë”, </w:t>
            </w:r>
          </w:p>
        </w:tc>
        <w:tc>
          <w:tcPr>
            <w:tcW w:w="555" w:type="pct"/>
            <w:tcBorders>
              <w:top w:val="nil"/>
              <w:left w:val="nil"/>
              <w:bottom w:val="single" w:sz="4" w:space="0" w:color="auto"/>
              <w:right w:val="single" w:sz="4" w:space="0" w:color="auto"/>
            </w:tcBorders>
            <w:shd w:val="clear" w:color="000000" w:fill="FFFFFF"/>
            <w:vAlign w:val="center"/>
            <w:hideMark/>
          </w:tcPr>
          <w:p w14:paraId="5ADFB35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Qartësimi i mënyrës së përfitimit të kuotave financiare për rastet kur numri i nxënësve që plotësojnë kriteret është më i lartë se numri i kuotave të miratuara. </w:t>
            </w:r>
          </w:p>
        </w:tc>
        <w:tc>
          <w:tcPr>
            <w:tcW w:w="385" w:type="pct"/>
            <w:tcBorders>
              <w:top w:val="nil"/>
              <w:left w:val="nil"/>
              <w:bottom w:val="single" w:sz="4" w:space="0" w:color="auto"/>
              <w:right w:val="single" w:sz="4" w:space="0" w:color="auto"/>
            </w:tcBorders>
            <w:shd w:val="clear" w:color="000000" w:fill="FFFFFF"/>
            <w:vAlign w:val="center"/>
            <w:hideMark/>
          </w:tcPr>
          <w:p w14:paraId="52F0916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720648F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Ngremë arsimin shqiptar në lartësinë e standardeve evropiane, duke e bërë shkollën urën e së</w:t>
            </w:r>
            <w:r w:rsidRPr="00B6793F">
              <w:rPr>
                <w:rFonts w:ascii="Arial" w:eastAsia="Times New Roman" w:hAnsi="Arial" w:cs="Arial"/>
                <w:color w:val="000000"/>
                <w:sz w:val="8"/>
                <w:szCs w:val="8"/>
                <w:lang w:eastAsia="sq-AL"/>
              </w:rPr>
              <w:br/>
              <w:t>ardhmes ku çdo fëmijë dhe i ri gjen mundësi për t’u rritur, për t’u formuar dhe për të qenë një qytetar</w:t>
            </w:r>
            <w:r w:rsidRPr="00B6793F">
              <w:rPr>
                <w:rFonts w:ascii="Arial" w:eastAsia="Times New Roman" w:hAnsi="Arial" w:cs="Arial"/>
                <w:color w:val="000000"/>
                <w:sz w:val="8"/>
                <w:szCs w:val="8"/>
                <w:lang w:eastAsia="sq-AL"/>
              </w:rPr>
              <w:br/>
              <w:t>dinjitoz i Evropës.</w:t>
            </w:r>
          </w:p>
        </w:tc>
        <w:tc>
          <w:tcPr>
            <w:tcW w:w="336" w:type="pct"/>
            <w:tcBorders>
              <w:top w:val="nil"/>
              <w:left w:val="nil"/>
              <w:bottom w:val="single" w:sz="4" w:space="0" w:color="auto"/>
              <w:right w:val="single" w:sz="4" w:space="0" w:color="auto"/>
            </w:tcBorders>
            <w:shd w:val="clear" w:color="auto" w:fill="auto"/>
            <w:vAlign w:val="center"/>
            <w:hideMark/>
          </w:tcPr>
          <w:p w14:paraId="76295EC7"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2C25E3A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449BD5D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sociale pozitive. </w:t>
            </w:r>
          </w:p>
        </w:tc>
      </w:tr>
      <w:tr w:rsidR="00B06A7D" w:rsidRPr="00B6793F" w14:paraId="1A4BA07F"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7B229F99"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455" w:type="pct"/>
            <w:tcBorders>
              <w:top w:val="nil"/>
              <w:left w:val="nil"/>
              <w:bottom w:val="single" w:sz="4" w:space="0" w:color="auto"/>
              <w:right w:val="single" w:sz="4" w:space="0" w:color="auto"/>
            </w:tcBorders>
            <w:shd w:val="clear" w:color="auto" w:fill="auto"/>
            <w:vAlign w:val="center"/>
            <w:hideMark/>
          </w:tcPr>
          <w:p w14:paraId="7A51B70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Ndryshimi i vendimit nr. 486, datë 17.6.2020, të Këshillit të Ministrave "Për shtypjen, botimin, shpërndarjen dhe shitjen e teksteve shkollore të sistemit të arsimit parauniversitar", i ndryshuar </w:t>
            </w:r>
          </w:p>
        </w:tc>
        <w:tc>
          <w:tcPr>
            <w:tcW w:w="394" w:type="pct"/>
            <w:tcBorders>
              <w:top w:val="nil"/>
              <w:left w:val="nil"/>
              <w:bottom w:val="single" w:sz="4" w:space="0" w:color="auto"/>
              <w:right w:val="single" w:sz="4" w:space="0" w:color="auto"/>
            </w:tcBorders>
            <w:shd w:val="clear" w:color="auto" w:fill="auto"/>
            <w:vAlign w:val="center"/>
            <w:hideMark/>
          </w:tcPr>
          <w:p w14:paraId="2BE6761C"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82" w:type="pct"/>
            <w:tcBorders>
              <w:top w:val="nil"/>
              <w:left w:val="nil"/>
              <w:bottom w:val="single" w:sz="4" w:space="0" w:color="auto"/>
              <w:right w:val="single" w:sz="4" w:space="0" w:color="auto"/>
            </w:tcBorders>
            <w:shd w:val="clear" w:color="auto" w:fill="auto"/>
            <w:vAlign w:val="center"/>
            <w:hideMark/>
          </w:tcPr>
          <w:p w14:paraId="434DD46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1BDB6C0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w:t>
            </w:r>
          </w:p>
        </w:tc>
        <w:tc>
          <w:tcPr>
            <w:tcW w:w="442" w:type="pct"/>
            <w:tcBorders>
              <w:top w:val="nil"/>
              <w:left w:val="nil"/>
              <w:bottom w:val="single" w:sz="4" w:space="0" w:color="auto"/>
              <w:right w:val="single" w:sz="4" w:space="0" w:color="auto"/>
            </w:tcBorders>
            <w:shd w:val="clear" w:color="auto" w:fill="auto"/>
            <w:vAlign w:val="center"/>
            <w:hideMark/>
          </w:tcPr>
          <w:p w14:paraId="4BCB5FB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i kategorive që përfitojnë tekste shkollore të reja, çdo vit, në përdorim falas në zbatim të neneve 19 e 47, të ligjit nr. 69/2012, “Për sistemin arsimor parauniversitar në Republikën e Shqipërisë”, të ndryshuar</w:t>
            </w:r>
          </w:p>
        </w:tc>
        <w:tc>
          <w:tcPr>
            <w:tcW w:w="555" w:type="pct"/>
            <w:tcBorders>
              <w:top w:val="nil"/>
              <w:left w:val="nil"/>
              <w:bottom w:val="single" w:sz="4" w:space="0" w:color="auto"/>
              <w:right w:val="single" w:sz="4" w:space="0" w:color="auto"/>
            </w:tcBorders>
            <w:shd w:val="clear" w:color="auto" w:fill="auto"/>
            <w:vAlign w:val="center"/>
            <w:hideMark/>
          </w:tcPr>
          <w:p w14:paraId="5423EB4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Përfshirja e klasës së katërt dhe të pestë në kategorinë e nxënësve që do të marrin tekste të reja në përdorim falas</w:t>
            </w:r>
          </w:p>
        </w:tc>
        <w:tc>
          <w:tcPr>
            <w:tcW w:w="385" w:type="pct"/>
            <w:tcBorders>
              <w:top w:val="nil"/>
              <w:left w:val="nil"/>
              <w:bottom w:val="single" w:sz="4" w:space="0" w:color="auto"/>
              <w:right w:val="single" w:sz="4" w:space="0" w:color="auto"/>
            </w:tcBorders>
            <w:shd w:val="clear" w:color="auto" w:fill="auto"/>
            <w:vAlign w:val="center"/>
            <w:hideMark/>
          </w:tcPr>
          <w:p w14:paraId="010545E1"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425688BA"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Garantojmë tekstet falas për 236 mijë nxënës të arsimit bazë, nxënësit e pakicave kombëtare dhe</w:t>
            </w:r>
            <w:r w:rsidRPr="00B6793F">
              <w:rPr>
                <w:rFonts w:ascii="Arial" w:eastAsia="Times New Roman" w:hAnsi="Arial" w:cs="Arial"/>
                <w:color w:val="000000"/>
                <w:sz w:val="8"/>
                <w:szCs w:val="8"/>
                <w:lang w:eastAsia="sq-AL"/>
              </w:rPr>
              <w:br/>
              <w:t>kategori të veçanta sociale të shkollave të mesme.</w:t>
            </w:r>
          </w:p>
        </w:tc>
        <w:tc>
          <w:tcPr>
            <w:tcW w:w="336" w:type="pct"/>
            <w:tcBorders>
              <w:top w:val="nil"/>
              <w:left w:val="nil"/>
              <w:bottom w:val="single" w:sz="4" w:space="0" w:color="auto"/>
              <w:right w:val="single" w:sz="4" w:space="0" w:color="auto"/>
            </w:tcBorders>
            <w:shd w:val="clear" w:color="auto" w:fill="auto"/>
            <w:vAlign w:val="center"/>
            <w:hideMark/>
          </w:tcPr>
          <w:p w14:paraId="0CC8260F"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Jo </w:t>
            </w:r>
          </w:p>
        </w:tc>
        <w:tc>
          <w:tcPr>
            <w:tcW w:w="468" w:type="pct"/>
            <w:tcBorders>
              <w:top w:val="nil"/>
              <w:left w:val="nil"/>
              <w:bottom w:val="single" w:sz="4" w:space="0" w:color="auto"/>
              <w:right w:val="single" w:sz="4" w:space="0" w:color="auto"/>
            </w:tcBorders>
            <w:shd w:val="clear" w:color="auto" w:fill="auto"/>
            <w:vAlign w:val="center"/>
            <w:hideMark/>
          </w:tcPr>
          <w:p w14:paraId="7568CE4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50BDBEC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efekte financiare, ka efekte sociale pozitive tek nxënësit.</w:t>
            </w:r>
          </w:p>
        </w:tc>
      </w:tr>
      <w:tr w:rsidR="00B06A7D" w:rsidRPr="00B6793F" w14:paraId="23194837" w14:textId="77777777" w:rsidTr="00B06A7D">
        <w:trPr>
          <w:gridAfter w:val="1"/>
          <w:wAfter w:w="4" w:type="pct"/>
          <w:trHeight w:val="180"/>
          <w:jc w:val="center"/>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6258EC5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455" w:type="pct"/>
            <w:tcBorders>
              <w:top w:val="nil"/>
              <w:left w:val="nil"/>
              <w:bottom w:val="single" w:sz="4" w:space="0" w:color="auto"/>
              <w:right w:val="single" w:sz="4" w:space="0" w:color="auto"/>
            </w:tcBorders>
            <w:shd w:val="clear" w:color="auto" w:fill="auto"/>
            <w:vAlign w:val="center"/>
            <w:hideMark/>
          </w:tcPr>
          <w:p w14:paraId="086EEADF" w14:textId="77777777" w:rsidR="00B06A7D" w:rsidRPr="00B6793F" w:rsidRDefault="00B06A7D" w:rsidP="00B06A7D">
            <w:pPr>
              <w:spacing w:after="0" w:line="240" w:lineRule="auto"/>
              <w:jc w:val="center"/>
              <w:rPr>
                <w:rFonts w:ascii="Arial" w:eastAsia="Times New Roman" w:hAnsi="Arial" w:cs="Arial"/>
                <w:color w:val="202124"/>
                <w:sz w:val="8"/>
                <w:szCs w:val="8"/>
                <w:lang w:eastAsia="sq-AL"/>
              </w:rPr>
            </w:pPr>
            <w:r w:rsidRPr="00B6793F">
              <w:rPr>
                <w:rFonts w:ascii="Arial" w:eastAsia="Times New Roman" w:hAnsi="Arial" w:cs="Arial"/>
                <w:color w:val="202124"/>
                <w:sz w:val="8"/>
                <w:szCs w:val="8"/>
                <w:lang w:eastAsia="sq-AL"/>
              </w:rPr>
              <w:t>Për hapjen e institucionit publik të arsimit të mesëm të lartë “Liceu francez”, Korçë</w:t>
            </w:r>
          </w:p>
        </w:tc>
        <w:tc>
          <w:tcPr>
            <w:tcW w:w="394" w:type="pct"/>
            <w:tcBorders>
              <w:top w:val="nil"/>
              <w:left w:val="nil"/>
              <w:bottom w:val="single" w:sz="4" w:space="0" w:color="auto"/>
              <w:right w:val="single" w:sz="4" w:space="0" w:color="auto"/>
            </w:tcBorders>
            <w:shd w:val="clear" w:color="auto" w:fill="auto"/>
            <w:vAlign w:val="center"/>
            <w:hideMark/>
          </w:tcPr>
          <w:p w14:paraId="223521C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82" w:type="pct"/>
            <w:tcBorders>
              <w:top w:val="nil"/>
              <w:left w:val="nil"/>
              <w:bottom w:val="single" w:sz="4" w:space="0" w:color="auto"/>
              <w:right w:val="single" w:sz="4" w:space="0" w:color="auto"/>
            </w:tcBorders>
            <w:shd w:val="clear" w:color="auto" w:fill="auto"/>
            <w:vAlign w:val="center"/>
            <w:hideMark/>
          </w:tcPr>
          <w:p w14:paraId="6B5D0AE2"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Arsimit </w:t>
            </w:r>
          </w:p>
        </w:tc>
        <w:tc>
          <w:tcPr>
            <w:tcW w:w="362" w:type="pct"/>
            <w:tcBorders>
              <w:top w:val="nil"/>
              <w:left w:val="nil"/>
              <w:bottom w:val="single" w:sz="4" w:space="0" w:color="auto"/>
              <w:right w:val="single" w:sz="4" w:space="0" w:color="auto"/>
            </w:tcBorders>
            <w:shd w:val="clear" w:color="auto" w:fill="auto"/>
            <w:vAlign w:val="center"/>
            <w:hideMark/>
          </w:tcPr>
          <w:p w14:paraId="6B77602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w:t>
            </w:r>
            <w:r w:rsidRPr="00B6793F">
              <w:rPr>
                <w:rFonts w:ascii="Arial" w:eastAsia="Times New Roman" w:hAnsi="Arial" w:cs="Arial"/>
                <w:color w:val="000000"/>
                <w:sz w:val="8"/>
                <w:szCs w:val="8"/>
                <w:lang w:eastAsia="sq-AL"/>
              </w:rPr>
              <w:br/>
              <w:t>III</w:t>
            </w:r>
          </w:p>
        </w:tc>
        <w:tc>
          <w:tcPr>
            <w:tcW w:w="442" w:type="pct"/>
            <w:tcBorders>
              <w:top w:val="nil"/>
              <w:left w:val="nil"/>
              <w:bottom w:val="single" w:sz="4" w:space="0" w:color="auto"/>
              <w:right w:val="single" w:sz="4" w:space="0" w:color="auto"/>
            </w:tcBorders>
            <w:shd w:val="clear" w:color="auto" w:fill="auto"/>
            <w:vAlign w:val="center"/>
            <w:hideMark/>
          </w:tcPr>
          <w:p w14:paraId="5DB0D9A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Projektligji propozohet në zbatim të neneve 81, pika 1 dhe 100 të Kushtetutës të Republikës së Shqipërisë si detyrim sipas marrëveshjes mes Republikës së Shqipërisë dhe Republikës së Francës.</w:t>
            </w:r>
            <w:r w:rsidRPr="00B6793F">
              <w:rPr>
                <w:rFonts w:ascii="Arial" w:eastAsia="Times New Roman" w:hAnsi="Arial" w:cs="Arial"/>
                <w:color w:val="000000"/>
                <w:sz w:val="8"/>
                <w:szCs w:val="8"/>
                <w:lang w:eastAsia="sq-AL"/>
              </w:rPr>
              <w:br/>
              <w:t>Akti rregullon procedurat për krijimin dhe funksionimin e liceut franko-shqiptar të shkencës dhe teknologjisë. Nëpërmjet aktit do të parashikohet mënyra e hapjes, forma juridike, mënyra e funksionimit, pagesës së mësuesve të huaj, kurrikula që do të zbatohet, institucionet që do të anghazhohen për mirëfuksionimin e licenës dhe përgjegjësitë respektive, forma e diplomës  etj.</w:t>
            </w:r>
          </w:p>
        </w:tc>
        <w:tc>
          <w:tcPr>
            <w:tcW w:w="555" w:type="pct"/>
            <w:tcBorders>
              <w:top w:val="nil"/>
              <w:left w:val="nil"/>
              <w:bottom w:val="single" w:sz="4" w:space="0" w:color="auto"/>
              <w:right w:val="single" w:sz="4" w:space="0" w:color="auto"/>
            </w:tcBorders>
            <w:shd w:val="clear" w:color="auto" w:fill="auto"/>
            <w:vAlign w:val="center"/>
            <w:hideMark/>
          </w:tcPr>
          <w:p w14:paraId="649A2CD6"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Akti do të përcaktojë mënyrën e organizimit dhe fuksionimit dhe të gjithë elementët organizativ dhe fuksional të liceut;                                                       </w:t>
            </w:r>
            <w:r w:rsidRPr="00B6793F">
              <w:rPr>
                <w:rFonts w:ascii="Arial" w:eastAsia="Times New Roman" w:hAnsi="Arial" w:cs="Arial"/>
                <w:color w:val="000000"/>
                <w:sz w:val="8"/>
                <w:szCs w:val="8"/>
                <w:lang w:eastAsia="sq-AL"/>
              </w:rPr>
              <w:br/>
              <w:t xml:space="preserve">2. Akti do të përcaktojë institucionet dhe detyrat e tyre për funksionimin me cilësi të liceut.                            </w:t>
            </w:r>
            <w:r w:rsidRPr="00B6793F">
              <w:rPr>
                <w:rFonts w:ascii="Arial" w:eastAsia="Times New Roman" w:hAnsi="Arial" w:cs="Arial"/>
                <w:color w:val="000000"/>
                <w:sz w:val="8"/>
                <w:szCs w:val="8"/>
                <w:lang w:eastAsia="sq-AL"/>
              </w:rPr>
              <w:br/>
              <w:t xml:space="preserve">3.Do të parashikohen efektet financiare, pagat e punonjësve shqiptar dhe të huaj, mbështetja për nxënësit etj.                       </w:t>
            </w:r>
          </w:p>
        </w:tc>
        <w:tc>
          <w:tcPr>
            <w:tcW w:w="385" w:type="pct"/>
            <w:tcBorders>
              <w:top w:val="nil"/>
              <w:left w:val="nil"/>
              <w:bottom w:val="single" w:sz="4" w:space="0" w:color="auto"/>
              <w:right w:val="single" w:sz="4" w:space="0" w:color="auto"/>
            </w:tcBorders>
            <w:shd w:val="clear" w:color="auto" w:fill="auto"/>
            <w:vAlign w:val="center"/>
            <w:hideMark/>
          </w:tcPr>
          <w:p w14:paraId="09B6F9C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0" w:type="pct"/>
            <w:tcBorders>
              <w:top w:val="nil"/>
              <w:left w:val="nil"/>
              <w:bottom w:val="single" w:sz="4" w:space="0" w:color="auto"/>
              <w:right w:val="single" w:sz="4" w:space="0" w:color="auto"/>
            </w:tcBorders>
            <w:shd w:val="clear" w:color="auto" w:fill="auto"/>
            <w:vAlign w:val="center"/>
            <w:hideMark/>
          </w:tcPr>
          <w:p w14:paraId="4B999160"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w:t>
            </w:r>
            <w:r w:rsidRPr="00B6793F">
              <w:rPr>
                <w:rFonts w:ascii="Arial" w:eastAsia="Times New Roman" w:hAnsi="Arial" w:cs="Arial"/>
                <w:color w:val="000000"/>
                <w:sz w:val="8"/>
                <w:szCs w:val="8"/>
                <w:lang w:eastAsia="sq-AL"/>
              </w:rPr>
              <w:br/>
              <w:t>Mbështesim zhvillimin e shkollave me orientim artistik dhe sportiv duke garantuar autonominë dhe mbështetjen e tyre financiare, si dhe ngremë një model të ri shkolle me drejtim shkencor dhe fokus</w:t>
            </w:r>
            <w:r w:rsidRPr="00B6793F">
              <w:rPr>
                <w:rFonts w:ascii="Arial" w:eastAsia="Times New Roman" w:hAnsi="Arial" w:cs="Arial"/>
                <w:color w:val="000000"/>
                <w:sz w:val="8"/>
                <w:szCs w:val="8"/>
                <w:lang w:eastAsia="sq-AL"/>
              </w:rPr>
              <w:br/>
              <w:t>tek inovacioni, duke filluar me hapjen e Liceut Franko-Shqiptar.</w:t>
            </w:r>
          </w:p>
        </w:tc>
        <w:tc>
          <w:tcPr>
            <w:tcW w:w="336" w:type="pct"/>
            <w:tcBorders>
              <w:top w:val="nil"/>
              <w:left w:val="nil"/>
              <w:bottom w:val="single" w:sz="4" w:space="0" w:color="auto"/>
              <w:right w:val="single" w:sz="4" w:space="0" w:color="auto"/>
            </w:tcBorders>
            <w:shd w:val="clear" w:color="auto" w:fill="auto"/>
            <w:vAlign w:val="center"/>
            <w:hideMark/>
          </w:tcPr>
          <w:p w14:paraId="5D6AE54B"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68" w:type="pct"/>
            <w:tcBorders>
              <w:top w:val="nil"/>
              <w:left w:val="nil"/>
              <w:bottom w:val="single" w:sz="4" w:space="0" w:color="auto"/>
              <w:right w:val="single" w:sz="4" w:space="0" w:color="auto"/>
            </w:tcBorders>
            <w:shd w:val="clear" w:color="auto" w:fill="auto"/>
            <w:vAlign w:val="center"/>
            <w:hideMark/>
          </w:tcPr>
          <w:p w14:paraId="68EB4AC8"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Vendim nr. 621, datë 22.10.2021 i Këshillit të Ministrave “Për miratimin e Strategjisë Kombëtare për Arsimin 2021-2026 dhe të Planit të Veprimit për zbatimin e saj”, </w:t>
            </w:r>
          </w:p>
        </w:tc>
        <w:tc>
          <w:tcPr>
            <w:tcW w:w="586" w:type="pct"/>
            <w:tcBorders>
              <w:top w:val="nil"/>
              <w:left w:val="nil"/>
              <w:bottom w:val="single" w:sz="4" w:space="0" w:color="auto"/>
              <w:right w:val="single" w:sz="4" w:space="0" w:color="auto"/>
            </w:tcBorders>
            <w:shd w:val="clear" w:color="auto" w:fill="auto"/>
            <w:vAlign w:val="center"/>
            <w:hideMark/>
          </w:tcPr>
          <w:p w14:paraId="25A0C103" w14:textId="77777777" w:rsidR="00B06A7D" w:rsidRPr="00B6793F" w:rsidRDefault="00B06A7D" w:rsidP="00B06A7D">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efekte financiare, ka efekte sociale pozitive tek fëmijët shqiptar brenda dhe jashtë vendit. </w:t>
            </w:r>
          </w:p>
        </w:tc>
      </w:tr>
    </w:tbl>
    <w:p w14:paraId="687058EF" w14:textId="2FB5F22F" w:rsidR="00B06A7D" w:rsidRPr="00B6793F" w:rsidRDefault="00B06A7D" w:rsidP="00AC5BDD">
      <w:pPr>
        <w:spacing w:after="0" w:line="240" w:lineRule="auto"/>
        <w:ind w:firstLine="284"/>
        <w:jc w:val="center"/>
        <w:rPr>
          <w:rFonts w:ascii="Garamond" w:hAnsi="Garamond"/>
          <w:b/>
          <w:sz w:val="24"/>
        </w:rPr>
      </w:pPr>
    </w:p>
    <w:p w14:paraId="7218CEC3" w14:textId="3CC0F8F0" w:rsidR="00735FB7" w:rsidRPr="00B6793F" w:rsidRDefault="00735FB7" w:rsidP="00AC5BDD">
      <w:pPr>
        <w:spacing w:after="0" w:line="240" w:lineRule="auto"/>
        <w:ind w:firstLine="284"/>
        <w:jc w:val="center"/>
        <w:rPr>
          <w:rFonts w:ascii="Garamond" w:hAnsi="Garamond"/>
          <w:b/>
          <w:sz w:val="24"/>
        </w:rPr>
      </w:pPr>
    </w:p>
    <w:p w14:paraId="521AF0D1" w14:textId="490C5D6A" w:rsidR="00735FB7" w:rsidRPr="00B6793F" w:rsidRDefault="00735FB7" w:rsidP="00AC5BDD">
      <w:pPr>
        <w:spacing w:after="0" w:line="240" w:lineRule="auto"/>
        <w:ind w:firstLine="284"/>
        <w:jc w:val="center"/>
        <w:rPr>
          <w:rFonts w:ascii="Garamond" w:hAnsi="Garamond"/>
          <w:b/>
          <w:sz w:val="24"/>
        </w:rPr>
      </w:pPr>
    </w:p>
    <w:p w14:paraId="7A688EEF" w14:textId="18406874" w:rsidR="008679C7" w:rsidRPr="00B6793F" w:rsidRDefault="008679C7" w:rsidP="00AC5BDD">
      <w:pPr>
        <w:spacing w:after="0" w:line="240" w:lineRule="auto"/>
        <w:ind w:firstLine="284"/>
        <w:jc w:val="center"/>
        <w:rPr>
          <w:rFonts w:ascii="Garamond" w:hAnsi="Garamond"/>
          <w:b/>
          <w:sz w:val="24"/>
        </w:rPr>
      </w:pPr>
    </w:p>
    <w:p w14:paraId="79F3E6E7" w14:textId="1CEE3809" w:rsidR="008679C7" w:rsidRPr="00B6793F" w:rsidRDefault="008679C7" w:rsidP="00AC5BDD">
      <w:pPr>
        <w:spacing w:after="0" w:line="240" w:lineRule="auto"/>
        <w:ind w:firstLine="284"/>
        <w:jc w:val="center"/>
        <w:rPr>
          <w:rFonts w:ascii="Garamond" w:hAnsi="Garamond"/>
          <w:b/>
          <w:sz w:val="24"/>
        </w:rPr>
      </w:pPr>
    </w:p>
    <w:p w14:paraId="79E87E84" w14:textId="674A9892" w:rsidR="008679C7" w:rsidRPr="00B6793F" w:rsidRDefault="008679C7" w:rsidP="00AC5BDD">
      <w:pPr>
        <w:spacing w:after="0" w:line="240" w:lineRule="auto"/>
        <w:ind w:firstLine="284"/>
        <w:jc w:val="center"/>
        <w:rPr>
          <w:rFonts w:ascii="Garamond" w:hAnsi="Garamond"/>
          <w:b/>
          <w:sz w:val="24"/>
        </w:rPr>
      </w:pPr>
    </w:p>
    <w:p w14:paraId="33CBF461" w14:textId="326AF0D3" w:rsidR="008679C7" w:rsidRPr="00B6793F" w:rsidRDefault="008679C7" w:rsidP="00AC5BDD">
      <w:pPr>
        <w:spacing w:after="0" w:line="240" w:lineRule="auto"/>
        <w:ind w:firstLine="284"/>
        <w:jc w:val="center"/>
        <w:rPr>
          <w:rFonts w:ascii="Garamond" w:hAnsi="Garamond"/>
          <w:b/>
          <w:sz w:val="24"/>
        </w:rPr>
      </w:pPr>
    </w:p>
    <w:p w14:paraId="4BA5A259" w14:textId="2C52060D" w:rsidR="008679C7" w:rsidRPr="00B6793F" w:rsidRDefault="008679C7" w:rsidP="00AC5BDD">
      <w:pPr>
        <w:spacing w:after="0" w:line="240" w:lineRule="auto"/>
        <w:ind w:firstLine="284"/>
        <w:jc w:val="center"/>
        <w:rPr>
          <w:rFonts w:ascii="Garamond" w:hAnsi="Garamond"/>
          <w:b/>
          <w:sz w:val="24"/>
        </w:rPr>
      </w:pPr>
    </w:p>
    <w:p w14:paraId="61BEF2C4" w14:textId="7574456E" w:rsidR="008679C7" w:rsidRPr="00B6793F" w:rsidRDefault="008679C7" w:rsidP="00AC5BDD">
      <w:pPr>
        <w:spacing w:after="0" w:line="240" w:lineRule="auto"/>
        <w:ind w:firstLine="284"/>
        <w:jc w:val="center"/>
        <w:rPr>
          <w:rFonts w:ascii="Garamond" w:hAnsi="Garamond"/>
          <w:b/>
          <w:sz w:val="24"/>
        </w:rPr>
      </w:pPr>
    </w:p>
    <w:p w14:paraId="08989350" w14:textId="60580B66" w:rsidR="008679C7" w:rsidRPr="00B6793F" w:rsidRDefault="008679C7" w:rsidP="00AC5BDD">
      <w:pPr>
        <w:spacing w:after="0" w:line="240" w:lineRule="auto"/>
        <w:ind w:firstLine="284"/>
        <w:jc w:val="center"/>
        <w:rPr>
          <w:rFonts w:ascii="Garamond" w:hAnsi="Garamond"/>
          <w:b/>
          <w:sz w:val="24"/>
        </w:rPr>
      </w:pPr>
    </w:p>
    <w:p w14:paraId="2CBA2FC2" w14:textId="7DC6E7EF" w:rsidR="008679C7" w:rsidRPr="00B6793F" w:rsidRDefault="008679C7" w:rsidP="00AC5BDD">
      <w:pPr>
        <w:spacing w:after="0" w:line="240" w:lineRule="auto"/>
        <w:ind w:firstLine="284"/>
        <w:jc w:val="center"/>
        <w:rPr>
          <w:rFonts w:ascii="Garamond" w:hAnsi="Garamond"/>
          <w:b/>
          <w:sz w:val="24"/>
        </w:rPr>
      </w:pPr>
    </w:p>
    <w:p w14:paraId="52BCC072" w14:textId="2E2FC2BC" w:rsidR="008679C7" w:rsidRPr="00B6793F" w:rsidRDefault="008679C7" w:rsidP="00AC5BDD">
      <w:pPr>
        <w:spacing w:after="0" w:line="240" w:lineRule="auto"/>
        <w:ind w:firstLine="284"/>
        <w:jc w:val="center"/>
        <w:rPr>
          <w:rFonts w:ascii="Garamond" w:hAnsi="Garamond"/>
          <w:b/>
          <w:sz w:val="24"/>
        </w:rPr>
      </w:pPr>
    </w:p>
    <w:p w14:paraId="794E80A8" w14:textId="53AAAF7B" w:rsidR="008679C7" w:rsidRPr="00B6793F" w:rsidRDefault="008679C7" w:rsidP="00AC5BDD">
      <w:pPr>
        <w:spacing w:after="0" w:line="240" w:lineRule="auto"/>
        <w:ind w:firstLine="284"/>
        <w:jc w:val="center"/>
        <w:rPr>
          <w:rFonts w:ascii="Garamond" w:hAnsi="Garamond"/>
          <w:b/>
          <w:sz w:val="24"/>
        </w:rPr>
      </w:pPr>
    </w:p>
    <w:p w14:paraId="561AE4AA" w14:textId="60C32592" w:rsidR="008679C7" w:rsidRPr="00B6793F" w:rsidRDefault="008679C7" w:rsidP="00AC5BDD">
      <w:pPr>
        <w:spacing w:after="0" w:line="240" w:lineRule="auto"/>
        <w:ind w:firstLine="284"/>
        <w:jc w:val="center"/>
        <w:rPr>
          <w:rFonts w:ascii="Garamond" w:hAnsi="Garamond"/>
          <w:b/>
          <w:sz w:val="24"/>
        </w:rPr>
      </w:pPr>
    </w:p>
    <w:p w14:paraId="39854DBF" w14:textId="4A046DF4" w:rsidR="008679C7" w:rsidRPr="00B6793F" w:rsidRDefault="008679C7" w:rsidP="00AC5BDD">
      <w:pPr>
        <w:spacing w:after="0" w:line="240" w:lineRule="auto"/>
        <w:ind w:firstLine="284"/>
        <w:jc w:val="center"/>
        <w:rPr>
          <w:rFonts w:ascii="Garamond" w:hAnsi="Garamond"/>
          <w:b/>
          <w:sz w:val="24"/>
        </w:rPr>
      </w:pPr>
    </w:p>
    <w:p w14:paraId="26FB141E" w14:textId="093F7AA6" w:rsidR="008679C7" w:rsidRPr="00B6793F" w:rsidRDefault="008679C7" w:rsidP="00AC5BDD">
      <w:pPr>
        <w:spacing w:after="0" w:line="240" w:lineRule="auto"/>
        <w:ind w:firstLine="284"/>
        <w:jc w:val="center"/>
        <w:rPr>
          <w:rFonts w:ascii="Garamond" w:hAnsi="Garamond"/>
          <w:b/>
          <w:sz w:val="24"/>
        </w:rPr>
      </w:pPr>
    </w:p>
    <w:p w14:paraId="6350EB2C" w14:textId="325AF205" w:rsidR="008679C7" w:rsidRPr="00B6793F" w:rsidRDefault="008679C7" w:rsidP="00AC5BDD">
      <w:pPr>
        <w:spacing w:after="0" w:line="240" w:lineRule="auto"/>
        <w:ind w:firstLine="284"/>
        <w:jc w:val="center"/>
        <w:rPr>
          <w:rFonts w:ascii="Garamond" w:hAnsi="Garamond"/>
          <w:b/>
          <w:sz w:val="24"/>
        </w:rPr>
      </w:pPr>
    </w:p>
    <w:p w14:paraId="66036708" w14:textId="2B94871B" w:rsidR="008679C7" w:rsidRPr="00B6793F" w:rsidRDefault="008679C7" w:rsidP="00AC5BDD">
      <w:pPr>
        <w:spacing w:after="0" w:line="240" w:lineRule="auto"/>
        <w:ind w:firstLine="284"/>
        <w:jc w:val="center"/>
        <w:rPr>
          <w:rFonts w:ascii="Garamond" w:hAnsi="Garamond"/>
          <w:b/>
          <w:sz w:val="24"/>
        </w:rPr>
      </w:pPr>
    </w:p>
    <w:p w14:paraId="7C0FF18B" w14:textId="0AB2606E" w:rsidR="008679C7" w:rsidRPr="00B6793F" w:rsidRDefault="008679C7" w:rsidP="00AC5BDD">
      <w:pPr>
        <w:spacing w:after="0" w:line="240" w:lineRule="auto"/>
        <w:ind w:firstLine="284"/>
        <w:jc w:val="center"/>
        <w:rPr>
          <w:rFonts w:ascii="Garamond" w:hAnsi="Garamond"/>
          <w:b/>
          <w:sz w:val="24"/>
        </w:rPr>
      </w:pPr>
    </w:p>
    <w:p w14:paraId="782A040B" w14:textId="7EEA2103" w:rsidR="008679C7" w:rsidRPr="00B6793F" w:rsidRDefault="008679C7" w:rsidP="00AC5BDD">
      <w:pPr>
        <w:spacing w:after="0" w:line="240" w:lineRule="auto"/>
        <w:ind w:firstLine="284"/>
        <w:jc w:val="center"/>
        <w:rPr>
          <w:rFonts w:ascii="Garamond" w:hAnsi="Garamond"/>
          <w:b/>
          <w:sz w:val="24"/>
        </w:rPr>
      </w:pPr>
    </w:p>
    <w:p w14:paraId="77017C94" w14:textId="0F1529C9" w:rsidR="008679C7" w:rsidRPr="00B6793F" w:rsidRDefault="008679C7" w:rsidP="00AC5BDD">
      <w:pPr>
        <w:spacing w:after="0" w:line="240" w:lineRule="auto"/>
        <w:ind w:firstLine="284"/>
        <w:jc w:val="center"/>
        <w:rPr>
          <w:rFonts w:ascii="Garamond" w:hAnsi="Garamond"/>
          <w:b/>
          <w:sz w:val="24"/>
        </w:rPr>
      </w:pPr>
    </w:p>
    <w:p w14:paraId="39F0CCC7" w14:textId="77777777" w:rsidR="008679C7" w:rsidRPr="00B6793F" w:rsidRDefault="008679C7" w:rsidP="00AC5BDD">
      <w:pPr>
        <w:spacing w:after="0" w:line="240" w:lineRule="auto"/>
        <w:ind w:firstLine="284"/>
        <w:jc w:val="center"/>
        <w:rPr>
          <w:rFonts w:ascii="Garamond" w:hAnsi="Garamond"/>
          <w:b/>
          <w:sz w:val="24"/>
        </w:rPr>
      </w:pPr>
    </w:p>
    <w:p w14:paraId="246D4417" w14:textId="0ED9DB8F" w:rsidR="008679C7" w:rsidRPr="00B6793F" w:rsidRDefault="008679C7" w:rsidP="00AC5BDD">
      <w:pPr>
        <w:spacing w:after="0" w:line="240" w:lineRule="auto"/>
        <w:ind w:firstLine="284"/>
        <w:jc w:val="center"/>
        <w:rPr>
          <w:rFonts w:ascii="Garamond" w:hAnsi="Garamond"/>
          <w:b/>
          <w:sz w:val="24"/>
        </w:rPr>
      </w:pPr>
    </w:p>
    <w:tbl>
      <w:tblPr>
        <w:tblW w:w="5085" w:type="pct"/>
        <w:jc w:val="center"/>
        <w:tblLook w:val="04A0" w:firstRow="1" w:lastRow="0" w:firstColumn="1" w:lastColumn="0" w:noHBand="0" w:noVBand="1"/>
      </w:tblPr>
      <w:tblGrid>
        <w:gridCol w:w="418"/>
        <w:gridCol w:w="1072"/>
        <w:gridCol w:w="919"/>
        <w:gridCol w:w="925"/>
        <w:gridCol w:w="845"/>
        <w:gridCol w:w="3180"/>
        <w:gridCol w:w="1444"/>
        <w:gridCol w:w="1424"/>
        <w:gridCol w:w="1050"/>
        <w:gridCol w:w="783"/>
        <w:gridCol w:w="1061"/>
        <w:gridCol w:w="1064"/>
      </w:tblGrid>
      <w:tr w:rsidR="008679C7" w:rsidRPr="00B6793F" w14:paraId="7ABC7EDE" w14:textId="77777777" w:rsidTr="008679C7">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5A228E5D" w14:textId="77777777" w:rsidR="008679C7" w:rsidRPr="00B6793F" w:rsidRDefault="008679C7" w:rsidP="008679C7">
            <w:pPr>
              <w:spacing w:after="0" w:line="240" w:lineRule="auto"/>
              <w:jc w:val="center"/>
              <w:rPr>
                <w:rFonts w:ascii="Arial" w:eastAsia="Times New Roman" w:hAnsi="Arial" w:cs="Arial"/>
                <w:b/>
                <w:bCs/>
                <w:color w:val="000000"/>
                <w:sz w:val="12"/>
                <w:szCs w:val="8"/>
                <w:lang w:eastAsia="sq-AL"/>
              </w:rPr>
            </w:pPr>
            <w:bookmarkStart w:id="5" w:name="RANGE!A1:L27"/>
            <w:r w:rsidRPr="00B6793F">
              <w:rPr>
                <w:rFonts w:ascii="Arial" w:eastAsia="Times New Roman" w:hAnsi="Arial" w:cs="Arial"/>
                <w:b/>
                <w:bCs/>
                <w:color w:val="000000"/>
                <w:sz w:val="12"/>
                <w:szCs w:val="8"/>
                <w:lang w:eastAsia="sq-AL"/>
              </w:rPr>
              <w:t>PROGRAMI I PËRGJITHSHËM ANALITIK I PROJEKTAKTEVE PËR VITIN 2026</w:t>
            </w:r>
            <w:bookmarkEnd w:id="5"/>
          </w:p>
        </w:tc>
      </w:tr>
      <w:tr w:rsidR="008679C7" w:rsidRPr="00B6793F" w14:paraId="5F673DFB" w14:textId="77777777" w:rsidTr="008679C7">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2C5BF8DF" w14:textId="77777777" w:rsidR="008679C7" w:rsidRPr="00B6793F" w:rsidRDefault="008679C7" w:rsidP="008679C7">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SHENDETESISE DHE MIREQENIES SOCIALE</w:t>
            </w:r>
          </w:p>
        </w:tc>
      </w:tr>
      <w:tr w:rsidR="008679C7" w:rsidRPr="00B6793F" w14:paraId="3A063540"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000000" w:fill="C00000"/>
            <w:vAlign w:val="center"/>
            <w:hideMark/>
          </w:tcPr>
          <w:p w14:paraId="16C19E27"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378" w:type="pct"/>
            <w:tcBorders>
              <w:top w:val="nil"/>
              <w:left w:val="nil"/>
              <w:bottom w:val="single" w:sz="4" w:space="0" w:color="auto"/>
              <w:right w:val="single" w:sz="4" w:space="0" w:color="auto"/>
            </w:tcBorders>
            <w:shd w:val="clear" w:color="000000" w:fill="C00000"/>
            <w:vAlign w:val="center"/>
            <w:hideMark/>
          </w:tcPr>
          <w:p w14:paraId="1CDCFB16"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24" w:type="pct"/>
            <w:tcBorders>
              <w:top w:val="nil"/>
              <w:left w:val="nil"/>
              <w:bottom w:val="single" w:sz="4" w:space="0" w:color="auto"/>
              <w:right w:val="single" w:sz="4" w:space="0" w:color="auto"/>
            </w:tcBorders>
            <w:shd w:val="clear" w:color="000000" w:fill="C00000"/>
            <w:vAlign w:val="center"/>
            <w:hideMark/>
          </w:tcPr>
          <w:p w14:paraId="64994851"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26" w:type="pct"/>
            <w:tcBorders>
              <w:top w:val="nil"/>
              <w:left w:val="nil"/>
              <w:bottom w:val="single" w:sz="4" w:space="0" w:color="auto"/>
              <w:right w:val="single" w:sz="4" w:space="0" w:color="auto"/>
            </w:tcBorders>
            <w:shd w:val="clear" w:color="000000" w:fill="C00000"/>
            <w:vAlign w:val="center"/>
            <w:hideMark/>
          </w:tcPr>
          <w:p w14:paraId="677836A5"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298" w:type="pct"/>
            <w:tcBorders>
              <w:top w:val="nil"/>
              <w:left w:val="nil"/>
              <w:bottom w:val="single" w:sz="4" w:space="0" w:color="auto"/>
              <w:right w:val="single" w:sz="4" w:space="0" w:color="auto"/>
            </w:tcBorders>
            <w:shd w:val="clear" w:color="000000" w:fill="C00000"/>
            <w:vAlign w:val="center"/>
            <w:hideMark/>
          </w:tcPr>
          <w:p w14:paraId="09D55560"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1121" w:type="pct"/>
            <w:tcBorders>
              <w:top w:val="nil"/>
              <w:left w:val="nil"/>
              <w:bottom w:val="single" w:sz="4" w:space="0" w:color="auto"/>
              <w:right w:val="single" w:sz="4" w:space="0" w:color="auto"/>
            </w:tcBorders>
            <w:shd w:val="clear" w:color="000000" w:fill="C00000"/>
            <w:vAlign w:val="center"/>
            <w:hideMark/>
          </w:tcPr>
          <w:p w14:paraId="5838F9E6"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09" w:type="pct"/>
            <w:tcBorders>
              <w:top w:val="nil"/>
              <w:left w:val="nil"/>
              <w:bottom w:val="single" w:sz="4" w:space="0" w:color="auto"/>
              <w:right w:val="single" w:sz="4" w:space="0" w:color="auto"/>
            </w:tcBorders>
            <w:shd w:val="clear" w:color="000000" w:fill="C00000"/>
            <w:vAlign w:val="center"/>
            <w:hideMark/>
          </w:tcPr>
          <w:p w14:paraId="1CD7C4F9"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502" w:type="pct"/>
            <w:tcBorders>
              <w:top w:val="nil"/>
              <w:left w:val="nil"/>
              <w:bottom w:val="single" w:sz="4" w:space="0" w:color="auto"/>
              <w:right w:val="single" w:sz="4" w:space="0" w:color="auto"/>
            </w:tcBorders>
            <w:shd w:val="clear" w:color="000000" w:fill="C00000"/>
            <w:vAlign w:val="center"/>
            <w:hideMark/>
          </w:tcPr>
          <w:p w14:paraId="1CAC44D3"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370" w:type="pct"/>
            <w:tcBorders>
              <w:top w:val="nil"/>
              <w:left w:val="nil"/>
              <w:bottom w:val="single" w:sz="4" w:space="0" w:color="auto"/>
              <w:right w:val="single" w:sz="4" w:space="0" w:color="auto"/>
            </w:tcBorders>
            <w:shd w:val="clear" w:color="000000" w:fill="C00000"/>
            <w:vAlign w:val="center"/>
            <w:hideMark/>
          </w:tcPr>
          <w:p w14:paraId="17D90741"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276" w:type="pct"/>
            <w:tcBorders>
              <w:top w:val="nil"/>
              <w:left w:val="nil"/>
              <w:bottom w:val="single" w:sz="4" w:space="0" w:color="auto"/>
              <w:right w:val="single" w:sz="4" w:space="0" w:color="auto"/>
            </w:tcBorders>
            <w:shd w:val="clear" w:color="000000" w:fill="C00000"/>
            <w:vAlign w:val="center"/>
            <w:hideMark/>
          </w:tcPr>
          <w:p w14:paraId="7BF80FB8"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374" w:type="pct"/>
            <w:tcBorders>
              <w:top w:val="nil"/>
              <w:left w:val="nil"/>
              <w:bottom w:val="single" w:sz="4" w:space="0" w:color="auto"/>
              <w:right w:val="single" w:sz="4" w:space="0" w:color="auto"/>
            </w:tcBorders>
            <w:shd w:val="clear" w:color="000000" w:fill="C00000"/>
            <w:vAlign w:val="center"/>
            <w:hideMark/>
          </w:tcPr>
          <w:p w14:paraId="767FEE24"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376" w:type="pct"/>
            <w:tcBorders>
              <w:top w:val="nil"/>
              <w:left w:val="nil"/>
              <w:bottom w:val="single" w:sz="4" w:space="0" w:color="auto"/>
              <w:right w:val="single" w:sz="4" w:space="0" w:color="auto"/>
            </w:tcBorders>
            <w:shd w:val="clear" w:color="000000" w:fill="C00000"/>
            <w:vAlign w:val="center"/>
            <w:hideMark/>
          </w:tcPr>
          <w:p w14:paraId="24DFD54A" w14:textId="77777777" w:rsidR="008679C7" w:rsidRPr="00B6793F" w:rsidRDefault="008679C7" w:rsidP="008679C7">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8679C7" w:rsidRPr="00B6793F" w14:paraId="70019AFA"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1B35A90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378" w:type="pct"/>
            <w:tcBorders>
              <w:top w:val="nil"/>
              <w:left w:val="nil"/>
              <w:bottom w:val="single" w:sz="4" w:space="0" w:color="auto"/>
              <w:right w:val="single" w:sz="4" w:space="0" w:color="auto"/>
            </w:tcBorders>
            <w:shd w:val="clear" w:color="auto" w:fill="auto"/>
            <w:vAlign w:val="center"/>
            <w:hideMark/>
          </w:tcPr>
          <w:p w14:paraId="74A21DA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VKM nr. 550, datë 27.8.2014, "Për miratimin e rregullores "Për mbrojtjen e sigurisë dhe shëndetit të punëmarrësve nga risqet e lidhura me ekspozimin ndaj agjentë biologiikë në punë",</w:t>
            </w:r>
          </w:p>
        </w:tc>
        <w:tc>
          <w:tcPr>
            <w:tcW w:w="324" w:type="pct"/>
            <w:tcBorders>
              <w:top w:val="nil"/>
              <w:left w:val="nil"/>
              <w:bottom w:val="single" w:sz="4" w:space="0" w:color="auto"/>
              <w:right w:val="single" w:sz="4" w:space="0" w:color="auto"/>
            </w:tcBorders>
            <w:shd w:val="clear" w:color="auto" w:fill="auto"/>
            <w:noWrap/>
            <w:vAlign w:val="center"/>
            <w:hideMark/>
          </w:tcPr>
          <w:p w14:paraId="0A594F2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1F3EC58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462C28D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   </w:t>
            </w:r>
          </w:p>
        </w:tc>
        <w:tc>
          <w:tcPr>
            <w:tcW w:w="1121" w:type="pct"/>
            <w:tcBorders>
              <w:top w:val="nil"/>
              <w:left w:val="nil"/>
              <w:bottom w:val="single" w:sz="4" w:space="0" w:color="auto"/>
              <w:right w:val="single" w:sz="4" w:space="0" w:color="auto"/>
            </w:tcBorders>
            <w:shd w:val="clear" w:color="auto" w:fill="auto"/>
            <w:vAlign w:val="center"/>
            <w:hideMark/>
          </w:tcPr>
          <w:p w14:paraId="2727189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Transpozimi i DIREKTIVËS 2000/54/KE TË PARLAMENTIT EVROPIAN DHE TË KËSHILLIT të 18 shtatorit 2000 mbi mbrojtjen e punëtorëve nga rreziqet që lidhen me ekspozimin ndaj agjentëve biologjikë në punë (direktiva e shtatë individuale sipas kuptimit të nenit 16(1) të Direktivës 89/391/KEE):</w:t>
            </w:r>
            <w:r w:rsidRPr="00B6793F">
              <w:rPr>
                <w:rFonts w:ascii="Arial" w:eastAsia="Times New Roman" w:hAnsi="Arial" w:cs="Arial"/>
                <w:b/>
                <w:bCs/>
                <w:color w:val="000000"/>
                <w:sz w:val="8"/>
                <w:szCs w:val="8"/>
                <w:lang w:eastAsia="sq-AL"/>
              </w:rPr>
              <w:br/>
              <w:t>Ndryshuar nga:</w:t>
            </w:r>
            <w:r w:rsidRPr="00B6793F">
              <w:rPr>
                <w:rFonts w:ascii="Arial" w:eastAsia="Times New Roman" w:hAnsi="Arial" w:cs="Arial"/>
                <w:color w:val="000000"/>
                <w:sz w:val="8"/>
                <w:szCs w:val="8"/>
                <w:lang w:eastAsia="sq-AL"/>
              </w:rPr>
              <w:t xml:space="preserve"> </w:t>
            </w:r>
            <w:r w:rsidRPr="00B6793F">
              <w:rPr>
                <w:rFonts w:ascii="Arial" w:eastAsia="Times New Roman" w:hAnsi="Arial" w:cs="Arial"/>
                <w:b/>
                <w:bCs/>
                <w:color w:val="000000"/>
                <w:sz w:val="8"/>
                <w:szCs w:val="8"/>
                <w:lang w:eastAsia="sq-AL"/>
              </w:rPr>
              <w:t>Direktiva e Komisionit (BE) 2019/1833 e 24 tetorit 2019</w:t>
            </w:r>
            <w:r w:rsidRPr="00B6793F">
              <w:rPr>
                <w:rFonts w:ascii="Arial" w:eastAsia="Times New Roman" w:hAnsi="Arial" w:cs="Arial"/>
                <w:color w:val="000000"/>
                <w:sz w:val="8"/>
                <w:szCs w:val="8"/>
                <w:lang w:eastAsia="sq-AL"/>
              </w:rPr>
              <w:t xml:space="preserve"> që ndryshon Shtojcat I, III, V dhe VI të Direktivës 2000/54/KE të Parlamentit Evropian dhe të Këshillit në lidhje me rregullimet thjesht teknike OJ L 279, 31.10.2019, f. 54-79 dhe D</w:t>
            </w:r>
            <w:r w:rsidRPr="00B6793F">
              <w:rPr>
                <w:rFonts w:ascii="Arial" w:eastAsia="Times New Roman" w:hAnsi="Arial" w:cs="Arial"/>
                <w:b/>
                <w:bCs/>
                <w:color w:val="000000"/>
                <w:sz w:val="8"/>
                <w:szCs w:val="8"/>
                <w:lang w:eastAsia="sq-AL"/>
              </w:rPr>
              <w:t>irektiva e Komisionit (BE) 2020/739 e 3 qershorit 2020</w:t>
            </w:r>
            <w:r w:rsidRPr="00B6793F">
              <w:rPr>
                <w:rFonts w:ascii="Arial" w:eastAsia="Times New Roman" w:hAnsi="Arial" w:cs="Arial"/>
                <w:color w:val="000000"/>
                <w:sz w:val="8"/>
                <w:szCs w:val="8"/>
                <w:lang w:eastAsia="sq-AL"/>
              </w:rPr>
              <w:t xml:space="preserve"> që ndryshon Shtojcën III të Direktivës 2000/54/KE të Parlamentit Evropian dhe të Këshillit, në lidhje me përfshirjen e SARS-CoV-2 në listën e agjentëve biologjikë të njohur për infektimin e njerëzve dhe që ndryshon Direktivën e Komisionit (BE) 2019/1833.</w:t>
            </w:r>
            <w:r w:rsidRPr="00B6793F">
              <w:rPr>
                <w:rFonts w:ascii="Arial" w:eastAsia="Times New Roman" w:hAnsi="Arial" w:cs="Arial"/>
                <w:b/>
                <w:bCs/>
                <w:color w:val="000000"/>
                <w:sz w:val="8"/>
                <w:szCs w:val="8"/>
                <w:lang w:eastAsia="sq-AL"/>
              </w:rPr>
              <w:t xml:space="preserve"> Ligji  nr. 10237 date 18.02.2010 "Per sigurine dhe shendetin ne pune" </w:t>
            </w:r>
          </w:p>
        </w:tc>
        <w:tc>
          <w:tcPr>
            <w:tcW w:w="509" w:type="pct"/>
            <w:tcBorders>
              <w:top w:val="nil"/>
              <w:left w:val="nil"/>
              <w:bottom w:val="single" w:sz="4" w:space="0" w:color="auto"/>
              <w:right w:val="single" w:sz="4" w:space="0" w:color="auto"/>
            </w:tcBorders>
            <w:shd w:val="clear" w:color="auto" w:fill="auto"/>
            <w:vAlign w:val="center"/>
            <w:hideMark/>
          </w:tcPr>
          <w:p w14:paraId="21E849C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vlerat limit të ekspozimit dhe rregullat e sigurisë dhe shëndetit në punën ndaj agjentëve biologjike në perputhje me kërkesat/rregullat e BE</w:t>
            </w:r>
          </w:p>
        </w:tc>
        <w:tc>
          <w:tcPr>
            <w:tcW w:w="502" w:type="pct"/>
            <w:tcBorders>
              <w:top w:val="nil"/>
              <w:left w:val="nil"/>
              <w:bottom w:val="single" w:sz="4" w:space="0" w:color="auto"/>
              <w:right w:val="single" w:sz="4" w:space="0" w:color="auto"/>
            </w:tcBorders>
            <w:shd w:val="clear" w:color="auto" w:fill="auto"/>
            <w:vAlign w:val="center"/>
            <w:hideMark/>
          </w:tcPr>
          <w:p w14:paraId="6764269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w:t>
            </w:r>
          </w:p>
        </w:tc>
        <w:tc>
          <w:tcPr>
            <w:tcW w:w="370" w:type="pct"/>
            <w:tcBorders>
              <w:top w:val="nil"/>
              <w:left w:val="nil"/>
              <w:bottom w:val="single" w:sz="4" w:space="0" w:color="auto"/>
              <w:right w:val="single" w:sz="4" w:space="0" w:color="auto"/>
            </w:tcBorders>
            <w:shd w:val="clear" w:color="auto" w:fill="auto"/>
            <w:vAlign w:val="center"/>
            <w:hideMark/>
          </w:tcPr>
          <w:p w14:paraId="08298F5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3D6D4C6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2518198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2898264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mjedisore, ekonomike</w:t>
            </w:r>
          </w:p>
        </w:tc>
      </w:tr>
      <w:tr w:rsidR="008679C7" w:rsidRPr="00B6793F" w14:paraId="0B0C5360"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08A36E9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378" w:type="pct"/>
            <w:tcBorders>
              <w:top w:val="nil"/>
              <w:left w:val="nil"/>
              <w:bottom w:val="single" w:sz="4" w:space="0" w:color="auto"/>
              <w:right w:val="single" w:sz="4" w:space="0" w:color="auto"/>
            </w:tcBorders>
            <w:shd w:val="clear" w:color="auto" w:fill="auto"/>
            <w:vAlign w:val="center"/>
            <w:hideMark/>
          </w:tcPr>
          <w:p w14:paraId="00D5935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për përcaktimin e llojeve, kritereve dhe procedurave për ofrimin e kujdesit alternativ, si dhe për funksionimin e komisionit shumëdisiplinar.</w:t>
            </w:r>
          </w:p>
        </w:tc>
        <w:tc>
          <w:tcPr>
            <w:tcW w:w="324" w:type="pct"/>
            <w:tcBorders>
              <w:top w:val="nil"/>
              <w:left w:val="nil"/>
              <w:bottom w:val="single" w:sz="4" w:space="0" w:color="auto"/>
              <w:right w:val="single" w:sz="4" w:space="0" w:color="auto"/>
            </w:tcBorders>
            <w:shd w:val="clear" w:color="auto" w:fill="auto"/>
            <w:noWrap/>
            <w:vAlign w:val="center"/>
            <w:hideMark/>
          </w:tcPr>
          <w:p w14:paraId="1C82EC5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65B2919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0E89139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3BC2021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Propozimi i këtij projektakti synon të krijojë një bazë të qartë dhe të unifikuar për organizimin dhe ofrimin e kujdesit alternativ për fëmijët në Shqipëri. Ky projektakt synon të harmonizojë kriteret, procedurat dhe funksionimin institucional, duke siguruar mbrojtje të qëndrueshme për fëmijët dhe standarde të njëjta për të gjitha format e kujdesit alternativ. </w:t>
            </w:r>
            <w:r w:rsidRPr="00B6793F">
              <w:rPr>
                <w:rFonts w:ascii="Arial" w:eastAsia="Times New Roman" w:hAnsi="Arial" w:cs="Arial"/>
                <w:b/>
                <w:bCs/>
                <w:color w:val="000000"/>
                <w:sz w:val="8"/>
                <w:szCs w:val="8"/>
                <w:lang w:eastAsia="sq-AL"/>
              </w:rPr>
              <w:t>Nenet 8, pika 5,  12, pika 7 dhe 26, pika 3 te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1CD8067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procesin e përcaktimit të llojit të kujdesit alternativ, kriteret dhe procedurat për ofrimin e tij, duke përfshirë shqyrtimin e kërkesave, regjistrimin, trajnimet dhe përfundimin e shërbimit. Gjithashtu, përcakton funksionimin e komisionit shumëdisiplinar, përbërjen, rolet dhe përgjegjësitë e tij, si dhe mënyrën e koordinimit me strukturat lokale dhe institucionet përkatëse. Qëllimi është të sigurohet një proces i qartë, transparent dhe i standardizuar për mbrojtjen e fëmijëve në të gjithë vendin.</w:t>
            </w:r>
          </w:p>
        </w:tc>
        <w:tc>
          <w:tcPr>
            <w:tcW w:w="502" w:type="pct"/>
            <w:tcBorders>
              <w:top w:val="nil"/>
              <w:left w:val="nil"/>
              <w:bottom w:val="single" w:sz="4" w:space="0" w:color="auto"/>
              <w:right w:val="single" w:sz="4" w:space="0" w:color="auto"/>
            </w:tcBorders>
            <w:shd w:val="clear" w:color="auto" w:fill="auto"/>
            <w:vAlign w:val="center"/>
            <w:hideMark/>
          </w:tcPr>
          <w:p w14:paraId="267C438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0837F63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65ECE00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B5BAD7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171B3D5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8679C7" w:rsidRPr="00B6793F" w14:paraId="625CCC2B"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72E7428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378" w:type="pct"/>
            <w:tcBorders>
              <w:top w:val="nil"/>
              <w:left w:val="nil"/>
              <w:bottom w:val="single" w:sz="4" w:space="0" w:color="auto"/>
              <w:right w:val="single" w:sz="4" w:space="0" w:color="auto"/>
            </w:tcBorders>
            <w:shd w:val="clear" w:color="auto" w:fill="auto"/>
            <w:vAlign w:val="center"/>
            <w:hideMark/>
          </w:tcPr>
          <w:p w14:paraId="2CEFCE7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për organizimin, funksionimin dhe qasjen në regjistrin e kujdesit alternativ në familje</w:t>
            </w:r>
          </w:p>
        </w:tc>
        <w:tc>
          <w:tcPr>
            <w:tcW w:w="324" w:type="pct"/>
            <w:tcBorders>
              <w:top w:val="nil"/>
              <w:left w:val="nil"/>
              <w:bottom w:val="single" w:sz="4" w:space="0" w:color="auto"/>
              <w:right w:val="single" w:sz="4" w:space="0" w:color="auto"/>
            </w:tcBorders>
            <w:shd w:val="clear" w:color="auto" w:fill="auto"/>
            <w:noWrap/>
            <w:vAlign w:val="center"/>
            <w:hideMark/>
          </w:tcPr>
          <w:p w14:paraId="06CFB51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69623C3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298" w:type="pct"/>
            <w:tcBorders>
              <w:top w:val="nil"/>
              <w:left w:val="nil"/>
              <w:bottom w:val="single" w:sz="4" w:space="0" w:color="auto"/>
              <w:right w:val="single" w:sz="4" w:space="0" w:color="auto"/>
            </w:tcBorders>
            <w:shd w:val="clear" w:color="auto" w:fill="auto"/>
            <w:vAlign w:val="center"/>
            <w:hideMark/>
          </w:tcPr>
          <w:p w14:paraId="78AD118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2286321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synon të vendosë një kuadër të qartë dhe të harmonizuar për organizimin dhe funksionimin e regjistrit të kujdesit alternativ në familje, duke e integruar këtë proces në Sistemin Elektronik të Shërbimeve Sociale. Regjstri do të përmbajë informacion të detajuar për regjistrimin, trajnimin, monitorimin dhe përfundimin e kujdesit familjar dhe do të lehtësojë qasjen, koordinimin dhe transparencën e të dhënave mbi fëmijët e vendosur në familjet kujdestare. </w:t>
            </w:r>
            <w:r w:rsidRPr="00B6793F">
              <w:rPr>
                <w:rFonts w:ascii="Arial" w:eastAsia="Times New Roman" w:hAnsi="Arial" w:cs="Arial"/>
                <w:b/>
                <w:bCs/>
                <w:color w:val="000000"/>
                <w:sz w:val="8"/>
                <w:szCs w:val="8"/>
                <w:lang w:eastAsia="sq-AL"/>
              </w:rPr>
              <w:t>Neni 13, pika 4 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113BC81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procedurat për organizimin,  funksionimin dhe përdorimin e Regjistrit Elektronik të Kujdesit Alternativ në Familje, pjesë e Sistemit Elektronik të Shërbimeve Sociale, për të garantuar koordinim institucional, transparencë dhe mbrojtje të vazhdueshme për fëmijët.</w:t>
            </w:r>
          </w:p>
        </w:tc>
        <w:tc>
          <w:tcPr>
            <w:tcW w:w="502" w:type="pct"/>
            <w:tcBorders>
              <w:top w:val="nil"/>
              <w:left w:val="nil"/>
              <w:bottom w:val="single" w:sz="4" w:space="0" w:color="auto"/>
              <w:right w:val="single" w:sz="4" w:space="0" w:color="auto"/>
            </w:tcBorders>
            <w:shd w:val="clear" w:color="auto" w:fill="auto"/>
            <w:vAlign w:val="center"/>
            <w:hideMark/>
          </w:tcPr>
          <w:p w14:paraId="3D76DA6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13A4FA3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3B20835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695BC5F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00C6B6B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8679C7" w:rsidRPr="00B6793F" w14:paraId="1F6FD4E5"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D117C3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378" w:type="pct"/>
            <w:tcBorders>
              <w:top w:val="nil"/>
              <w:left w:val="nil"/>
              <w:bottom w:val="single" w:sz="4" w:space="0" w:color="auto"/>
              <w:right w:val="single" w:sz="4" w:space="0" w:color="auto"/>
            </w:tcBorders>
            <w:shd w:val="clear" w:color="auto" w:fill="auto"/>
            <w:vAlign w:val="center"/>
            <w:hideMark/>
          </w:tcPr>
          <w:p w14:paraId="42D7332E"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procedurave për manaxhimin e rastit dhe përgatitjen e fëmijës për vendosje në kujdes alternativ në familje" </w:t>
            </w:r>
          </w:p>
        </w:tc>
        <w:tc>
          <w:tcPr>
            <w:tcW w:w="324" w:type="pct"/>
            <w:tcBorders>
              <w:top w:val="nil"/>
              <w:left w:val="nil"/>
              <w:bottom w:val="single" w:sz="4" w:space="0" w:color="auto"/>
              <w:right w:val="single" w:sz="4" w:space="0" w:color="auto"/>
            </w:tcBorders>
            <w:shd w:val="clear" w:color="auto" w:fill="auto"/>
            <w:noWrap/>
            <w:vAlign w:val="center"/>
            <w:hideMark/>
          </w:tcPr>
          <w:p w14:paraId="54D3467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4842825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3A8F384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236E81C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synon të vendosë një kuadër të qartë dhe të standardizuar për manaxhimin e rasteve të fëmijëve që kanë nevojë për kujdes alternativ në familje, duke siguruar një proces të strukturuar dhe të koordinuar ndërmjet institucioneve dhe aktorëve përkatës. Ky akt synon të rrisë sigurinë, transparencën dhe mbrojtjen e të drejtave të fëmijëve gjatë gjithë procesit të vendosjes në kujdes alternativ në familje. </w:t>
            </w:r>
            <w:r w:rsidRPr="00B6793F">
              <w:rPr>
                <w:rFonts w:ascii="Arial" w:eastAsia="Times New Roman" w:hAnsi="Arial" w:cs="Arial"/>
                <w:b/>
                <w:bCs/>
                <w:color w:val="000000"/>
                <w:sz w:val="8"/>
                <w:szCs w:val="8"/>
                <w:lang w:eastAsia="sq-AL"/>
              </w:rPr>
              <w:t>Nenet 14, pika 3  dhe 16, pika 3 te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6175EA3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përcakton procedurat për manaxhimin e rastit, duke përfshirë identifikimin e nevojave të fëmijës, vlerësimin e kushteve, përgatitjen psiko-sociale dhe ndërhyrjet mbështetëse për fëmijën dhe familjen biologjike. Ai gjithashtu rregullon procesin e përgatitjes së fëmijës për vendosje në kujdes alternativ në familje, duke përcaktuar rolet dhe përgjegjësitë e strukturave sociale, komisioneve shumëdisiplinare dhe aktorëve lokalë, në mënyrë që vendosja të bëhet në mënyrë të sigurt, të qëndrueshme dhe në interesin më të mirë të fëmijës.</w:t>
            </w:r>
          </w:p>
        </w:tc>
        <w:tc>
          <w:tcPr>
            <w:tcW w:w="502" w:type="pct"/>
            <w:tcBorders>
              <w:top w:val="nil"/>
              <w:left w:val="nil"/>
              <w:bottom w:val="single" w:sz="4" w:space="0" w:color="auto"/>
              <w:right w:val="single" w:sz="4" w:space="0" w:color="auto"/>
            </w:tcBorders>
            <w:shd w:val="clear" w:color="auto" w:fill="auto"/>
            <w:vAlign w:val="center"/>
            <w:hideMark/>
          </w:tcPr>
          <w:p w14:paraId="03A8076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603164D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61F7800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6EF83FA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44AF983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8679C7" w:rsidRPr="00B6793F" w14:paraId="4993EDF9"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2047174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378" w:type="pct"/>
            <w:tcBorders>
              <w:top w:val="nil"/>
              <w:left w:val="nil"/>
              <w:bottom w:val="single" w:sz="4" w:space="0" w:color="auto"/>
              <w:right w:val="single" w:sz="4" w:space="0" w:color="auto"/>
            </w:tcBorders>
            <w:shd w:val="clear" w:color="auto" w:fill="auto"/>
            <w:vAlign w:val="center"/>
            <w:hideMark/>
          </w:tcPr>
          <w:p w14:paraId="6254E09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procedurave dhe instrumenteve për vlerësimin periodik të fëmijës si dhe të monitorimit dhe inspektimit të shërbimit të kujdesit alternativ në familje</w:t>
            </w:r>
          </w:p>
        </w:tc>
        <w:tc>
          <w:tcPr>
            <w:tcW w:w="324" w:type="pct"/>
            <w:tcBorders>
              <w:top w:val="nil"/>
              <w:left w:val="nil"/>
              <w:bottom w:val="single" w:sz="4" w:space="0" w:color="auto"/>
              <w:right w:val="single" w:sz="4" w:space="0" w:color="auto"/>
            </w:tcBorders>
            <w:shd w:val="clear" w:color="auto" w:fill="auto"/>
            <w:noWrap/>
            <w:vAlign w:val="center"/>
            <w:hideMark/>
          </w:tcPr>
          <w:p w14:paraId="6D3842D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2268167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0E333C5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5E9E65F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projektakt synon të krijojë një kuadër të harmonizuar dhe të standardizuar për vlerësimin periodik të situatës së fëmijëve në kujdes alternativ në familje, si dhe për monitorimin dhe inspektimin e ofrimit të shërbimit. Aktualisht, mungesa e rregullave dhe instrumenteve të detajuara krijon vështirësi në garantimin e cilësisë së kujdesit, mbrojtjen e të drejtave të fëmijëve dhe koordinimin ndërmjet strukturave përgjegjëse. Projektakti do të sigurojë një mekanizëm të qartë, transparent dhe të unifikuar për të monitoruar dhe vlerësuar shërbimin, duke rritur sigurinë dhe mbrojtjen e fëmijëve. </w:t>
            </w:r>
            <w:r w:rsidRPr="00B6793F">
              <w:rPr>
                <w:rFonts w:ascii="Arial" w:eastAsia="Times New Roman" w:hAnsi="Arial" w:cs="Arial"/>
                <w:b/>
                <w:bCs/>
                <w:color w:val="000000"/>
                <w:sz w:val="8"/>
                <w:szCs w:val="8"/>
                <w:lang w:eastAsia="sq-AL"/>
              </w:rPr>
              <w:t>Nenet 22, pika 5, 24, pika 7 dhe dhe 25, pika 4 te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7DB998F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përcakton:</w:t>
            </w:r>
            <w:r w:rsidRPr="00B6793F">
              <w:rPr>
                <w:rFonts w:ascii="Arial" w:eastAsia="Times New Roman" w:hAnsi="Arial" w:cs="Arial"/>
                <w:color w:val="000000"/>
                <w:sz w:val="8"/>
                <w:szCs w:val="8"/>
                <w:lang w:eastAsia="sq-AL"/>
              </w:rPr>
              <w:br/>
              <w:t>Procedurat dhe instrumentet për vlerësimin periodik të gjendjes së fëmijës, duke përfshirë zhvillimin social, emocional dhe edukativ, si dhe frekuencën e vlerësimeve dhe raportimit.</w:t>
            </w:r>
            <w:r w:rsidRPr="00B6793F">
              <w:rPr>
                <w:rFonts w:ascii="Arial" w:eastAsia="Times New Roman" w:hAnsi="Arial" w:cs="Arial"/>
                <w:color w:val="000000"/>
                <w:sz w:val="8"/>
                <w:szCs w:val="8"/>
                <w:lang w:eastAsia="sq-AL"/>
              </w:rPr>
              <w:br/>
              <w:t>Rregullat dhe procedurat për monitorimin e shërbimit, duke përcaktuar rolet e strukturave përgjegjëse, mënyrën e mbikëqyrjes së familjeve profesionale dhe masat korrigjuese në rast devijimesh.</w:t>
            </w:r>
            <w:r w:rsidRPr="00B6793F">
              <w:rPr>
                <w:rFonts w:ascii="Arial" w:eastAsia="Times New Roman" w:hAnsi="Arial" w:cs="Arial"/>
                <w:color w:val="000000"/>
                <w:sz w:val="8"/>
                <w:szCs w:val="8"/>
                <w:lang w:eastAsia="sq-AL"/>
              </w:rPr>
              <w:br/>
              <w:t>Rregullat dhe procedurat për inspektimin e shërbimeve të kujdesit alternativ në familje, përfshirë inspektimet rutinore dhe të jashtëzakonshme, dokumentimin e gjetjeve dhe koordinimin me organet përkatëse për respektimin e standardeve ligjore dhe të sigurisë së fëmijës.</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Projektakti synon të sigurojë një proces të qëndrueshëm dhe të standardizuar për cilësinë dhe sigurinë e kujdesit alternativ në familje, duke garantuar transparencë, mbrojtje të të drejtave të fëmijëve dhe koordinim institucional.</w:t>
            </w:r>
          </w:p>
        </w:tc>
        <w:tc>
          <w:tcPr>
            <w:tcW w:w="502" w:type="pct"/>
            <w:tcBorders>
              <w:top w:val="nil"/>
              <w:left w:val="nil"/>
              <w:bottom w:val="single" w:sz="4" w:space="0" w:color="auto"/>
              <w:right w:val="single" w:sz="4" w:space="0" w:color="auto"/>
            </w:tcBorders>
            <w:shd w:val="clear" w:color="auto" w:fill="auto"/>
            <w:vAlign w:val="center"/>
            <w:hideMark/>
          </w:tcPr>
          <w:p w14:paraId="542DB0A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77DE61E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295F1BC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0B9B67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2F9A329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8679C7" w:rsidRPr="00B6793F" w14:paraId="7364EE5F"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B1D53D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378" w:type="pct"/>
            <w:tcBorders>
              <w:top w:val="nil"/>
              <w:left w:val="nil"/>
              <w:bottom w:val="single" w:sz="4" w:space="0" w:color="auto"/>
              <w:right w:val="single" w:sz="4" w:space="0" w:color="auto"/>
            </w:tcBorders>
            <w:shd w:val="clear" w:color="auto" w:fill="auto"/>
            <w:vAlign w:val="center"/>
            <w:hideMark/>
          </w:tcPr>
          <w:p w14:paraId="3F26CFB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masës së pagesës për kujdesin alternativ në familje </w:t>
            </w:r>
          </w:p>
        </w:tc>
        <w:tc>
          <w:tcPr>
            <w:tcW w:w="324" w:type="pct"/>
            <w:tcBorders>
              <w:top w:val="nil"/>
              <w:left w:val="nil"/>
              <w:bottom w:val="single" w:sz="4" w:space="0" w:color="auto"/>
              <w:right w:val="single" w:sz="4" w:space="0" w:color="auto"/>
            </w:tcBorders>
            <w:shd w:val="clear" w:color="auto" w:fill="auto"/>
            <w:noWrap/>
            <w:vAlign w:val="center"/>
            <w:hideMark/>
          </w:tcPr>
          <w:p w14:paraId="4EFAE96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0AD828E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21A5C04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6ECED4A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projektakt synon të vendosë një kuadër të qartë dhe të harmonizuar për financimin e kujdesit alternativ në familje, duke siguruar standarde të njëjta për përfituesit dhe transparencë në menaxhimin e burimeve financiare, duke krijuar siguri për familjet ofruese dhe cilësinë dhe qëndrueshmërinë e shërbimeve të kujdesit alternativ. Ky akt synon të garantojë mbështetje të qëndrueshme financiare, të drejtë dhe të monitorueshme për të gjithë fëmijët në kujdes alternativ në familje.</w:t>
            </w:r>
            <w:r w:rsidRPr="00B6793F">
              <w:rPr>
                <w:rFonts w:ascii="Arial" w:eastAsia="Times New Roman" w:hAnsi="Arial" w:cs="Arial"/>
                <w:b/>
                <w:bCs/>
                <w:color w:val="000000"/>
                <w:sz w:val="8"/>
                <w:szCs w:val="8"/>
                <w:lang w:eastAsia="sq-AL"/>
              </w:rPr>
              <w:t>Neni 31, pika 3, 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0FC23CC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përcakton kriteret dhe procedurat për përfitimin e financimit të kujdesit alternativ në familje, duke përfshirë saktësisht se kush mund të aplikojë, dokumentacionin e nevojshëm dhe mënyrën e vlerësimit të kërkesave. Ai përcakton gjithashtu shumat dhe modalitetet e financimit, duke rregulluar mënyrën e shpërndarjes dhe përdorimit të mjeteve financiare nga familjet kujdestare profesionale, si dhe monitorimin dhe raportimin e përdorimit të këtij financimi, në mënyrë që të sigurohet transparencë, llogaridhënie dhe përdorim efektiv i burimeve. Ky projektakt krijon një proces të qartë dhe të standardizuar për mbështetjen financiare të kujdesit alternativ në familje, duke garantuar drejtësi, transparencë dhe mbrojtje të të drejtave të fëmijëve.</w:t>
            </w:r>
          </w:p>
        </w:tc>
        <w:tc>
          <w:tcPr>
            <w:tcW w:w="502" w:type="pct"/>
            <w:tcBorders>
              <w:top w:val="nil"/>
              <w:left w:val="nil"/>
              <w:bottom w:val="single" w:sz="4" w:space="0" w:color="auto"/>
              <w:right w:val="single" w:sz="4" w:space="0" w:color="auto"/>
            </w:tcBorders>
            <w:shd w:val="clear" w:color="auto" w:fill="auto"/>
            <w:vAlign w:val="center"/>
            <w:hideMark/>
          </w:tcPr>
          <w:p w14:paraId="29A36EC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7DDE584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55EDA9A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19917FD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7DE2730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 Ekonomike dhe Financiare     Programi "Perkujdesi Social" 10430 MSHMS</w:t>
            </w:r>
          </w:p>
        </w:tc>
      </w:tr>
      <w:tr w:rsidR="008679C7" w:rsidRPr="00B6793F" w14:paraId="1B415053"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0219B05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378" w:type="pct"/>
            <w:tcBorders>
              <w:top w:val="nil"/>
              <w:left w:val="nil"/>
              <w:bottom w:val="single" w:sz="4" w:space="0" w:color="auto"/>
              <w:right w:val="single" w:sz="4" w:space="0" w:color="auto"/>
            </w:tcBorders>
            <w:shd w:val="clear" w:color="auto" w:fill="auto"/>
            <w:vAlign w:val="center"/>
            <w:hideMark/>
          </w:tcPr>
          <w:p w14:paraId="2E8DEC5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për organizimin dhe funksionimin e komisionit për shqyrtimin e ankesave në bashki dhe për procedurën e shqyrtimit të ankesave</w:t>
            </w:r>
          </w:p>
        </w:tc>
        <w:tc>
          <w:tcPr>
            <w:tcW w:w="324" w:type="pct"/>
            <w:tcBorders>
              <w:top w:val="nil"/>
              <w:left w:val="nil"/>
              <w:bottom w:val="single" w:sz="4" w:space="0" w:color="auto"/>
              <w:right w:val="single" w:sz="4" w:space="0" w:color="auto"/>
            </w:tcBorders>
            <w:shd w:val="clear" w:color="auto" w:fill="auto"/>
            <w:noWrap/>
            <w:vAlign w:val="center"/>
            <w:hideMark/>
          </w:tcPr>
          <w:p w14:paraId="15B19CE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59DE2B9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3B3AB3C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5610433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propozohet për të krijuar një kuadër të qartë dhe të standardizuar për organizimin dhe funksionimin e komisioneve të shqyrtimit të ankesave në bashki, duke adresuar nevojën për një proces transparent dhe efikas të trajtimit të ankesave të qytetarëve. Krijimi i këtij mekanizmi synon të rrisë llogaridhënien e autoriteteve vendore, të përmirësojë besimin e qytetarëve në institucionet lokale dhe të sigurojë që çdo ankesë të shqyrtohet në mënyrë të drejtë dhe brenda afateve të përcaktuara ligjore.</w:t>
            </w:r>
            <w:r w:rsidRPr="00B6793F">
              <w:rPr>
                <w:rFonts w:ascii="Arial" w:eastAsia="Times New Roman" w:hAnsi="Arial" w:cs="Arial"/>
                <w:b/>
                <w:bCs/>
                <w:color w:val="000000"/>
                <w:sz w:val="8"/>
                <w:szCs w:val="8"/>
                <w:lang w:eastAsia="sq-AL"/>
              </w:rPr>
              <w:t>Neni 35, pika 4 e projektligjit "Per kujdesin alternativ ne familje ne RSH</w:t>
            </w:r>
          </w:p>
        </w:tc>
        <w:tc>
          <w:tcPr>
            <w:tcW w:w="509" w:type="pct"/>
            <w:tcBorders>
              <w:top w:val="nil"/>
              <w:left w:val="nil"/>
              <w:bottom w:val="single" w:sz="4" w:space="0" w:color="auto"/>
              <w:right w:val="single" w:sz="4" w:space="0" w:color="auto"/>
            </w:tcBorders>
            <w:shd w:val="clear" w:color="auto" w:fill="auto"/>
            <w:vAlign w:val="center"/>
            <w:hideMark/>
          </w:tcPr>
          <w:p w14:paraId="48EF985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përcakton mënyrën e organizimit dhe përbërjen e komisionit për shqyrtimin e ankesave në bashki, detyrat dhe përgjegjësitë e tij, procedurën e pranimit, shqyrtimit dhe vendimmarrjes për ankesat, si dhe afatet dhe format e raportimit të vendimeve. Ai synon gjithashtu të rregullojë standardet e transparencës, të garantojë trajtim të barabartë për të gjitha ankesat dhe të sigurojë një mekanizëm të efektshëm monitorimi dhe vlerësimi të zbatimit të vendimeve të komisionit.</w:t>
            </w:r>
          </w:p>
        </w:tc>
        <w:tc>
          <w:tcPr>
            <w:tcW w:w="502" w:type="pct"/>
            <w:tcBorders>
              <w:top w:val="nil"/>
              <w:left w:val="nil"/>
              <w:bottom w:val="single" w:sz="4" w:space="0" w:color="auto"/>
              <w:right w:val="single" w:sz="4" w:space="0" w:color="auto"/>
            </w:tcBorders>
            <w:shd w:val="clear" w:color="auto" w:fill="auto"/>
            <w:vAlign w:val="center"/>
            <w:hideMark/>
          </w:tcPr>
          <w:p w14:paraId="2AB3B85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23</w:t>
            </w:r>
          </w:p>
        </w:tc>
        <w:tc>
          <w:tcPr>
            <w:tcW w:w="370" w:type="pct"/>
            <w:tcBorders>
              <w:top w:val="nil"/>
              <w:left w:val="nil"/>
              <w:bottom w:val="single" w:sz="4" w:space="0" w:color="auto"/>
              <w:right w:val="single" w:sz="4" w:space="0" w:color="auto"/>
            </w:tcBorders>
            <w:shd w:val="clear" w:color="auto" w:fill="auto"/>
            <w:vAlign w:val="center"/>
            <w:hideMark/>
          </w:tcPr>
          <w:p w14:paraId="4BB2C12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23AA060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CB6589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0A708F9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w:t>
            </w:r>
          </w:p>
        </w:tc>
      </w:tr>
      <w:tr w:rsidR="008679C7" w:rsidRPr="00B6793F" w14:paraId="0D614D02"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33B34A0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378" w:type="pct"/>
            <w:tcBorders>
              <w:top w:val="nil"/>
              <w:left w:val="nil"/>
              <w:bottom w:val="single" w:sz="4" w:space="0" w:color="auto"/>
              <w:right w:val="single" w:sz="4" w:space="0" w:color="auto"/>
            </w:tcBorders>
            <w:shd w:val="clear" w:color="auto" w:fill="auto"/>
            <w:vAlign w:val="center"/>
            <w:hideMark/>
          </w:tcPr>
          <w:p w14:paraId="002BF27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Kombëtar i Veprimit për Personat me Aftësi të Kufizuar 2026-2030</w:t>
            </w:r>
          </w:p>
        </w:tc>
        <w:tc>
          <w:tcPr>
            <w:tcW w:w="324" w:type="pct"/>
            <w:tcBorders>
              <w:top w:val="nil"/>
              <w:left w:val="nil"/>
              <w:bottom w:val="single" w:sz="4" w:space="0" w:color="auto"/>
              <w:right w:val="single" w:sz="4" w:space="0" w:color="auto"/>
            </w:tcBorders>
            <w:shd w:val="clear" w:color="auto" w:fill="auto"/>
            <w:noWrap/>
            <w:vAlign w:val="center"/>
            <w:hideMark/>
          </w:tcPr>
          <w:p w14:paraId="3102A09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4CD7B25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09E2D5D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5E33094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 përfundim të Planit Kombëtar të Veprimit për Personat më Aftësi të Kufizuara 2021-2025, do të hartohet  dokumenti i ri strategjik. </w:t>
            </w:r>
            <w:r w:rsidRPr="00B6793F">
              <w:rPr>
                <w:rFonts w:ascii="Arial" w:eastAsia="Times New Roman" w:hAnsi="Arial" w:cs="Arial"/>
                <w:b/>
                <w:bCs/>
                <w:color w:val="000000"/>
                <w:sz w:val="8"/>
                <w:szCs w:val="8"/>
                <w:lang w:eastAsia="sq-AL"/>
              </w:rPr>
              <w:t>Neni 100 i Kushtetutes . Ligji  nr. 8626, date 22.06.200  Statusi I invalidit paraplegjik  dhe tetraplegjiki</w:t>
            </w:r>
          </w:p>
        </w:tc>
        <w:tc>
          <w:tcPr>
            <w:tcW w:w="509" w:type="pct"/>
            <w:tcBorders>
              <w:top w:val="nil"/>
              <w:left w:val="nil"/>
              <w:bottom w:val="single" w:sz="4" w:space="0" w:color="auto"/>
              <w:right w:val="single" w:sz="4" w:space="0" w:color="auto"/>
            </w:tcBorders>
            <w:shd w:val="clear" w:color="auto" w:fill="auto"/>
            <w:vAlign w:val="center"/>
            <w:hideMark/>
          </w:tcPr>
          <w:p w14:paraId="66F6BC2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Plani do të parashikojë objektiva dhe masa specifike për përfshirjen dhe integrimin në shoqëri të PAK në sektorë të ndryshëm. </w:t>
            </w:r>
          </w:p>
        </w:tc>
        <w:tc>
          <w:tcPr>
            <w:tcW w:w="502" w:type="pct"/>
            <w:tcBorders>
              <w:top w:val="nil"/>
              <w:left w:val="nil"/>
              <w:bottom w:val="single" w:sz="4" w:space="0" w:color="auto"/>
              <w:right w:val="single" w:sz="4" w:space="0" w:color="auto"/>
            </w:tcBorders>
            <w:shd w:val="clear" w:color="auto" w:fill="auto"/>
            <w:vAlign w:val="center"/>
            <w:hideMark/>
          </w:tcPr>
          <w:p w14:paraId="229D378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19 "Politikat Sociale dhe Punesimi"</w:t>
            </w:r>
          </w:p>
        </w:tc>
        <w:tc>
          <w:tcPr>
            <w:tcW w:w="370" w:type="pct"/>
            <w:tcBorders>
              <w:top w:val="nil"/>
              <w:left w:val="nil"/>
              <w:bottom w:val="single" w:sz="4" w:space="0" w:color="auto"/>
              <w:right w:val="single" w:sz="4" w:space="0" w:color="auto"/>
            </w:tcBorders>
            <w:shd w:val="clear" w:color="auto" w:fill="auto"/>
            <w:vAlign w:val="center"/>
            <w:hideMark/>
          </w:tcPr>
          <w:p w14:paraId="0469011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 Mirëqenie për të Gjithë</w:t>
            </w:r>
          </w:p>
        </w:tc>
        <w:tc>
          <w:tcPr>
            <w:tcW w:w="276" w:type="pct"/>
            <w:tcBorders>
              <w:top w:val="nil"/>
              <w:left w:val="nil"/>
              <w:bottom w:val="single" w:sz="4" w:space="0" w:color="auto"/>
              <w:right w:val="single" w:sz="4" w:space="0" w:color="auto"/>
            </w:tcBorders>
            <w:shd w:val="clear" w:color="auto" w:fill="auto"/>
            <w:vAlign w:val="center"/>
            <w:hideMark/>
          </w:tcPr>
          <w:p w14:paraId="4B5B227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02465D5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6" w:type="pct"/>
            <w:tcBorders>
              <w:top w:val="nil"/>
              <w:left w:val="nil"/>
              <w:bottom w:val="single" w:sz="4" w:space="0" w:color="auto"/>
              <w:right w:val="single" w:sz="4" w:space="0" w:color="auto"/>
            </w:tcBorders>
            <w:shd w:val="clear" w:color="auto" w:fill="auto"/>
            <w:vAlign w:val="center"/>
            <w:hideMark/>
          </w:tcPr>
          <w:p w14:paraId="607897B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Ndikime Mjedisore, Sociale, Ekonomike dhe Financiare     </w:t>
            </w:r>
          </w:p>
        </w:tc>
      </w:tr>
      <w:tr w:rsidR="008679C7" w:rsidRPr="00B6793F" w14:paraId="3B772020"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68D4041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378" w:type="pct"/>
            <w:tcBorders>
              <w:top w:val="nil"/>
              <w:left w:val="nil"/>
              <w:bottom w:val="single" w:sz="4" w:space="0" w:color="auto"/>
              <w:right w:val="single" w:sz="4" w:space="0" w:color="auto"/>
            </w:tcBorders>
            <w:shd w:val="clear" w:color="auto" w:fill="auto"/>
            <w:vAlign w:val="center"/>
            <w:hideMark/>
          </w:tcPr>
          <w:p w14:paraId="28ACDED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 9928, datë 9.6.2008 “Për shërbimin shëndetësor stomatologjik në Republikën e Shqipërisë”, i ndryshuar</w:t>
            </w:r>
          </w:p>
        </w:tc>
        <w:tc>
          <w:tcPr>
            <w:tcW w:w="324" w:type="pct"/>
            <w:tcBorders>
              <w:top w:val="nil"/>
              <w:left w:val="nil"/>
              <w:bottom w:val="single" w:sz="4" w:space="0" w:color="auto"/>
              <w:right w:val="single" w:sz="4" w:space="0" w:color="auto"/>
            </w:tcBorders>
            <w:shd w:val="clear" w:color="auto" w:fill="auto"/>
            <w:noWrap/>
            <w:vAlign w:val="center"/>
            <w:hideMark/>
          </w:tcPr>
          <w:p w14:paraId="0AEC94D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26" w:type="pct"/>
            <w:tcBorders>
              <w:top w:val="nil"/>
              <w:left w:val="nil"/>
              <w:bottom w:val="single" w:sz="4" w:space="0" w:color="auto"/>
              <w:right w:val="single" w:sz="4" w:space="0" w:color="auto"/>
            </w:tcBorders>
            <w:shd w:val="clear" w:color="auto" w:fill="auto"/>
            <w:vAlign w:val="center"/>
            <w:hideMark/>
          </w:tcPr>
          <w:p w14:paraId="3117270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6040AAA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2BDFBF9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përshtatjen e këtij ligji me zhvillimin teknologjik dhe përparimin shkencor në fushën e shërbimit stomatologjik; Për shtimin dhe rregullimin e shërbimeve të reja stomatologjike; Për një rregullim dhe harmonizim me ligjin nr.   "Për kujdesin shëndetësor në Republikën e Shqipërisë", i ndryshuar, vecanërisht në pjesën që lidhet me masën administrative në rastet e mungesës së licencës së klinikave stomatologjike, prandaj kërkohet rishikim për të siguruar koherencë dhe zbatim të unifikuar. </w:t>
            </w:r>
            <w:r w:rsidRPr="00B6793F">
              <w:rPr>
                <w:rFonts w:ascii="Arial" w:eastAsia="Times New Roman" w:hAnsi="Arial" w:cs="Arial"/>
                <w:b/>
                <w:bCs/>
                <w:color w:val="000000"/>
                <w:sz w:val="8"/>
                <w:szCs w:val="8"/>
                <w:lang w:eastAsia="sq-AL"/>
              </w:rPr>
              <w:t xml:space="preserve">Ligji  nr. 10237 date 18.02.2010 "Per sigurine dhe shendetin ne pune" </w:t>
            </w:r>
          </w:p>
        </w:tc>
        <w:tc>
          <w:tcPr>
            <w:tcW w:w="509" w:type="pct"/>
            <w:tcBorders>
              <w:top w:val="nil"/>
              <w:left w:val="nil"/>
              <w:bottom w:val="single" w:sz="4" w:space="0" w:color="auto"/>
              <w:right w:val="single" w:sz="4" w:space="0" w:color="auto"/>
            </w:tcBorders>
            <w:shd w:val="clear" w:color="auto" w:fill="auto"/>
            <w:vAlign w:val="center"/>
            <w:hideMark/>
          </w:tcPr>
          <w:p w14:paraId="41C574B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Përputhja e kuadrit ligjor me zhvillimet teknologjike dhe përparimin shkencor në fushën e shërbimeve stomatologjike; 2. Përfshirjas dhe rregullimi i shërbimeve të reja stomatologjike; 3. Harmonizimi i këtij me legjislacionin e përgjithshëm për kujdesin shëndetësor në Republikën e Shqipërisë</w:t>
            </w:r>
          </w:p>
        </w:tc>
        <w:tc>
          <w:tcPr>
            <w:tcW w:w="502" w:type="pct"/>
            <w:tcBorders>
              <w:top w:val="nil"/>
              <w:left w:val="nil"/>
              <w:bottom w:val="single" w:sz="4" w:space="0" w:color="auto"/>
              <w:right w:val="single" w:sz="4" w:space="0" w:color="auto"/>
            </w:tcBorders>
            <w:shd w:val="clear" w:color="auto" w:fill="auto"/>
            <w:vAlign w:val="center"/>
            <w:hideMark/>
          </w:tcPr>
          <w:p w14:paraId="4F1B9C8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p>
        </w:tc>
        <w:tc>
          <w:tcPr>
            <w:tcW w:w="370" w:type="pct"/>
            <w:tcBorders>
              <w:top w:val="nil"/>
              <w:left w:val="nil"/>
              <w:bottom w:val="single" w:sz="4" w:space="0" w:color="auto"/>
              <w:right w:val="single" w:sz="4" w:space="0" w:color="auto"/>
            </w:tcBorders>
            <w:shd w:val="clear" w:color="auto" w:fill="auto"/>
            <w:vAlign w:val="center"/>
            <w:hideMark/>
          </w:tcPr>
          <w:p w14:paraId="715086C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3950B40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6816472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SHËNDETËSISË 2021-2030</w:t>
            </w:r>
          </w:p>
        </w:tc>
        <w:tc>
          <w:tcPr>
            <w:tcW w:w="376" w:type="pct"/>
            <w:tcBorders>
              <w:top w:val="nil"/>
              <w:left w:val="nil"/>
              <w:bottom w:val="single" w:sz="4" w:space="0" w:color="auto"/>
              <w:right w:val="single" w:sz="4" w:space="0" w:color="auto"/>
            </w:tcBorders>
            <w:shd w:val="clear" w:color="auto" w:fill="auto"/>
            <w:vAlign w:val="center"/>
            <w:hideMark/>
          </w:tcPr>
          <w:p w14:paraId="39B3A2B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679C7" w:rsidRPr="00B6793F" w14:paraId="3EB7F4D8"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641841F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378" w:type="pct"/>
            <w:tcBorders>
              <w:top w:val="nil"/>
              <w:left w:val="nil"/>
              <w:bottom w:val="single" w:sz="4" w:space="0" w:color="auto"/>
              <w:right w:val="single" w:sz="4" w:space="0" w:color="auto"/>
            </w:tcBorders>
            <w:shd w:val="clear" w:color="auto" w:fill="auto"/>
            <w:vAlign w:val="center"/>
            <w:hideMark/>
          </w:tcPr>
          <w:p w14:paraId="11A69DFC"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miratimin e rregullores "Për mbrojtjen e sigurisë dhe shëndetit të punëmarrësve nga risqet e lidhura me plumbin dhe përbërjet e tij inorganike dhe për derivatet e tij në punë"</w:t>
            </w:r>
          </w:p>
        </w:tc>
        <w:tc>
          <w:tcPr>
            <w:tcW w:w="324" w:type="pct"/>
            <w:tcBorders>
              <w:top w:val="nil"/>
              <w:left w:val="nil"/>
              <w:bottom w:val="single" w:sz="4" w:space="0" w:color="auto"/>
              <w:right w:val="single" w:sz="4" w:space="0" w:color="auto"/>
            </w:tcBorders>
            <w:shd w:val="clear" w:color="auto" w:fill="auto"/>
            <w:noWrap/>
            <w:vAlign w:val="center"/>
            <w:hideMark/>
          </w:tcPr>
          <w:p w14:paraId="4007817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7AFDD56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76F05B8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7DF35F91" w14:textId="77777777" w:rsidR="008679C7" w:rsidRPr="00B6793F" w:rsidRDefault="008679C7" w:rsidP="008679C7">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 xml:space="preserve">Direktiva (BE) 2024/869 </w:t>
            </w:r>
            <w:r w:rsidRPr="00B6793F">
              <w:rPr>
                <w:rFonts w:ascii="Arial" w:eastAsia="Times New Roman" w:hAnsi="Arial" w:cs="Arial"/>
                <w:color w:val="000000"/>
                <w:sz w:val="8"/>
                <w:szCs w:val="8"/>
                <w:lang w:eastAsia="sq-AL"/>
              </w:rPr>
              <w:t>e Parlamentit Evropian dhe e Këshillit e 13 Marsit 2024 që ndryshon Direktivën 2004/37/KE të Parlamentit Evropian dhe të Këshillit dhe Direktivën e Këshillit 98/24/KE në lidhje me vlerat kufitare për plumbin dhe përbërjet e tij inorganike dhe derivatet e tij</w:t>
            </w:r>
            <w:r w:rsidRPr="00B6793F">
              <w:rPr>
                <w:rFonts w:ascii="Arial" w:eastAsia="Times New Roman" w:hAnsi="Arial" w:cs="Arial"/>
                <w:b/>
                <w:bCs/>
                <w:color w:val="000000"/>
                <w:sz w:val="8"/>
                <w:szCs w:val="8"/>
                <w:lang w:eastAsia="sq-AL"/>
              </w:rPr>
              <w:t>. Neni 100 i Kushtetutes Ligji  nr. 10 237 date 18.02.2010  Per sigurine dhe shendetin ne pune I ndryshuar.</w:t>
            </w:r>
          </w:p>
        </w:tc>
        <w:tc>
          <w:tcPr>
            <w:tcW w:w="509" w:type="pct"/>
            <w:tcBorders>
              <w:top w:val="nil"/>
              <w:left w:val="nil"/>
              <w:bottom w:val="single" w:sz="4" w:space="0" w:color="auto"/>
              <w:right w:val="single" w:sz="4" w:space="0" w:color="auto"/>
            </w:tcBorders>
            <w:shd w:val="clear" w:color="auto" w:fill="auto"/>
            <w:vAlign w:val="center"/>
            <w:hideMark/>
          </w:tcPr>
          <w:p w14:paraId="7CA639A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vlerat limit të ekspozimit dhe rregullat e sigurisë dhe shëndetit në punën ndaj plumbit dhe përbërësve të tij inorganikë dhë derivatet e tij në perputhje me kërkesat/rregullat e BE</w:t>
            </w:r>
          </w:p>
        </w:tc>
        <w:tc>
          <w:tcPr>
            <w:tcW w:w="502" w:type="pct"/>
            <w:tcBorders>
              <w:top w:val="nil"/>
              <w:left w:val="nil"/>
              <w:bottom w:val="single" w:sz="4" w:space="0" w:color="auto"/>
              <w:right w:val="single" w:sz="4" w:space="0" w:color="auto"/>
            </w:tcBorders>
            <w:shd w:val="clear" w:color="auto" w:fill="auto"/>
            <w:vAlign w:val="center"/>
            <w:hideMark/>
          </w:tcPr>
          <w:p w14:paraId="0FFFB9B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w:t>
            </w:r>
          </w:p>
        </w:tc>
        <w:tc>
          <w:tcPr>
            <w:tcW w:w="370" w:type="pct"/>
            <w:tcBorders>
              <w:top w:val="nil"/>
              <w:left w:val="nil"/>
              <w:bottom w:val="single" w:sz="4" w:space="0" w:color="auto"/>
              <w:right w:val="single" w:sz="4" w:space="0" w:color="auto"/>
            </w:tcBorders>
            <w:shd w:val="clear" w:color="auto" w:fill="auto"/>
            <w:vAlign w:val="center"/>
            <w:hideMark/>
          </w:tcPr>
          <w:p w14:paraId="6084F59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67CEF76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09F5F7D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3C30FF1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Ndikime mjedisore, ekonomike</w:t>
            </w:r>
          </w:p>
        </w:tc>
      </w:tr>
      <w:tr w:rsidR="008679C7" w:rsidRPr="00B6793F" w14:paraId="073F24FA"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3238DF3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378" w:type="pct"/>
            <w:tcBorders>
              <w:top w:val="nil"/>
              <w:left w:val="nil"/>
              <w:bottom w:val="single" w:sz="4" w:space="0" w:color="auto"/>
              <w:right w:val="single" w:sz="4" w:space="0" w:color="auto"/>
            </w:tcBorders>
            <w:shd w:val="clear" w:color="auto" w:fill="auto"/>
            <w:vAlign w:val="center"/>
            <w:hideMark/>
          </w:tcPr>
          <w:p w14:paraId="4AD8AF5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rishikimin e vendimit nr.797, datë 29.9.2010 për miratimin e rregullores higjeno-sanitare “Për administrimin e cilësisë së ujërave të larjes”</w:t>
            </w:r>
          </w:p>
        </w:tc>
        <w:tc>
          <w:tcPr>
            <w:tcW w:w="324" w:type="pct"/>
            <w:tcBorders>
              <w:top w:val="nil"/>
              <w:left w:val="nil"/>
              <w:bottom w:val="single" w:sz="4" w:space="0" w:color="auto"/>
              <w:right w:val="single" w:sz="4" w:space="0" w:color="auto"/>
            </w:tcBorders>
            <w:shd w:val="clear" w:color="auto" w:fill="auto"/>
            <w:noWrap/>
            <w:vAlign w:val="center"/>
            <w:hideMark/>
          </w:tcPr>
          <w:p w14:paraId="75CAFBA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0724790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1D44C3A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7212FF5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Duke qene se gjatë periudhës pas miratimit të këtij vendimi janë bërë disa ndryshime në kompetencat dhe emërtimet e Autoriteteve Kompetente të përfshira në vendim, si dhe në kompetencat e institucioneve të tjera të papërfshira ne vendim, lind nevoja për rishikimin e këtij vendimi, si dhe në zbatim të angazhimeve dhe detyrimeve që rrjedhin nga aktivitetet e parashikuara në Planin e Punës për përmbushjen e piketave mbyllëse për Kapitullin 27 "Mjedisi dhe ndryshimet klimatike” , në kuadër të proceve të Integrimit Evropian.  </w:t>
            </w:r>
            <w:r w:rsidRPr="00B6793F">
              <w:rPr>
                <w:rFonts w:ascii="Arial" w:eastAsia="Times New Roman" w:hAnsi="Arial" w:cs="Arial"/>
                <w:b/>
                <w:bCs/>
                <w:color w:val="000000"/>
                <w:sz w:val="8"/>
                <w:szCs w:val="8"/>
                <w:lang w:eastAsia="sq-AL"/>
              </w:rPr>
              <w:t>Neni 100 i Kushtetutes Ligji  nr.  7643 date 2.12.1992 Per  shendetin publik dhe Inspektoratin Sanitar Shteteror, I ndryshuar.</w:t>
            </w:r>
          </w:p>
        </w:tc>
        <w:tc>
          <w:tcPr>
            <w:tcW w:w="509" w:type="pct"/>
            <w:tcBorders>
              <w:top w:val="nil"/>
              <w:left w:val="nil"/>
              <w:bottom w:val="single" w:sz="4" w:space="0" w:color="auto"/>
              <w:right w:val="single" w:sz="4" w:space="0" w:color="auto"/>
            </w:tcBorders>
            <w:shd w:val="clear" w:color="auto" w:fill="auto"/>
            <w:vAlign w:val="center"/>
            <w:hideMark/>
          </w:tcPr>
          <w:p w14:paraId="5DDB6BE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Akt i përditësuar dhe përcaktim i qarte i autoriteteve përgjegjëse për menaxhimin e cilësisë së ujërave të larjes, përfshirë monitorimin, vlerësimin dhe kategorizimin e tyre, si dhe specifikimit qartë të institucionit përgjegjës për hartimin dhe përcaktimin e profileve të ujërave të larjes, përcaktim i qartëi kompetencave të çdo institucioni përgjegjës  për zbatimin e kërkesave të këtij vendimi në funksion të mbrojtjes së qytetarëve nga ekspozimi ndaj ujërave të larjes me cilësi të keqe.</w:t>
            </w:r>
          </w:p>
        </w:tc>
        <w:tc>
          <w:tcPr>
            <w:tcW w:w="502" w:type="pct"/>
            <w:tcBorders>
              <w:top w:val="nil"/>
              <w:left w:val="nil"/>
              <w:bottom w:val="single" w:sz="4" w:space="0" w:color="auto"/>
              <w:right w:val="single" w:sz="4" w:space="0" w:color="auto"/>
            </w:tcBorders>
            <w:shd w:val="clear" w:color="auto" w:fill="auto"/>
            <w:vAlign w:val="center"/>
            <w:hideMark/>
          </w:tcPr>
          <w:p w14:paraId="45C6492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27</w:t>
            </w:r>
          </w:p>
        </w:tc>
        <w:tc>
          <w:tcPr>
            <w:tcW w:w="370" w:type="pct"/>
            <w:tcBorders>
              <w:top w:val="nil"/>
              <w:left w:val="nil"/>
              <w:bottom w:val="single" w:sz="4" w:space="0" w:color="auto"/>
              <w:right w:val="single" w:sz="4" w:space="0" w:color="auto"/>
            </w:tcBorders>
            <w:shd w:val="clear" w:color="auto" w:fill="auto"/>
            <w:vAlign w:val="center"/>
            <w:hideMark/>
          </w:tcPr>
          <w:p w14:paraId="62F1B37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 Mirëqenie Për Të Gjithë/ shendetesia publike</w:t>
            </w:r>
          </w:p>
        </w:tc>
        <w:tc>
          <w:tcPr>
            <w:tcW w:w="276" w:type="pct"/>
            <w:tcBorders>
              <w:top w:val="nil"/>
              <w:left w:val="nil"/>
              <w:bottom w:val="single" w:sz="4" w:space="0" w:color="auto"/>
              <w:right w:val="single" w:sz="4" w:space="0" w:color="auto"/>
            </w:tcBorders>
            <w:shd w:val="clear" w:color="auto" w:fill="auto"/>
            <w:vAlign w:val="center"/>
            <w:hideMark/>
          </w:tcPr>
          <w:p w14:paraId="6D7EA29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2E3043D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SHËNDETËSISË 2021-2030</w:t>
            </w:r>
          </w:p>
        </w:tc>
        <w:tc>
          <w:tcPr>
            <w:tcW w:w="376" w:type="pct"/>
            <w:tcBorders>
              <w:top w:val="nil"/>
              <w:left w:val="nil"/>
              <w:bottom w:val="single" w:sz="4" w:space="0" w:color="auto"/>
              <w:right w:val="single" w:sz="4" w:space="0" w:color="auto"/>
            </w:tcBorders>
            <w:shd w:val="clear" w:color="auto" w:fill="auto"/>
            <w:vAlign w:val="center"/>
            <w:hideMark/>
          </w:tcPr>
          <w:p w14:paraId="0CA73F9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679C7" w:rsidRPr="00B6793F" w14:paraId="6EF481A0"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C7A493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378" w:type="pct"/>
            <w:tcBorders>
              <w:top w:val="nil"/>
              <w:left w:val="nil"/>
              <w:bottom w:val="single" w:sz="4" w:space="0" w:color="auto"/>
              <w:right w:val="single" w:sz="4" w:space="0" w:color="auto"/>
            </w:tcBorders>
            <w:shd w:val="clear" w:color="auto" w:fill="auto"/>
            <w:vAlign w:val="center"/>
            <w:hideMark/>
          </w:tcPr>
          <w:p w14:paraId="1A58686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vkm nr. 933, datë 25.11.2020 “Për përcaktimin e rregullave për kriteret e vlerësimit të produkteve biocide dhe të procedurës së dhënies së autorizimit të vendosjes së tyre në treg”</w:t>
            </w:r>
          </w:p>
        </w:tc>
        <w:tc>
          <w:tcPr>
            <w:tcW w:w="324" w:type="pct"/>
            <w:tcBorders>
              <w:top w:val="nil"/>
              <w:left w:val="nil"/>
              <w:bottom w:val="single" w:sz="4" w:space="0" w:color="auto"/>
              <w:right w:val="single" w:sz="4" w:space="0" w:color="auto"/>
            </w:tcBorders>
            <w:shd w:val="clear" w:color="auto" w:fill="auto"/>
            <w:noWrap/>
            <w:vAlign w:val="center"/>
            <w:hideMark/>
          </w:tcPr>
          <w:p w14:paraId="4CA9F69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2F6590B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666C929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   </w:t>
            </w:r>
          </w:p>
        </w:tc>
        <w:tc>
          <w:tcPr>
            <w:tcW w:w="1121" w:type="pct"/>
            <w:tcBorders>
              <w:top w:val="nil"/>
              <w:left w:val="nil"/>
              <w:bottom w:val="single" w:sz="4" w:space="0" w:color="auto"/>
              <w:right w:val="single" w:sz="4" w:space="0" w:color="auto"/>
            </w:tcBorders>
            <w:shd w:val="clear" w:color="auto" w:fill="auto"/>
            <w:vAlign w:val="center"/>
            <w:hideMark/>
          </w:tcPr>
          <w:p w14:paraId="6E4199B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Miratimi i ndryshimeve ne Ligjin 95/2014 'Per sherbimet dhe produktet biocide ne shendet publik" </w:t>
            </w:r>
            <w:r w:rsidRPr="00B6793F">
              <w:rPr>
                <w:rFonts w:ascii="Arial" w:eastAsia="Times New Roman" w:hAnsi="Arial" w:cs="Arial"/>
                <w:b/>
                <w:bCs/>
                <w:color w:val="000000"/>
                <w:sz w:val="8"/>
                <w:szCs w:val="8"/>
                <w:lang w:eastAsia="sq-AL"/>
              </w:rPr>
              <w:t xml:space="preserve">Neni 100 i Kushtetutes ligji  nr. 95/2015 Per  sherbimet dhe produktet biocide ne shendetin publik" </w:t>
            </w:r>
            <w:r w:rsidRPr="00B6793F">
              <w:rPr>
                <w:rFonts w:ascii="Arial" w:eastAsia="Times New Roman" w:hAnsi="Arial" w:cs="Arial"/>
                <w:color w:val="000000"/>
                <w:sz w:val="8"/>
                <w:szCs w:val="8"/>
                <w:lang w:eastAsia="sq-AL"/>
              </w:rPr>
              <w:t>.</w:t>
            </w:r>
          </w:p>
        </w:tc>
        <w:tc>
          <w:tcPr>
            <w:tcW w:w="509" w:type="pct"/>
            <w:tcBorders>
              <w:top w:val="nil"/>
              <w:left w:val="nil"/>
              <w:bottom w:val="single" w:sz="4" w:space="0" w:color="auto"/>
              <w:right w:val="single" w:sz="4" w:space="0" w:color="auto"/>
            </w:tcBorders>
            <w:shd w:val="clear" w:color="auto" w:fill="auto"/>
            <w:vAlign w:val="center"/>
            <w:hideMark/>
          </w:tcPr>
          <w:p w14:paraId="65B2743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Lehtesimi i procedurave te vendosjes ne treg te produkteve biocide kryesisht atyre qe jane te rregjistruara dhe qarkullojne ne vendet e BE</w:t>
            </w:r>
          </w:p>
        </w:tc>
        <w:tc>
          <w:tcPr>
            <w:tcW w:w="502" w:type="pct"/>
            <w:tcBorders>
              <w:top w:val="nil"/>
              <w:left w:val="nil"/>
              <w:bottom w:val="single" w:sz="4" w:space="0" w:color="auto"/>
              <w:right w:val="single" w:sz="4" w:space="0" w:color="auto"/>
            </w:tcBorders>
            <w:shd w:val="clear" w:color="auto" w:fill="auto"/>
            <w:vAlign w:val="center"/>
            <w:hideMark/>
          </w:tcPr>
          <w:p w14:paraId="0A215C7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0" w:type="pct"/>
            <w:tcBorders>
              <w:top w:val="nil"/>
              <w:left w:val="nil"/>
              <w:bottom w:val="single" w:sz="4" w:space="0" w:color="auto"/>
              <w:right w:val="single" w:sz="4" w:space="0" w:color="auto"/>
            </w:tcBorders>
            <w:shd w:val="clear" w:color="auto" w:fill="auto"/>
            <w:vAlign w:val="center"/>
            <w:hideMark/>
          </w:tcPr>
          <w:p w14:paraId="3CE6009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5EB0E71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39E0F1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6" w:type="pct"/>
            <w:tcBorders>
              <w:top w:val="nil"/>
              <w:left w:val="nil"/>
              <w:bottom w:val="single" w:sz="4" w:space="0" w:color="auto"/>
              <w:right w:val="single" w:sz="4" w:space="0" w:color="auto"/>
            </w:tcBorders>
            <w:shd w:val="clear" w:color="auto" w:fill="auto"/>
            <w:vAlign w:val="center"/>
            <w:hideMark/>
          </w:tcPr>
          <w:p w14:paraId="21B6700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679C7" w:rsidRPr="00B6793F" w14:paraId="76DDB95E"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351DC31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378" w:type="pct"/>
            <w:tcBorders>
              <w:top w:val="nil"/>
              <w:left w:val="nil"/>
              <w:bottom w:val="single" w:sz="4" w:space="0" w:color="auto"/>
              <w:right w:val="single" w:sz="4" w:space="0" w:color="auto"/>
            </w:tcBorders>
            <w:shd w:val="clear" w:color="auto" w:fill="auto"/>
            <w:vAlign w:val="center"/>
            <w:hideMark/>
          </w:tcPr>
          <w:p w14:paraId="51D2662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Mbi disa ndryshime ligjore në  Ligjin Nr. 93/2014 “Për përfshirjen dhe aksesueshmërinë e personave me aftësi të kufizuara” </w:t>
            </w:r>
          </w:p>
        </w:tc>
        <w:tc>
          <w:tcPr>
            <w:tcW w:w="324" w:type="pct"/>
            <w:tcBorders>
              <w:top w:val="nil"/>
              <w:left w:val="nil"/>
              <w:bottom w:val="single" w:sz="4" w:space="0" w:color="auto"/>
              <w:right w:val="single" w:sz="4" w:space="0" w:color="auto"/>
            </w:tcBorders>
            <w:shd w:val="clear" w:color="auto" w:fill="auto"/>
            <w:noWrap/>
            <w:vAlign w:val="center"/>
            <w:hideMark/>
          </w:tcPr>
          <w:p w14:paraId="0FA6D33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26" w:type="pct"/>
            <w:tcBorders>
              <w:top w:val="nil"/>
              <w:left w:val="nil"/>
              <w:bottom w:val="single" w:sz="4" w:space="0" w:color="auto"/>
              <w:right w:val="single" w:sz="4" w:space="0" w:color="auto"/>
            </w:tcBorders>
            <w:shd w:val="clear" w:color="auto" w:fill="auto"/>
            <w:vAlign w:val="center"/>
            <w:hideMark/>
          </w:tcPr>
          <w:p w14:paraId="0E01E36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797D10D9" w14:textId="77777777" w:rsidR="008679C7" w:rsidRPr="00B6793F" w:rsidRDefault="008679C7" w:rsidP="008679C7">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4DFC446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Harmonizimi i përmbajtjes së Ligjit nr. 93/2014 “Për Përfshirjen dhe Aksesueshmërinë e Personave me Aftësi të Kufizuara” dhe aktet nënligjore, me Direktivën EU/2019/882. </w:t>
            </w:r>
            <w:r w:rsidRPr="00B6793F">
              <w:rPr>
                <w:rFonts w:ascii="Arial" w:eastAsia="Times New Roman" w:hAnsi="Arial" w:cs="Arial"/>
                <w:b/>
                <w:bCs/>
                <w:color w:val="000000"/>
                <w:sz w:val="8"/>
                <w:szCs w:val="8"/>
                <w:lang w:eastAsia="sq-AL"/>
              </w:rPr>
              <w:t xml:space="preserve">Nenet 78 dhe 83, pika 1 te Kushtetutes </w:t>
            </w:r>
          </w:p>
        </w:tc>
        <w:tc>
          <w:tcPr>
            <w:tcW w:w="509" w:type="pct"/>
            <w:tcBorders>
              <w:top w:val="nil"/>
              <w:left w:val="nil"/>
              <w:bottom w:val="single" w:sz="4" w:space="0" w:color="auto"/>
              <w:right w:val="single" w:sz="4" w:space="0" w:color="auto"/>
            </w:tcBorders>
            <w:shd w:val="clear" w:color="auto" w:fill="auto"/>
            <w:vAlign w:val="center"/>
            <w:hideMark/>
          </w:tcPr>
          <w:p w14:paraId="61D8E8B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Legjislacioni kombëtar synon ndryshime lidhur me përfshirjen, aksesueshmërinë dhe integrimin e personave me aftësi të kufizuar, në përputhje me me standardet e BE-së. </w:t>
            </w:r>
          </w:p>
        </w:tc>
        <w:tc>
          <w:tcPr>
            <w:tcW w:w="502" w:type="pct"/>
            <w:tcBorders>
              <w:top w:val="nil"/>
              <w:left w:val="nil"/>
              <w:bottom w:val="single" w:sz="4" w:space="0" w:color="auto"/>
              <w:right w:val="single" w:sz="4" w:space="0" w:color="auto"/>
            </w:tcBorders>
            <w:shd w:val="clear" w:color="auto" w:fill="auto"/>
            <w:vAlign w:val="center"/>
            <w:hideMark/>
          </w:tcPr>
          <w:p w14:paraId="5965021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Përmirësimi i këtij legjislacioni është një detyrim në Kriteret e Ndërmjetme, detyrimet e Kapitullit 23 dhe Kapitullit 19</w:t>
            </w:r>
          </w:p>
        </w:tc>
        <w:tc>
          <w:tcPr>
            <w:tcW w:w="370" w:type="pct"/>
            <w:tcBorders>
              <w:top w:val="nil"/>
              <w:left w:val="nil"/>
              <w:bottom w:val="single" w:sz="4" w:space="0" w:color="auto"/>
              <w:right w:val="single" w:sz="4" w:space="0" w:color="auto"/>
            </w:tcBorders>
            <w:shd w:val="clear" w:color="auto" w:fill="auto"/>
            <w:vAlign w:val="center"/>
            <w:hideMark/>
          </w:tcPr>
          <w:p w14:paraId="130DC9A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 Mirëqenie për të Gjithë</w:t>
            </w:r>
          </w:p>
        </w:tc>
        <w:tc>
          <w:tcPr>
            <w:tcW w:w="276" w:type="pct"/>
            <w:tcBorders>
              <w:top w:val="nil"/>
              <w:left w:val="nil"/>
              <w:bottom w:val="single" w:sz="4" w:space="0" w:color="auto"/>
              <w:right w:val="single" w:sz="4" w:space="0" w:color="auto"/>
            </w:tcBorders>
            <w:shd w:val="clear" w:color="auto" w:fill="auto"/>
            <w:vAlign w:val="center"/>
            <w:hideMark/>
          </w:tcPr>
          <w:p w14:paraId="12FDE65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317A1C7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Kombëtar i Veprimit për Personat me Aftësi të Kufizuara 2021-2025</w:t>
            </w:r>
          </w:p>
        </w:tc>
        <w:tc>
          <w:tcPr>
            <w:tcW w:w="376" w:type="pct"/>
            <w:tcBorders>
              <w:top w:val="nil"/>
              <w:left w:val="nil"/>
              <w:bottom w:val="single" w:sz="4" w:space="0" w:color="auto"/>
              <w:right w:val="single" w:sz="4" w:space="0" w:color="auto"/>
            </w:tcBorders>
            <w:shd w:val="clear" w:color="auto" w:fill="auto"/>
            <w:vAlign w:val="center"/>
            <w:hideMark/>
          </w:tcPr>
          <w:p w14:paraId="34A346B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Ndikime Mjedisore, Sociale, Ekonomike dhe Financiare     </w:t>
            </w:r>
          </w:p>
        </w:tc>
      </w:tr>
      <w:tr w:rsidR="008679C7" w:rsidRPr="00B6793F" w14:paraId="7769FD0A"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331D3CE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378" w:type="pct"/>
            <w:tcBorders>
              <w:top w:val="nil"/>
              <w:left w:val="nil"/>
              <w:bottom w:val="single" w:sz="4" w:space="0" w:color="auto"/>
              <w:right w:val="single" w:sz="4" w:space="0" w:color="auto"/>
            </w:tcBorders>
            <w:shd w:val="clear" w:color="auto" w:fill="auto"/>
            <w:vAlign w:val="center"/>
            <w:hideMark/>
          </w:tcPr>
          <w:p w14:paraId="03B5C67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vkm nr. 522, datë 6.8.2014  "Për miratimin e rregullores “Për mbrojtjen e sigurisë dhe shëndetit të punëmarrësve nga risqet e lidhura me agjentët kimikë në punë"</w:t>
            </w:r>
          </w:p>
        </w:tc>
        <w:tc>
          <w:tcPr>
            <w:tcW w:w="324" w:type="pct"/>
            <w:tcBorders>
              <w:top w:val="nil"/>
              <w:left w:val="nil"/>
              <w:bottom w:val="single" w:sz="4" w:space="0" w:color="auto"/>
              <w:right w:val="single" w:sz="4" w:space="0" w:color="auto"/>
            </w:tcBorders>
            <w:shd w:val="clear" w:color="auto" w:fill="auto"/>
            <w:noWrap/>
            <w:vAlign w:val="center"/>
            <w:hideMark/>
          </w:tcPr>
          <w:p w14:paraId="6F8C136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6BD0610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34264B7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3C28ED1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Transpozimi i Direktivës së Komisionit 2000/39/KE të 8 qershorit 2000 që përcakton një listë të parë të vlerave kufitare treguese të ekspozimit në punë në zbatim të Direktivës së Këshillit 98/24/KE për mbrojtjen e shëndetit dhe sigurisë së punëtorëve nga rreziqet që lidhen me agjentët kimikë në punë: ndryshuar nga Direktiva e Komisionit (BE) 2017/164 e 31 janarit 2017 që përcakton një listë të katërt të vlerave kufitare treguese të ekspozimit në punë në përputhje me Direktivën e Këshillit 98/24/KE, dhe që ndryshon Direktivat e Komisionit 91/322/KEE, 2000/39/KE OJ L 27, 1.2.2017, f. 115–120 https://eur-lex.europa.eu/eli/dir/2017/164/oj. Direktiva e Komisionit (BE) 2019/1831 e datës 24 tetor 2019 për krijimin e listës së pestë të vlerave kufi treguese të ekspozimit në punë në përputhje me Direktivën e Këshillit 98/24/EC e cila ka ndryshuar Direktivën e Këshillit 98/24. </w:t>
            </w:r>
            <w:r w:rsidRPr="00B6793F">
              <w:rPr>
                <w:rFonts w:ascii="Arial" w:eastAsia="Times New Roman" w:hAnsi="Arial" w:cs="Arial"/>
                <w:b/>
                <w:bCs/>
                <w:color w:val="000000"/>
                <w:sz w:val="8"/>
                <w:szCs w:val="8"/>
                <w:lang w:eastAsia="sq-AL"/>
              </w:rPr>
              <w:t>Neni 100 i Kushtetutes ligji  10237 date 18.02.2010 "Per sigurine  dhe shendetin ne pune"</w:t>
            </w:r>
          </w:p>
        </w:tc>
        <w:tc>
          <w:tcPr>
            <w:tcW w:w="509" w:type="pct"/>
            <w:tcBorders>
              <w:top w:val="nil"/>
              <w:left w:val="nil"/>
              <w:bottom w:val="single" w:sz="4" w:space="0" w:color="auto"/>
              <w:right w:val="single" w:sz="4" w:space="0" w:color="auto"/>
            </w:tcBorders>
            <w:shd w:val="clear" w:color="auto" w:fill="auto"/>
            <w:vAlign w:val="center"/>
            <w:hideMark/>
          </w:tcPr>
          <w:p w14:paraId="091B75C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vlerat limit të ekspozimit dhe rregullat e sigurisë dhe shëndetit në punën ndaj agjentëve kimikë në perputhje me kërkesat/rregullat e BE</w:t>
            </w:r>
          </w:p>
        </w:tc>
        <w:tc>
          <w:tcPr>
            <w:tcW w:w="502" w:type="pct"/>
            <w:tcBorders>
              <w:top w:val="nil"/>
              <w:left w:val="nil"/>
              <w:bottom w:val="single" w:sz="4" w:space="0" w:color="auto"/>
              <w:right w:val="single" w:sz="4" w:space="0" w:color="auto"/>
            </w:tcBorders>
            <w:shd w:val="clear" w:color="auto" w:fill="auto"/>
            <w:vAlign w:val="center"/>
            <w:hideMark/>
          </w:tcPr>
          <w:p w14:paraId="7D82FE0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w:t>
            </w:r>
          </w:p>
        </w:tc>
        <w:tc>
          <w:tcPr>
            <w:tcW w:w="370" w:type="pct"/>
            <w:tcBorders>
              <w:top w:val="nil"/>
              <w:left w:val="nil"/>
              <w:bottom w:val="single" w:sz="4" w:space="0" w:color="auto"/>
              <w:right w:val="single" w:sz="4" w:space="0" w:color="auto"/>
            </w:tcBorders>
            <w:shd w:val="clear" w:color="auto" w:fill="auto"/>
            <w:vAlign w:val="center"/>
            <w:hideMark/>
          </w:tcPr>
          <w:p w14:paraId="25585A7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49934DE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331FE25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693A29F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mjedisore, ekonomike</w:t>
            </w:r>
          </w:p>
        </w:tc>
      </w:tr>
      <w:tr w:rsidR="008679C7" w:rsidRPr="00B6793F" w14:paraId="26E29511"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381D6DE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378" w:type="pct"/>
            <w:tcBorders>
              <w:top w:val="nil"/>
              <w:left w:val="nil"/>
              <w:bottom w:val="single" w:sz="4" w:space="0" w:color="auto"/>
              <w:right w:val="single" w:sz="4" w:space="0" w:color="auto"/>
            </w:tcBorders>
            <w:shd w:val="clear" w:color="auto" w:fill="auto"/>
            <w:vAlign w:val="center"/>
            <w:hideMark/>
          </w:tcPr>
          <w:p w14:paraId="5C0F22B2"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ndryshime në vkm nr. 862, datë 24, 12.2019, "Për miratimin e kërkesave minimale të sigurise dhe shëndetit të punëmarrësve në bordin e mjeteve të lundrimit të gjatë"</w:t>
            </w:r>
          </w:p>
        </w:tc>
        <w:tc>
          <w:tcPr>
            <w:tcW w:w="324" w:type="pct"/>
            <w:tcBorders>
              <w:top w:val="nil"/>
              <w:left w:val="nil"/>
              <w:bottom w:val="single" w:sz="4" w:space="0" w:color="auto"/>
              <w:right w:val="single" w:sz="4" w:space="0" w:color="auto"/>
            </w:tcBorders>
            <w:shd w:val="clear" w:color="auto" w:fill="auto"/>
            <w:noWrap/>
            <w:vAlign w:val="center"/>
            <w:hideMark/>
          </w:tcPr>
          <w:p w14:paraId="4BB2DB5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27952F7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214A84B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42D1C82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Transpozimi i Direktivës së Këshillit 92/29/KEE të 31 Marsit 1992 mbi kërkesat minimale të sigurisë dhe shëndetit për trajtim të përmirësuar mjekësor në bordin e anijeve:</w:t>
            </w:r>
            <w:r w:rsidRPr="00B6793F">
              <w:rPr>
                <w:rFonts w:ascii="Arial" w:eastAsia="Times New Roman" w:hAnsi="Arial" w:cs="Arial"/>
                <w:color w:val="000000"/>
                <w:sz w:val="8"/>
                <w:szCs w:val="8"/>
                <w:lang w:eastAsia="sq-AL"/>
              </w:rPr>
              <w:br/>
              <w:t xml:space="preserve">ndryshuar nga Direktiva e Komisionit (BE) 2019/1834 e 24 Tetorit 2019 që ndryshon Shtojcat II dhe IV të Direktivës së Këshillit 92/29/KEE në lidhje me përshtatjet thjesht teknike. </w:t>
            </w:r>
            <w:r w:rsidRPr="00B6793F">
              <w:rPr>
                <w:rFonts w:ascii="Arial" w:eastAsia="Times New Roman" w:hAnsi="Arial" w:cs="Arial"/>
                <w:b/>
                <w:bCs/>
                <w:color w:val="000000"/>
                <w:sz w:val="8"/>
                <w:szCs w:val="8"/>
                <w:lang w:eastAsia="sq-AL"/>
              </w:rPr>
              <w:t>Ligji  10237 date 18.02.2010 "Per sigurine  dhe shendetin ne pune"</w:t>
            </w:r>
          </w:p>
        </w:tc>
        <w:tc>
          <w:tcPr>
            <w:tcW w:w="509" w:type="pct"/>
            <w:tcBorders>
              <w:top w:val="nil"/>
              <w:left w:val="nil"/>
              <w:bottom w:val="single" w:sz="4" w:space="0" w:color="auto"/>
              <w:right w:val="single" w:sz="4" w:space="0" w:color="auto"/>
            </w:tcBorders>
            <w:shd w:val="clear" w:color="auto" w:fill="auto"/>
            <w:vAlign w:val="center"/>
            <w:hideMark/>
          </w:tcPr>
          <w:p w14:paraId="04F7728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Projekakti parashikon të rregullojë kërkesat e sigurisë dhe shëndetit në punë në mjetet e lundrimit</w:t>
            </w:r>
          </w:p>
        </w:tc>
        <w:tc>
          <w:tcPr>
            <w:tcW w:w="502" w:type="pct"/>
            <w:tcBorders>
              <w:top w:val="nil"/>
              <w:left w:val="nil"/>
              <w:bottom w:val="single" w:sz="4" w:space="0" w:color="auto"/>
              <w:right w:val="single" w:sz="4" w:space="0" w:color="auto"/>
            </w:tcBorders>
            <w:shd w:val="clear" w:color="auto" w:fill="auto"/>
            <w:vAlign w:val="center"/>
            <w:hideMark/>
          </w:tcPr>
          <w:p w14:paraId="23F27FE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w:t>
            </w:r>
          </w:p>
        </w:tc>
        <w:tc>
          <w:tcPr>
            <w:tcW w:w="370" w:type="pct"/>
            <w:tcBorders>
              <w:top w:val="nil"/>
              <w:left w:val="nil"/>
              <w:bottom w:val="single" w:sz="4" w:space="0" w:color="auto"/>
              <w:right w:val="single" w:sz="4" w:space="0" w:color="auto"/>
            </w:tcBorders>
            <w:shd w:val="clear" w:color="auto" w:fill="auto"/>
            <w:vAlign w:val="center"/>
            <w:hideMark/>
          </w:tcPr>
          <w:p w14:paraId="2920FA3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712ACB4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11C5DD8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6ECF6F0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mjedisore, ekonomike</w:t>
            </w:r>
          </w:p>
        </w:tc>
      </w:tr>
      <w:tr w:rsidR="008679C7" w:rsidRPr="00B6793F" w14:paraId="11DC4AFE"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5D7D720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378" w:type="pct"/>
            <w:tcBorders>
              <w:top w:val="nil"/>
              <w:left w:val="nil"/>
              <w:bottom w:val="single" w:sz="4" w:space="0" w:color="auto"/>
              <w:right w:val="single" w:sz="4" w:space="0" w:color="auto"/>
            </w:tcBorders>
            <w:shd w:val="clear" w:color="auto" w:fill="auto"/>
            <w:vAlign w:val="center"/>
            <w:hideMark/>
          </w:tcPr>
          <w:p w14:paraId="308C9A5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VKM nr. 484, datë 29.06.2016  "Për mbrojtjen e punonjësve nga rreziqet që lidhen me ekspozimin ndaj azbestit në vendin e punës"</w:t>
            </w:r>
          </w:p>
        </w:tc>
        <w:tc>
          <w:tcPr>
            <w:tcW w:w="324" w:type="pct"/>
            <w:tcBorders>
              <w:top w:val="nil"/>
              <w:left w:val="nil"/>
              <w:bottom w:val="single" w:sz="4" w:space="0" w:color="auto"/>
              <w:right w:val="single" w:sz="4" w:space="0" w:color="auto"/>
            </w:tcBorders>
            <w:shd w:val="clear" w:color="auto" w:fill="auto"/>
            <w:noWrap/>
            <w:vAlign w:val="center"/>
            <w:hideMark/>
          </w:tcPr>
          <w:p w14:paraId="1D09B1A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17F045E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77B695A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3297B5E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Transpozimi i "Direktivës2009/148/KE e Parlamentit Evropian dhe e Këshillit e 30 nëntorit 2009 mbi mbrojtjen e punëtorëve nga rreziqet që lidhen me ekspozimin ndaj asbestit në punë, siç është ndryshuar nga:</w:t>
            </w:r>
            <w:r w:rsidRPr="00B6793F">
              <w:rPr>
                <w:rFonts w:ascii="Arial" w:eastAsia="Times New Roman" w:hAnsi="Arial" w:cs="Arial"/>
                <w:color w:val="000000"/>
                <w:sz w:val="8"/>
                <w:szCs w:val="8"/>
                <w:lang w:eastAsia="sq-AL"/>
              </w:rPr>
              <w:br/>
              <w:t xml:space="preserve">Direktiva (BE) 2023/2668 e Parlamentit Evropian dhe e Këshillit e 22 nëntorit 2023 që ndryshon Direktivën 2009/148/KE mbi mbrojtjen e punëtorëve nga rreziqet që lidhen me ekspozimin ndaj asbestit në punë. </w:t>
            </w:r>
            <w:r w:rsidRPr="00B6793F">
              <w:rPr>
                <w:rFonts w:ascii="Arial" w:eastAsia="Times New Roman" w:hAnsi="Arial" w:cs="Arial"/>
                <w:b/>
                <w:bCs/>
                <w:color w:val="000000"/>
                <w:sz w:val="8"/>
                <w:szCs w:val="8"/>
                <w:lang w:eastAsia="sq-AL"/>
              </w:rPr>
              <w:t>Ligji  10237 date 18.02.2010 "Per sigurine  dhe shendetin ne pune"</w:t>
            </w:r>
          </w:p>
        </w:tc>
        <w:tc>
          <w:tcPr>
            <w:tcW w:w="509" w:type="pct"/>
            <w:tcBorders>
              <w:top w:val="nil"/>
              <w:left w:val="nil"/>
              <w:bottom w:val="single" w:sz="4" w:space="0" w:color="auto"/>
              <w:right w:val="single" w:sz="4" w:space="0" w:color="auto"/>
            </w:tcBorders>
            <w:shd w:val="clear" w:color="auto" w:fill="auto"/>
            <w:vAlign w:val="center"/>
            <w:hideMark/>
          </w:tcPr>
          <w:p w14:paraId="012A4C8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vlerat limit të ekspozimit dhe rregullat e sigurisë dhe shëndetit në punën ndaj azbestit në perputhje me kërkesat/rregullat e BE</w:t>
            </w:r>
          </w:p>
        </w:tc>
        <w:tc>
          <w:tcPr>
            <w:tcW w:w="502" w:type="pct"/>
            <w:tcBorders>
              <w:top w:val="nil"/>
              <w:left w:val="nil"/>
              <w:bottom w:val="single" w:sz="4" w:space="0" w:color="auto"/>
              <w:right w:val="single" w:sz="4" w:space="0" w:color="auto"/>
            </w:tcBorders>
            <w:shd w:val="clear" w:color="auto" w:fill="auto"/>
            <w:vAlign w:val="center"/>
            <w:hideMark/>
          </w:tcPr>
          <w:p w14:paraId="4EC71A0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PUNËSIMIT+H9</w:t>
            </w:r>
          </w:p>
        </w:tc>
        <w:tc>
          <w:tcPr>
            <w:tcW w:w="370" w:type="pct"/>
            <w:tcBorders>
              <w:top w:val="nil"/>
              <w:left w:val="nil"/>
              <w:bottom w:val="single" w:sz="4" w:space="0" w:color="auto"/>
              <w:right w:val="single" w:sz="4" w:space="0" w:color="auto"/>
            </w:tcBorders>
            <w:shd w:val="clear" w:color="auto" w:fill="auto"/>
            <w:vAlign w:val="center"/>
            <w:hideMark/>
          </w:tcPr>
          <w:p w14:paraId="473D8A5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1EF0A86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117898B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5A87412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mjedisore, ekonomike</w:t>
            </w:r>
          </w:p>
        </w:tc>
      </w:tr>
      <w:tr w:rsidR="008679C7" w:rsidRPr="00B6793F" w14:paraId="66D68560"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4B35BE7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378" w:type="pct"/>
            <w:tcBorders>
              <w:top w:val="nil"/>
              <w:left w:val="nil"/>
              <w:bottom w:val="single" w:sz="4" w:space="0" w:color="auto"/>
              <w:right w:val="single" w:sz="4" w:space="0" w:color="auto"/>
            </w:tcBorders>
            <w:shd w:val="clear" w:color="auto" w:fill="auto"/>
            <w:vAlign w:val="center"/>
            <w:hideMark/>
          </w:tcPr>
          <w:p w14:paraId="67D91DB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Stretegjisë Kombëtare për Shëndetin Mendor 2026-2030 dhe Planin e saj të Veprimit </w:t>
            </w:r>
          </w:p>
        </w:tc>
        <w:tc>
          <w:tcPr>
            <w:tcW w:w="324" w:type="pct"/>
            <w:tcBorders>
              <w:top w:val="nil"/>
              <w:left w:val="nil"/>
              <w:bottom w:val="single" w:sz="4" w:space="0" w:color="auto"/>
              <w:right w:val="single" w:sz="4" w:space="0" w:color="auto"/>
            </w:tcBorders>
            <w:shd w:val="clear" w:color="auto" w:fill="auto"/>
            <w:noWrap/>
            <w:vAlign w:val="center"/>
            <w:hideMark/>
          </w:tcPr>
          <w:p w14:paraId="0F56F08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1556DB4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4026803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2011A6E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Kjo nismë vjen në zbatim të angazhimeve dhe detyrimeve që rrjedhin nga aktivitetet e parashikuara në Planin e Punës për përmbushjen e piketave mbyllëse për Kapitullin 28, Nënkapitulli “Shëndeti Publik” , në kuadër të proceve të integrimit evropian. </w:t>
            </w:r>
            <w:r w:rsidRPr="00B6793F">
              <w:rPr>
                <w:rFonts w:ascii="Arial" w:eastAsia="Times New Roman" w:hAnsi="Arial" w:cs="Arial"/>
                <w:b/>
                <w:bCs/>
                <w:color w:val="000000"/>
                <w:sz w:val="8"/>
                <w:szCs w:val="8"/>
                <w:lang w:eastAsia="sq-AL"/>
              </w:rPr>
              <w:t>Neni 100 I Kushtetutes dhe Ligji 10237 dt. 18.02.2010 "Per sigurine dhe shendetin ne pune".</w:t>
            </w:r>
          </w:p>
        </w:tc>
        <w:tc>
          <w:tcPr>
            <w:tcW w:w="509" w:type="pct"/>
            <w:tcBorders>
              <w:top w:val="nil"/>
              <w:left w:val="nil"/>
              <w:bottom w:val="single" w:sz="4" w:space="0" w:color="auto"/>
              <w:right w:val="single" w:sz="4" w:space="0" w:color="auto"/>
            </w:tcBorders>
            <w:shd w:val="clear" w:color="auto" w:fill="auto"/>
            <w:vAlign w:val="center"/>
            <w:hideMark/>
          </w:tcPr>
          <w:p w14:paraId="603BEAF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Dokumenti Strategjik Kombëtar për Shëndetin Mendor do të ndërtojë një qasje gjithëpërfshirëse dhe ndërsektoriale, ku shëndeti mendor trajtohet si prioritet kombëtar dhe pjesë e politikave publike në të gjitha fushat. Ai synon të garantojë akses të barabartë, respektim të të drejtave dhe shërbime cilësore dhe të integruara. Strategjia do të fokusohet në promovimin e mireeqnies, parandalim problemeve te shendetit mendor, identifikimin e hershem,  trajtimin, rehabilitim dhe reintegrim si dhe përfshirjen aktive të komunitetit, duke krijuar mekanizma bashkëpunimi mes sektorëve të ndryshem, për të siguruar një sistem të qëndrueshëm dhe të harmonizuar me standardet evropiane. Harmonizimin i kuadrit strategjik shqiptar per shendetin mendor me parimet përkatëse të BE-së (Soft Acquis i BE) dhe OKB-së, si Konventa për të Drejtat e Personave me Aftësi të Kufizuara (CRPD), si dhe udhëzimet ndërkombëtare, përfshirë ëHO dhe OHCHR “Guidance on Mental Health, Human Rights and Legislation”, ëHO Guidance on Mental Health Policy and Strategic Action Plans, dhe publikimin më të fundit të OBSH-së “ëHO Guidance on Mental Health Across Government Sectors”. </w:t>
            </w:r>
          </w:p>
        </w:tc>
        <w:tc>
          <w:tcPr>
            <w:tcW w:w="502" w:type="pct"/>
            <w:tcBorders>
              <w:top w:val="nil"/>
              <w:left w:val="nil"/>
              <w:bottom w:val="single" w:sz="4" w:space="0" w:color="auto"/>
              <w:right w:val="single" w:sz="4" w:space="0" w:color="auto"/>
            </w:tcBorders>
            <w:shd w:val="clear" w:color="auto" w:fill="auto"/>
            <w:vAlign w:val="center"/>
            <w:hideMark/>
          </w:tcPr>
          <w:p w14:paraId="75B1EEC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0" w:type="pct"/>
            <w:tcBorders>
              <w:top w:val="nil"/>
              <w:left w:val="nil"/>
              <w:bottom w:val="single" w:sz="4" w:space="0" w:color="auto"/>
              <w:right w:val="single" w:sz="4" w:space="0" w:color="auto"/>
            </w:tcBorders>
            <w:shd w:val="clear" w:color="auto" w:fill="auto"/>
            <w:vAlign w:val="center"/>
            <w:hideMark/>
          </w:tcPr>
          <w:p w14:paraId="46223B7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2A4FD86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542D227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Strategjia Kombëtare e Shëndetësisë 2021–2030 Po, si pjese e  Planit te Punës për përmbushjen e piketave mbyllëse për Kapitullin 28, Nënkapitulli “Shëndeti Publik” , angazhimeve dhe detyrimeve që rrjedhin nga në kuadër të proceve të integrimit evropian </w:t>
            </w:r>
          </w:p>
        </w:tc>
        <w:tc>
          <w:tcPr>
            <w:tcW w:w="376" w:type="pct"/>
            <w:tcBorders>
              <w:top w:val="nil"/>
              <w:left w:val="nil"/>
              <w:bottom w:val="single" w:sz="4" w:space="0" w:color="auto"/>
              <w:right w:val="single" w:sz="4" w:space="0" w:color="auto"/>
            </w:tcBorders>
            <w:shd w:val="clear" w:color="auto" w:fill="auto"/>
            <w:vAlign w:val="center"/>
            <w:hideMark/>
          </w:tcPr>
          <w:p w14:paraId="6290C4B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679C7" w:rsidRPr="00B6793F" w14:paraId="5B540E5C"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EC7B43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378" w:type="pct"/>
            <w:tcBorders>
              <w:top w:val="nil"/>
              <w:left w:val="nil"/>
              <w:bottom w:val="single" w:sz="4" w:space="0" w:color="auto"/>
              <w:right w:val="single" w:sz="4" w:space="0" w:color="auto"/>
            </w:tcBorders>
            <w:shd w:val="clear" w:color="auto" w:fill="auto"/>
            <w:vAlign w:val="center"/>
            <w:hideMark/>
          </w:tcPr>
          <w:p w14:paraId="5E59F4A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per Drogat 2026-2030 dhe Plani I saj I veprimit</w:t>
            </w:r>
          </w:p>
        </w:tc>
        <w:tc>
          <w:tcPr>
            <w:tcW w:w="324" w:type="pct"/>
            <w:tcBorders>
              <w:top w:val="nil"/>
              <w:left w:val="nil"/>
              <w:bottom w:val="single" w:sz="4" w:space="0" w:color="auto"/>
              <w:right w:val="single" w:sz="4" w:space="0" w:color="auto"/>
            </w:tcBorders>
            <w:shd w:val="clear" w:color="auto" w:fill="auto"/>
            <w:noWrap/>
            <w:vAlign w:val="center"/>
            <w:hideMark/>
          </w:tcPr>
          <w:p w14:paraId="3C0C885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47D8006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Ministri i Shendetesise  dhe Mireqenies Sociale dhe Ministria e Infrastruktures dhe Energjise </w:t>
            </w:r>
          </w:p>
        </w:tc>
        <w:tc>
          <w:tcPr>
            <w:tcW w:w="298" w:type="pct"/>
            <w:tcBorders>
              <w:top w:val="nil"/>
              <w:left w:val="nil"/>
              <w:bottom w:val="single" w:sz="4" w:space="0" w:color="auto"/>
              <w:right w:val="single" w:sz="4" w:space="0" w:color="auto"/>
            </w:tcBorders>
            <w:shd w:val="clear" w:color="auto" w:fill="auto"/>
            <w:vAlign w:val="center"/>
            <w:hideMark/>
          </w:tcPr>
          <w:p w14:paraId="44940DC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7EE0E15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Kjo nismë vjen në zbatim të angazhimeve dhe detyrimeve që rrjedhin nga aktivitetet e parashikuara në Planin e Punës për përmbushjen e piketave mbyllëse për Kapitullin 28, Nënkapitulli “Shëndeti Publik” , në kuadër të proceve të integrimit evropian. </w:t>
            </w:r>
            <w:r w:rsidRPr="00B6793F">
              <w:rPr>
                <w:rFonts w:ascii="Arial" w:eastAsia="Times New Roman" w:hAnsi="Arial" w:cs="Arial"/>
                <w:b/>
                <w:bCs/>
                <w:color w:val="000000"/>
                <w:sz w:val="8"/>
                <w:szCs w:val="8"/>
                <w:lang w:eastAsia="sq-AL"/>
              </w:rPr>
              <w:t>Neni 100 I Kushtetutes  Ligji Per shendetin Publik"</w:t>
            </w:r>
          </w:p>
        </w:tc>
        <w:tc>
          <w:tcPr>
            <w:tcW w:w="509" w:type="pct"/>
            <w:tcBorders>
              <w:top w:val="nil"/>
              <w:left w:val="nil"/>
              <w:bottom w:val="single" w:sz="4" w:space="0" w:color="auto"/>
              <w:right w:val="single" w:sz="4" w:space="0" w:color="auto"/>
            </w:tcBorders>
            <w:shd w:val="clear" w:color="auto" w:fill="auto"/>
            <w:vAlign w:val="center"/>
            <w:hideMark/>
          </w:tcPr>
          <w:p w14:paraId="14315E8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per Drogat 2026-2030, si nje dokument nder-sektorial qe do te mbuloje gjithë spektrin e përgjigjes kundër drogës nga Reduktimi i ofertës , Reduktimi i kërkesës dhe Reduktimi i dëmit. Reduktimi i ofertës përfshin masa për të kufizuar prodhimin, shpërndarjen dhe trafikun e paligjshëm të drogave, përmes forcimit të kapaciteteve të zbatimit të ligjit, kontrollit kufitar dhe bashkëpunimit ndërkombëtar. Nderkohe Reduktimi i kërkesës synon uljen e përdorimit të drogave përmes programeve parandaluese, edukimit publik, trajtimit dhe rehabilitimit të përdoruesve, si dhe promovimit të shëndetit mendor. Gjithahstu Reduktimi i dëmit fokusohet në minimizimin e pasojave shëndetësore dhe sociale të përdorimit të drogave, përmes shërbimeve të reduktimit të rrezikut, aksesit në kujdes shëndetësor dhe programeve mbështetëse për grupet vulnerabel. Synohet qe strategjia kombetare të jetë e harmonizuar me EU Acquis per Drugsat (soft acquis), duke u bazuar veçanërisht në Strategjinë e BE-së për Drogat dhe Planin e Veprimit, dhe përcaktimin e  objektivave, masave dhe mekanizmave të zbatimit, duke integruar praktikat më të mira evropiane dhe duke garantuar përputhshmëri me standardet e BE-së.</w:t>
            </w:r>
          </w:p>
        </w:tc>
        <w:tc>
          <w:tcPr>
            <w:tcW w:w="502" w:type="pct"/>
            <w:tcBorders>
              <w:top w:val="nil"/>
              <w:left w:val="nil"/>
              <w:bottom w:val="single" w:sz="4" w:space="0" w:color="auto"/>
              <w:right w:val="single" w:sz="4" w:space="0" w:color="auto"/>
            </w:tcBorders>
            <w:shd w:val="clear" w:color="auto" w:fill="auto"/>
            <w:vAlign w:val="center"/>
            <w:hideMark/>
          </w:tcPr>
          <w:p w14:paraId="450378F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0" w:type="pct"/>
            <w:tcBorders>
              <w:top w:val="nil"/>
              <w:left w:val="nil"/>
              <w:bottom w:val="single" w:sz="4" w:space="0" w:color="auto"/>
              <w:right w:val="single" w:sz="4" w:space="0" w:color="auto"/>
            </w:tcBorders>
            <w:shd w:val="clear" w:color="auto" w:fill="auto"/>
            <w:vAlign w:val="center"/>
            <w:hideMark/>
          </w:tcPr>
          <w:p w14:paraId="3144907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2E67254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60E254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si pjese e  Planit te Punës për përmbushjen e piketave mbyllëse për Kapitullin 28, Nënkapitulli “Shëndeti Publik” , angazhimeve dhe detyrimeve që rrjedhin nga në kuadër të proceve të integrimit evropian</w:t>
            </w:r>
          </w:p>
        </w:tc>
        <w:tc>
          <w:tcPr>
            <w:tcW w:w="376" w:type="pct"/>
            <w:tcBorders>
              <w:top w:val="nil"/>
              <w:left w:val="nil"/>
              <w:bottom w:val="single" w:sz="4" w:space="0" w:color="auto"/>
              <w:right w:val="single" w:sz="4" w:space="0" w:color="auto"/>
            </w:tcBorders>
            <w:shd w:val="clear" w:color="auto" w:fill="auto"/>
            <w:vAlign w:val="center"/>
            <w:hideMark/>
          </w:tcPr>
          <w:p w14:paraId="27B8103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8679C7" w:rsidRPr="00B6793F" w14:paraId="762C626D"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42B7D89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378" w:type="pct"/>
            <w:tcBorders>
              <w:top w:val="nil"/>
              <w:left w:val="nil"/>
              <w:bottom w:val="single" w:sz="4" w:space="0" w:color="auto"/>
              <w:right w:val="single" w:sz="4" w:space="0" w:color="auto"/>
            </w:tcBorders>
            <w:shd w:val="clear" w:color="auto" w:fill="auto"/>
            <w:vAlign w:val="center"/>
            <w:hideMark/>
          </w:tcPr>
          <w:p w14:paraId="21FC9AF5"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Amendimi i Ligjit Nr. 9636 “Për Mbrojtjen e Shëndetit nga Produktet e Duhanit” dhe akteve nënligjore përkatëse</w:t>
            </w:r>
          </w:p>
        </w:tc>
        <w:tc>
          <w:tcPr>
            <w:tcW w:w="324" w:type="pct"/>
            <w:tcBorders>
              <w:top w:val="nil"/>
              <w:left w:val="nil"/>
              <w:bottom w:val="single" w:sz="4" w:space="0" w:color="auto"/>
              <w:right w:val="single" w:sz="4" w:space="0" w:color="auto"/>
            </w:tcBorders>
            <w:shd w:val="clear" w:color="auto" w:fill="auto"/>
            <w:noWrap/>
            <w:vAlign w:val="center"/>
            <w:hideMark/>
          </w:tcPr>
          <w:p w14:paraId="72D15FC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26" w:type="pct"/>
            <w:tcBorders>
              <w:top w:val="nil"/>
              <w:left w:val="nil"/>
              <w:bottom w:val="single" w:sz="4" w:space="0" w:color="auto"/>
              <w:right w:val="single" w:sz="4" w:space="0" w:color="auto"/>
            </w:tcBorders>
            <w:shd w:val="clear" w:color="auto" w:fill="auto"/>
            <w:vAlign w:val="center"/>
            <w:hideMark/>
          </w:tcPr>
          <w:p w14:paraId="655426A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 dhe Ministria e Ekonomise dhe Inovacionit</w:t>
            </w:r>
          </w:p>
        </w:tc>
        <w:tc>
          <w:tcPr>
            <w:tcW w:w="298" w:type="pct"/>
            <w:tcBorders>
              <w:top w:val="nil"/>
              <w:left w:val="nil"/>
              <w:bottom w:val="single" w:sz="4" w:space="0" w:color="auto"/>
              <w:right w:val="single" w:sz="4" w:space="0" w:color="auto"/>
            </w:tcBorders>
            <w:shd w:val="clear" w:color="auto" w:fill="auto"/>
            <w:vAlign w:val="center"/>
            <w:hideMark/>
          </w:tcPr>
          <w:p w14:paraId="685C2BC9" w14:textId="77777777" w:rsidR="008679C7" w:rsidRPr="00B6793F" w:rsidRDefault="008679C7" w:rsidP="008679C7">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3308AAA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Kjo nismë vjen në zbatim të angazhimeve dhe detyrimeve që rrjedhin nga aktivitetet e parashikuara në Planin e Punës për përmbushjen e piketave mbyllëse për Kapitullin 28, Nënkapitulli “Shëndeti Publik” , në kuadër të proceve të integrimit evropian.</w:t>
            </w:r>
            <w:r w:rsidRPr="00B6793F">
              <w:rPr>
                <w:rFonts w:ascii="Arial" w:eastAsia="Times New Roman" w:hAnsi="Arial" w:cs="Arial"/>
                <w:b/>
                <w:bCs/>
                <w:color w:val="000000"/>
                <w:sz w:val="8"/>
                <w:szCs w:val="8"/>
                <w:lang w:eastAsia="sq-AL"/>
              </w:rPr>
              <w:t xml:space="preserve"> Nenet  78, 83 te Kushtetutes ligji nr. 10138, date 11.05.2009  "Per shendetin Publik".</w:t>
            </w:r>
          </w:p>
        </w:tc>
        <w:tc>
          <w:tcPr>
            <w:tcW w:w="509" w:type="pct"/>
            <w:tcBorders>
              <w:top w:val="nil"/>
              <w:left w:val="nil"/>
              <w:bottom w:val="single" w:sz="4" w:space="0" w:color="auto"/>
              <w:right w:val="single" w:sz="4" w:space="0" w:color="auto"/>
            </w:tcBorders>
            <w:shd w:val="clear" w:color="auto" w:fill="auto"/>
            <w:vAlign w:val="center"/>
            <w:hideMark/>
          </w:tcPr>
          <w:p w14:paraId="6E88242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Ligji i ri duhet te jete plotesisht i transpozuar me Acquis te BE ne fushen e duhanit. Hartimi i legjislacionit që siguron përafrim të plotë me acquis të BE-së për kontrollin e duhanit, duke përfshirë të gjitha direktivat, vendimet zbatuese. dhe udhëzimet teknike për harmonizimin e dispozitave kombëtare me standardet e BE-së mbi prodhimin, paraqitjen, shitjen, reklamimin, sponsorizimin, paralajmërimet shëndetësore, gjurmueshmërinë dhe elementet e sigurisë për produktet e duhanit, duke siguruar që dokumenti ligjor të reflektojë praktikat më të mira dhe të jetë në përputhje me detyrimet ndërkombëtare.</w:t>
            </w:r>
            <w:r w:rsidRPr="00B6793F">
              <w:rPr>
                <w:rFonts w:ascii="Arial" w:eastAsia="Times New Roman" w:hAnsi="Arial" w:cs="Arial"/>
                <w:color w:val="000000"/>
                <w:sz w:val="8"/>
                <w:szCs w:val="8"/>
                <w:lang w:eastAsia="sq-AL"/>
              </w:rPr>
              <w:br/>
              <w:t>Synohet integrimi i plote i dispozitave për strukturat administrative dhe teknike, mekanizmat e zbatimit dhe masat për ndërtimin e kapaciteteve, përfshire përcaktimin e përgjegjësive institucionale, nevojave për staf dhe planeve të trajnimit për të garantuar zbatimin efektiv deri në momentin e anëtarësimit.</w:t>
            </w:r>
          </w:p>
        </w:tc>
        <w:tc>
          <w:tcPr>
            <w:tcW w:w="502" w:type="pct"/>
            <w:tcBorders>
              <w:top w:val="nil"/>
              <w:left w:val="nil"/>
              <w:bottom w:val="single" w:sz="4" w:space="0" w:color="auto"/>
              <w:right w:val="single" w:sz="4" w:space="0" w:color="auto"/>
            </w:tcBorders>
            <w:shd w:val="clear" w:color="auto" w:fill="auto"/>
            <w:vAlign w:val="center"/>
            <w:hideMark/>
          </w:tcPr>
          <w:p w14:paraId="77DF072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0" w:type="pct"/>
            <w:tcBorders>
              <w:top w:val="nil"/>
              <w:left w:val="nil"/>
              <w:bottom w:val="single" w:sz="4" w:space="0" w:color="auto"/>
              <w:right w:val="single" w:sz="4" w:space="0" w:color="auto"/>
            </w:tcBorders>
            <w:shd w:val="clear" w:color="auto" w:fill="auto"/>
            <w:vAlign w:val="center"/>
            <w:hideMark/>
          </w:tcPr>
          <w:p w14:paraId="4222B5C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48A4F70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7BA4950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SHËNDETËSISË 2021-2030</w:t>
            </w:r>
          </w:p>
        </w:tc>
        <w:tc>
          <w:tcPr>
            <w:tcW w:w="376" w:type="pct"/>
            <w:tcBorders>
              <w:top w:val="nil"/>
              <w:left w:val="nil"/>
              <w:bottom w:val="single" w:sz="4" w:space="0" w:color="auto"/>
              <w:right w:val="single" w:sz="4" w:space="0" w:color="auto"/>
            </w:tcBorders>
            <w:shd w:val="clear" w:color="auto" w:fill="auto"/>
            <w:vAlign w:val="center"/>
            <w:hideMark/>
          </w:tcPr>
          <w:p w14:paraId="73F76D6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679C7" w:rsidRPr="00B6793F" w14:paraId="07BB2097"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FC8EC5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378" w:type="pct"/>
            <w:tcBorders>
              <w:top w:val="nil"/>
              <w:left w:val="nil"/>
              <w:bottom w:val="single" w:sz="4" w:space="0" w:color="auto"/>
              <w:right w:val="single" w:sz="4" w:space="0" w:color="auto"/>
            </w:tcBorders>
            <w:shd w:val="clear" w:color="auto" w:fill="auto"/>
            <w:vAlign w:val="center"/>
            <w:hideMark/>
          </w:tcPr>
          <w:p w14:paraId="7A20232A"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Mbi kërkesat e cilësisë së ujit të pijshëm, që do të shfuqizojë vendimin nr. 379, datë 25.05.2016 për miratimin e rregullores “Cilësia e ujit të pijshëm”, i hartuar në përaftrim të Direktivës 98/83/KE, shfuqizuar nga Direktiva 2020/2184 (Recast) qe do perafrohet.</w:t>
            </w:r>
          </w:p>
        </w:tc>
        <w:tc>
          <w:tcPr>
            <w:tcW w:w="324" w:type="pct"/>
            <w:tcBorders>
              <w:top w:val="nil"/>
              <w:left w:val="nil"/>
              <w:bottom w:val="single" w:sz="4" w:space="0" w:color="auto"/>
              <w:right w:val="single" w:sz="4" w:space="0" w:color="auto"/>
            </w:tcBorders>
            <w:shd w:val="clear" w:color="auto" w:fill="auto"/>
            <w:noWrap/>
            <w:vAlign w:val="center"/>
            <w:hideMark/>
          </w:tcPr>
          <w:p w14:paraId="3DF206B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08F9132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56612D4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6913537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mbi kërkesat e cilësisë së ujit të pijshëm përafron direktivën (BE) 2020/2184 të Parlamentit Evropian dhe Këshillit (recast), që është një nga direktivat e acquis për tu përafruar në  zbatim të angazhimeve dhe detyrimeve që rrjedhin nga aktivitetet e parashikuara në Planin e Punës për përmbushjen e piketave mbyllëse për Kapitullin 27 "Mjedisi dhe ndryshimet klimatike” , në kuadër të proceve të Integrimit Evropian. </w:t>
            </w:r>
            <w:r w:rsidRPr="00B6793F">
              <w:rPr>
                <w:rFonts w:ascii="Arial" w:eastAsia="Times New Roman" w:hAnsi="Arial" w:cs="Arial"/>
                <w:b/>
                <w:bCs/>
                <w:color w:val="000000"/>
                <w:sz w:val="8"/>
                <w:szCs w:val="8"/>
                <w:lang w:eastAsia="sq-AL"/>
              </w:rPr>
              <w:t>Ligji 10138 date 11.05.2009 "Per shendetin publik " dhe  ligji nr. 111/2012 Per menaxhimin e integruar  te burimeve ujore.</w:t>
            </w:r>
          </w:p>
        </w:tc>
        <w:tc>
          <w:tcPr>
            <w:tcW w:w="509" w:type="pct"/>
            <w:tcBorders>
              <w:top w:val="nil"/>
              <w:left w:val="nil"/>
              <w:bottom w:val="single" w:sz="4" w:space="0" w:color="auto"/>
              <w:right w:val="single" w:sz="4" w:space="0" w:color="auto"/>
            </w:tcBorders>
            <w:shd w:val="clear" w:color="auto" w:fill="auto"/>
            <w:vAlign w:val="center"/>
            <w:hideMark/>
          </w:tcPr>
          <w:p w14:paraId="2575BF1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Akt i përditësuar dhe përfshirës i gjithë kërkesave të acquis për ujin e destinuar për konsum nga njerëzit.</w:t>
            </w:r>
          </w:p>
        </w:tc>
        <w:tc>
          <w:tcPr>
            <w:tcW w:w="502" w:type="pct"/>
            <w:tcBorders>
              <w:top w:val="nil"/>
              <w:left w:val="nil"/>
              <w:bottom w:val="single" w:sz="4" w:space="0" w:color="auto"/>
              <w:right w:val="single" w:sz="4" w:space="0" w:color="auto"/>
            </w:tcBorders>
            <w:shd w:val="clear" w:color="auto" w:fill="auto"/>
            <w:vAlign w:val="center"/>
            <w:hideMark/>
          </w:tcPr>
          <w:p w14:paraId="312FC9E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27</w:t>
            </w:r>
          </w:p>
        </w:tc>
        <w:tc>
          <w:tcPr>
            <w:tcW w:w="370" w:type="pct"/>
            <w:tcBorders>
              <w:top w:val="nil"/>
              <w:left w:val="nil"/>
              <w:bottom w:val="single" w:sz="4" w:space="0" w:color="auto"/>
              <w:right w:val="single" w:sz="4" w:space="0" w:color="auto"/>
            </w:tcBorders>
            <w:shd w:val="clear" w:color="auto" w:fill="auto"/>
            <w:vAlign w:val="center"/>
            <w:hideMark/>
          </w:tcPr>
          <w:p w14:paraId="1161EE9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3.2. Shëndetësia</w:t>
            </w:r>
          </w:p>
        </w:tc>
        <w:tc>
          <w:tcPr>
            <w:tcW w:w="276" w:type="pct"/>
            <w:tcBorders>
              <w:top w:val="nil"/>
              <w:left w:val="nil"/>
              <w:bottom w:val="single" w:sz="4" w:space="0" w:color="auto"/>
              <w:right w:val="single" w:sz="4" w:space="0" w:color="auto"/>
            </w:tcBorders>
            <w:shd w:val="clear" w:color="auto" w:fill="auto"/>
            <w:vAlign w:val="center"/>
            <w:hideMark/>
          </w:tcPr>
          <w:p w14:paraId="750A4BB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27070B1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SHËNDETËSISË 2021-2030</w:t>
            </w:r>
          </w:p>
        </w:tc>
        <w:tc>
          <w:tcPr>
            <w:tcW w:w="376" w:type="pct"/>
            <w:tcBorders>
              <w:top w:val="nil"/>
              <w:left w:val="nil"/>
              <w:bottom w:val="single" w:sz="4" w:space="0" w:color="auto"/>
              <w:right w:val="single" w:sz="4" w:space="0" w:color="auto"/>
            </w:tcBorders>
            <w:shd w:val="clear" w:color="auto" w:fill="auto"/>
            <w:vAlign w:val="center"/>
            <w:hideMark/>
          </w:tcPr>
          <w:p w14:paraId="54421F6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679C7" w:rsidRPr="00B6793F" w14:paraId="6FA07EE5"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30DDEB7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378" w:type="pct"/>
            <w:tcBorders>
              <w:top w:val="nil"/>
              <w:left w:val="nil"/>
              <w:bottom w:val="single" w:sz="4" w:space="0" w:color="auto"/>
              <w:right w:val="single" w:sz="4" w:space="0" w:color="auto"/>
            </w:tcBorders>
            <w:shd w:val="clear" w:color="auto" w:fill="auto"/>
            <w:vAlign w:val="center"/>
            <w:hideMark/>
          </w:tcPr>
          <w:p w14:paraId="4CA001D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nr.121/2016 "Për shërbimet e përkujdesit shoqëror në Republikën e Shqipërisë"</w:t>
            </w:r>
          </w:p>
        </w:tc>
        <w:tc>
          <w:tcPr>
            <w:tcW w:w="324" w:type="pct"/>
            <w:tcBorders>
              <w:top w:val="nil"/>
              <w:left w:val="nil"/>
              <w:bottom w:val="single" w:sz="4" w:space="0" w:color="auto"/>
              <w:right w:val="single" w:sz="4" w:space="0" w:color="auto"/>
            </w:tcBorders>
            <w:shd w:val="clear" w:color="auto" w:fill="auto"/>
            <w:noWrap/>
            <w:vAlign w:val="center"/>
            <w:hideMark/>
          </w:tcPr>
          <w:p w14:paraId="3172558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26" w:type="pct"/>
            <w:tcBorders>
              <w:top w:val="nil"/>
              <w:left w:val="nil"/>
              <w:bottom w:val="single" w:sz="4" w:space="0" w:color="auto"/>
              <w:right w:val="single" w:sz="4" w:space="0" w:color="auto"/>
            </w:tcBorders>
            <w:shd w:val="clear" w:color="auto" w:fill="auto"/>
            <w:vAlign w:val="center"/>
            <w:hideMark/>
          </w:tcPr>
          <w:p w14:paraId="0A47715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71D3B58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61E8BCBC"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për miratimin e ndryshimeve në Ligjin nr. 121/2016 “Për shërbimet e kujdesit shoqëror” propozohet me qëllim përmirësimin e kuadrit ligjor ekzistues dhe përshtatjen e tij me zhvillimet institucionale, strategjike dhe ndërkombëtare në fushën e mbrojtjes sociale. Pas zbatimit disa</w:t>
            </w:r>
            <w:r w:rsidRPr="00B6793F">
              <w:rPr>
                <w:rFonts w:ascii="Arial" w:eastAsia="Times New Roman" w:hAnsi="Arial" w:cs="Arial"/>
                <w:sz w:val="8"/>
                <w:szCs w:val="8"/>
                <w:lang w:eastAsia="sq-AL"/>
              </w:rPr>
              <w:softHyphen/>
              <w:t xml:space="preserve">vjeçar të ligjit, janë identifikuar një sërë problematikash që lidhen me paqartësi konceptuale, mbivendosje kompetencash ndërmjet niveleve të qeverisjes, mungesë harmonizimi me ligje të tjera si Ligji për vetëqeverisjen vendore dhe Ligji për të drejtat dhe mbrojtjen e fëmijëve, si dhe me nevojën për të rregulluar më mirë proceset e deinstitucionalizimit, inspektimit, certifikimit profesional dhe financimit të shërbimeve sociale. Ndryshimet synojnë të sigurojnë qartësi ligjore, efikasitet institucional, mbrojtje më të mirë të përfituesve dhe përputhshmëri me standardet ndërkombëtare, veçanërisht me Konventën e OKB-së për të Drejtat e Personave me Aftësi të Kufizuara dhe Udhëzimet e OKB-së për Kujdesin Alternativ të Fëmijëve. </w:t>
            </w:r>
            <w:r w:rsidRPr="00B6793F">
              <w:rPr>
                <w:rFonts w:ascii="Arial" w:eastAsia="Times New Roman" w:hAnsi="Arial" w:cs="Arial"/>
                <w:b/>
                <w:bCs/>
                <w:sz w:val="8"/>
                <w:szCs w:val="8"/>
                <w:lang w:eastAsia="sq-AL"/>
              </w:rPr>
              <w:t xml:space="preserve">Nenet 78 dhe 83, pika 1 te Kushtetutes </w:t>
            </w:r>
          </w:p>
        </w:tc>
        <w:tc>
          <w:tcPr>
            <w:tcW w:w="509" w:type="pct"/>
            <w:tcBorders>
              <w:top w:val="nil"/>
              <w:left w:val="nil"/>
              <w:bottom w:val="single" w:sz="4" w:space="0" w:color="auto"/>
              <w:right w:val="single" w:sz="4" w:space="0" w:color="auto"/>
            </w:tcBorders>
            <w:shd w:val="clear" w:color="auto" w:fill="auto"/>
            <w:vAlign w:val="center"/>
            <w:hideMark/>
          </w:tcPr>
          <w:p w14:paraId="389D625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përmirësimin dhe harmonizimin e përkufizimeve ligjore, duke dalluar qartë ndërmjet roleve dhe funksioneve të asistentit personal dhe shërbimit të asistencës personale, si dhe ristrukturimin e klasifikimit të shërbimeve të kujdesit social për të siguruar kategorizim të unifikuar. Ai sanksionon procesin e deinstitucionalizimit si pjesë të kornizës ligjore dhe qartëson rregullat për shërbimet e asistencës personale në përputhje me parimet e përfshirjes dhe mosdiskriminimit. Ndryshimet përfshijnë gjithashtu forcimin e mekanizmave të inspektimit dhe monitorimit, rregullimin e certifikimit dhe akreditimit të praktikuesve socialë, qartësimin e rolit të pushtetit vendor në financimin e shërbimeve, si dhe përmirësimin e rregullave për fondet sociale vendore. Po ashtu, projektakti synon harmonizimin e përgjegjësive ndërmjet Njësive për Mbrojtjen e Fëmijëve dhe Njësive të Vlerësimit të Nevojave dhe Referimit, përfshirjen e plotë të të dhënave në Regjistrin Elektronik Kombëtar të Shërbimeve të Kujdesit Social dhe qartësimin e procedurave për decentralizimin e shërbimeve. Një ndër risitë e rëndësishme është rishikimi i dispozitave mbi kujdestarinë, me qëllim diferencimin e qartë nga kujdesi fosters dhe përafrimin me ligjin e ri për kujdesin alternativ.</w:t>
            </w:r>
          </w:p>
        </w:tc>
        <w:tc>
          <w:tcPr>
            <w:tcW w:w="502" w:type="pct"/>
            <w:tcBorders>
              <w:top w:val="nil"/>
              <w:left w:val="nil"/>
              <w:bottom w:val="single" w:sz="4" w:space="0" w:color="auto"/>
              <w:right w:val="single" w:sz="4" w:space="0" w:color="auto"/>
            </w:tcBorders>
            <w:shd w:val="clear" w:color="auto" w:fill="auto"/>
            <w:vAlign w:val="center"/>
            <w:hideMark/>
          </w:tcPr>
          <w:p w14:paraId="08D1BE75"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19</w:t>
            </w:r>
          </w:p>
        </w:tc>
        <w:tc>
          <w:tcPr>
            <w:tcW w:w="370" w:type="pct"/>
            <w:tcBorders>
              <w:top w:val="nil"/>
              <w:left w:val="nil"/>
              <w:bottom w:val="single" w:sz="4" w:space="0" w:color="auto"/>
              <w:right w:val="single" w:sz="4" w:space="0" w:color="auto"/>
            </w:tcBorders>
            <w:shd w:val="clear" w:color="auto" w:fill="auto"/>
            <w:vAlign w:val="center"/>
            <w:hideMark/>
          </w:tcPr>
          <w:p w14:paraId="718439B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78A7DA1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5A6629F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1C65274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 Ekonomike dhe Financiare     Programi "Perkujdesi Social" 10430 MSHMS</w:t>
            </w:r>
          </w:p>
        </w:tc>
      </w:tr>
      <w:tr w:rsidR="008679C7" w:rsidRPr="00B6793F" w14:paraId="7CCD08EB"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7B31088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378" w:type="pct"/>
            <w:tcBorders>
              <w:top w:val="nil"/>
              <w:left w:val="nil"/>
              <w:bottom w:val="single" w:sz="4" w:space="0" w:color="auto"/>
              <w:right w:val="single" w:sz="4" w:space="0" w:color="auto"/>
            </w:tcBorders>
            <w:shd w:val="clear" w:color="auto" w:fill="auto"/>
            <w:vAlign w:val="center"/>
            <w:hideMark/>
          </w:tcPr>
          <w:p w14:paraId="2322290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një ndryshim në vendimin nr 78, datë 7.2.2007 Për masën, kriteret dhe procedurat e përfitimit të një pakete të veçantë higjieno-sanitare, për invalidët paraplegjikë dhe tetraplegjikë”, të ndryshuar</w:t>
            </w:r>
          </w:p>
        </w:tc>
        <w:tc>
          <w:tcPr>
            <w:tcW w:w="324" w:type="pct"/>
            <w:tcBorders>
              <w:top w:val="nil"/>
              <w:left w:val="nil"/>
              <w:bottom w:val="single" w:sz="4" w:space="0" w:color="auto"/>
              <w:right w:val="single" w:sz="4" w:space="0" w:color="auto"/>
            </w:tcBorders>
            <w:shd w:val="clear" w:color="auto" w:fill="auto"/>
            <w:noWrap/>
            <w:vAlign w:val="center"/>
            <w:hideMark/>
          </w:tcPr>
          <w:p w14:paraId="708D75C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7DEBDA2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5C1E323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0D7831A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Paketa higjieno-sanitare e paraplegjikëve dhe tetraplegjikëve indeksohet në bazë të indeksit të cmimeve të konsumit, sipas pikës 1.1 të vendimit nr. 78, datë 7.2.2007 “Për masën, kriteret dhe procedurat e përfitimit të një pakete të veçantë higjieno-sanitare, për invalidët paraplegjikë dhe tetraplegjikë”, të ndryshuar . </w:t>
            </w:r>
            <w:r w:rsidRPr="00B6793F">
              <w:rPr>
                <w:rFonts w:ascii="Arial" w:eastAsia="Times New Roman" w:hAnsi="Arial" w:cs="Arial"/>
                <w:b/>
                <w:bCs/>
                <w:color w:val="000000"/>
                <w:sz w:val="8"/>
                <w:szCs w:val="8"/>
                <w:lang w:eastAsia="sq-AL"/>
              </w:rPr>
              <w:t>Neni 9 i ligjit nr.8626, datë 22.6.2000 “Për statusin e invalidit paraplegjik dhe tetraplegjik”, të ndryshuar</w:t>
            </w:r>
          </w:p>
        </w:tc>
        <w:tc>
          <w:tcPr>
            <w:tcW w:w="509" w:type="pct"/>
            <w:tcBorders>
              <w:top w:val="nil"/>
              <w:left w:val="nil"/>
              <w:bottom w:val="single" w:sz="4" w:space="0" w:color="auto"/>
              <w:right w:val="single" w:sz="4" w:space="0" w:color="auto"/>
            </w:tcBorders>
            <w:shd w:val="clear" w:color="auto" w:fill="auto"/>
            <w:vAlign w:val="center"/>
            <w:hideMark/>
          </w:tcPr>
          <w:p w14:paraId="5716BCA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përmirësimin e përfitimeve në pagesa për mbulimin e shpenzimeve për përballimin e vlerës së paketës së domosdoshme me materiale të veçanta higjieno-sanitare për paraplegjikët dhe tetraplegjikët, në përputhje me vlerën e materialeve të kësaj pakete në treg</w:t>
            </w:r>
          </w:p>
        </w:tc>
        <w:tc>
          <w:tcPr>
            <w:tcW w:w="502" w:type="pct"/>
            <w:tcBorders>
              <w:top w:val="nil"/>
              <w:left w:val="nil"/>
              <w:bottom w:val="single" w:sz="4" w:space="0" w:color="auto"/>
              <w:right w:val="single" w:sz="4" w:space="0" w:color="auto"/>
            </w:tcBorders>
            <w:shd w:val="clear" w:color="auto" w:fill="auto"/>
            <w:vAlign w:val="center"/>
            <w:hideMark/>
          </w:tcPr>
          <w:p w14:paraId="1E50F1DF"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0" w:type="pct"/>
            <w:tcBorders>
              <w:top w:val="nil"/>
              <w:left w:val="nil"/>
              <w:bottom w:val="single" w:sz="4" w:space="0" w:color="auto"/>
              <w:right w:val="single" w:sz="4" w:space="0" w:color="auto"/>
            </w:tcBorders>
            <w:shd w:val="clear" w:color="auto" w:fill="auto"/>
            <w:vAlign w:val="center"/>
            <w:hideMark/>
          </w:tcPr>
          <w:p w14:paraId="225BB44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3.3. Familja, Politikat Sociale dhe Strehimi</w:t>
            </w:r>
          </w:p>
        </w:tc>
        <w:tc>
          <w:tcPr>
            <w:tcW w:w="276" w:type="pct"/>
            <w:tcBorders>
              <w:top w:val="nil"/>
              <w:left w:val="nil"/>
              <w:bottom w:val="single" w:sz="4" w:space="0" w:color="auto"/>
              <w:right w:val="single" w:sz="4" w:space="0" w:color="auto"/>
            </w:tcBorders>
            <w:shd w:val="clear" w:color="auto" w:fill="auto"/>
            <w:vAlign w:val="center"/>
            <w:hideMark/>
          </w:tcPr>
          <w:p w14:paraId="331EFCF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46DAE03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Kombetare e Mbrojtjes Sociale 2024-2030</w:t>
            </w:r>
          </w:p>
        </w:tc>
        <w:tc>
          <w:tcPr>
            <w:tcW w:w="376" w:type="pct"/>
            <w:tcBorders>
              <w:top w:val="nil"/>
              <w:left w:val="nil"/>
              <w:bottom w:val="single" w:sz="4" w:space="0" w:color="auto"/>
              <w:right w:val="single" w:sz="4" w:space="0" w:color="auto"/>
            </w:tcBorders>
            <w:shd w:val="clear" w:color="auto" w:fill="auto"/>
            <w:vAlign w:val="center"/>
            <w:hideMark/>
          </w:tcPr>
          <w:p w14:paraId="55D8E4C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Sociale, Ekonomike dhe Financiare     Programi "Perkujdesi Social" 10430 MSHMS</w:t>
            </w:r>
          </w:p>
        </w:tc>
      </w:tr>
      <w:tr w:rsidR="008679C7" w:rsidRPr="00B6793F" w14:paraId="63DAF828"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noWrap/>
            <w:vAlign w:val="center"/>
            <w:hideMark/>
          </w:tcPr>
          <w:p w14:paraId="60DC17C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23</w:t>
            </w:r>
          </w:p>
        </w:tc>
        <w:tc>
          <w:tcPr>
            <w:tcW w:w="378" w:type="pct"/>
            <w:tcBorders>
              <w:top w:val="nil"/>
              <w:left w:val="nil"/>
              <w:bottom w:val="single" w:sz="4" w:space="0" w:color="auto"/>
              <w:right w:val="single" w:sz="4" w:space="0" w:color="auto"/>
            </w:tcBorders>
            <w:shd w:val="clear" w:color="auto" w:fill="auto"/>
            <w:vAlign w:val="center"/>
            <w:hideMark/>
          </w:tcPr>
          <w:p w14:paraId="76892999" w14:textId="77777777" w:rsidR="008679C7" w:rsidRPr="00B6793F" w:rsidRDefault="008679C7" w:rsidP="008679C7">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Agjendës Kombëtare për të Drejtat e Fëmijëve 2027-2030</w:t>
            </w:r>
          </w:p>
        </w:tc>
        <w:tc>
          <w:tcPr>
            <w:tcW w:w="324" w:type="pct"/>
            <w:tcBorders>
              <w:top w:val="nil"/>
              <w:left w:val="nil"/>
              <w:bottom w:val="single" w:sz="4" w:space="0" w:color="auto"/>
              <w:right w:val="single" w:sz="4" w:space="0" w:color="auto"/>
            </w:tcBorders>
            <w:shd w:val="clear" w:color="auto" w:fill="auto"/>
            <w:noWrap/>
            <w:vAlign w:val="center"/>
            <w:hideMark/>
          </w:tcPr>
          <w:p w14:paraId="070DB98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3493866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1A98CC48"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72E1A0F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 përfundim të Agjendës Kombëtare për të Drejtat e Fëmjëve 2021-2026, do të hartohet dokumenti i ri strategjik. </w:t>
            </w:r>
            <w:r w:rsidRPr="00B6793F">
              <w:rPr>
                <w:rFonts w:ascii="Arial" w:eastAsia="Times New Roman" w:hAnsi="Arial" w:cs="Arial"/>
                <w:b/>
                <w:bCs/>
                <w:color w:val="000000"/>
                <w:sz w:val="8"/>
                <w:szCs w:val="8"/>
                <w:lang w:eastAsia="sq-AL"/>
              </w:rPr>
              <w:t>Neni 39, shkronja “b”, e ligjit nr. 18/2017, “Për të drejtat dhe mbrojtjen e fëmijës”</w:t>
            </w:r>
          </w:p>
        </w:tc>
        <w:tc>
          <w:tcPr>
            <w:tcW w:w="509" w:type="pct"/>
            <w:tcBorders>
              <w:top w:val="nil"/>
              <w:left w:val="nil"/>
              <w:bottom w:val="single" w:sz="4" w:space="0" w:color="auto"/>
              <w:right w:val="single" w:sz="4" w:space="0" w:color="auto"/>
            </w:tcBorders>
            <w:shd w:val="clear" w:color="auto" w:fill="auto"/>
            <w:vAlign w:val="center"/>
            <w:hideMark/>
          </w:tcPr>
          <w:p w14:paraId="54E960D9"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Agjenda do të parashikojë masa dhe objektiva, që kanë synim përmirësimin e cilësisë së jetës së fëmijëve dhe adoleshentëve, si në familje ashtu edhe komunitet.</w:t>
            </w:r>
          </w:p>
        </w:tc>
        <w:tc>
          <w:tcPr>
            <w:tcW w:w="502" w:type="pct"/>
            <w:tcBorders>
              <w:top w:val="nil"/>
              <w:left w:val="nil"/>
              <w:bottom w:val="single" w:sz="4" w:space="0" w:color="auto"/>
              <w:right w:val="single" w:sz="4" w:space="0" w:color="auto"/>
            </w:tcBorders>
            <w:shd w:val="clear" w:color="auto" w:fill="auto"/>
            <w:vAlign w:val="center"/>
            <w:hideMark/>
          </w:tcPr>
          <w:p w14:paraId="1835505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19 "Politikat Sociale dhe Punesimi" dhe Kapitulli 23 "Gjyqësori dhe të Drejtat Themelore"</w:t>
            </w:r>
          </w:p>
        </w:tc>
        <w:tc>
          <w:tcPr>
            <w:tcW w:w="370" w:type="pct"/>
            <w:tcBorders>
              <w:top w:val="nil"/>
              <w:left w:val="nil"/>
              <w:bottom w:val="single" w:sz="4" w:space="0" w:color="auto"/>
              <w:right w:val="single" w:sz="4" w:space="0" w:color="auto"/>
            </w:tcBorders>
            <w:shd w:val="clear" w:color="auto" w:fill="auto"/>
            <w:vAlign w:val="center"/>
            <w:hideMark/>
          </w:tcPr>
          <w:p w14:paraId="50587FA2"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III: Mirëqenie për të Gjithë</w:t>
            </w:r>
          </w:p>
        </w:tc>
        <w:tc>
          <w:tcPr>
            <w:tcW w:w="276" w:type="pct"/>
            <w:tcBorders>
              <w:top w:val="nil"/>
              <w:left w:val="nil"/>
              <w:bottom w:val="single" w:sz="4" w:space="0" w:color="auto"/>
              <w:right w:val="single" w:sz="4" w:space="0" w:color="auto"/>
            </w:tcBorders>
            <w:shd w:val="clear" w:color="auto" w:fill="auto"/>
            <w:vAlign w:val="center"/>
            <w:hideMark/>
          </w:tcPr>
          <w:p w14:paraId="6E255C1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2A4BC4D0"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6" w:type="pct"/>
            <w:tcBorders>
              <w:top w:val="nil"/>
              <w:left w:val="nil"/>
              <w:bottom w:val="single" w:sz="4" w:space="0" w:color="auto"/>
              <w:right w:val="single" w:sz="4" w:space="0" w:color="auto"/>
            </w:tcBorders>
            <w:shd w:val="clear" w:color="auto" w:fill="auto"/>
            <w:vAlign w:val="center"/>
            <w:hideMark/>
          </w:tcPr>
          <w:p w14:paraId="37CA3834"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Ndikime Mjedisore, Sociale, Ekonomike dhe Financiare     </w:t>
            </w:r>
          </w:p>
        </w:tc>
      </w:tr>
      <w:tr w:rsidR="008679C7" w:rsidRPr="00B6793F" w14:paraId="7525DFEC" w14:textId="77777777" w:rsidTr="008679C7">
        <w:trPr>
          <w:trHeight w:val="180"/>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626F0B7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w:t>
            </w:r>
          </w:p>
        </w:tc>
        <w:tc>
          <w:tcPr>
            <w:tcW w:w="378" w:type="pct"/>
            <w:tcBorders>
              <w:top w:val="nil"/>
              <w:left w:val="nil"/>
              <w:bottom w:val="single" w:sz="4" w:space="0" w:color="auto"/>
              <w:right w:val="single" w:sz="4" w:space="0" w:color="auto"/>
            </w:tcBorders>
            <w:shd w:val="clear" w:color="000000" w:fill="FFFFFF"/>
            <w:vAlign w:val="center"/>
            <w:hideMark/>
          </w:tcPr>
          <w:p w14:paraId="5918CF5E" w14:textId="77777777" w:rsidR="008679C7" w:rsidRPr="00B6793F" w:rsidRDefault="008679C7" w:rsidP="008679C7">
            <w:pPr>
              <w:spacing w:after="0" w:line="240" w:lineRule="auto"/>
              <w:jc w:val="center"/>
              <w:rPr>
                <w:rFonts w:ascii="Arial" w:eastAsia="Times New Roman" w:hAnsi="Arial" w:cs="Arial"/>
                <w:color w:val="44546A"/>
                <w:sz w:val="8"/>
                <w:szCs w:val="8"/>
                <w:lang w:eastAsia="sq-AL"/>
              </w:rPr>
            </w:pPr>
            <w:r w:rsidRPr="00B6793F">
              <w:rPr>
                <w:rFonts w:ascii="Arial" w:eastAsia="Times New Roman" w:hAnsi="Arial" w:cs="Arial"/>
                <w:color w:val="44546A"/>
                <w:sz w:val="8"/>
                <w:szCs w:val="8"/>
                <w:lang w:eastAsia="sq-AL"/>
              </w:rPr>
              <w:t>Për disa ndryshime në VKM nr. 520, datë 6.8.2014 "Për miratimin e rregullores "Për mbrojtjen e sigurisë dhe shëndetit të punëmarrësve nga risqet e lidhura me kancerogjenë dhe mutagene në punë"</w:t>
            </w:r>
          </w:p>
        </w:tc>
        <w:tc>
          <w:tcPr>
            <w:tcW w:w="324" w:type="pct"/>
            <w:tcBorders>
              <w:top w:val="nil"/>
              <w:left w:val="nil"/>
              <w:bottom w:val="single" w:sz="4" w:space="0" w:color="auto"/>
              <w:right w:val="single" w:sz="4" w:space="0" w:color="auto"/>
            </w:tcBorders>
            <w:shd w:val="clear" w:color="auto" w:fill="auto"/>
            <w:noWrap/>
            <w:vAlign w:val="center"/>
            <w:hideMark/>
          </w:tcPr>
          <w:p w14:paraId="27D826E3"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26" w:type="pct"/>
            <w:tcBorders>
              <w:top w:val="nil"/>
              <w:left w:val="nil"/>
              <w:bottom w:val="single" w:sz="4" w:space="0" w:color="auto"/>
              <w:right w:val="single" w:sz="4" w:space="0" w:color="auto"/>
            </w:tcBorders>
            <w:shd w:val="clear" w:color="auto" w:fill="auto"/>
            <w:vAlign w:val="center"/>
            <w:hideMark/>
          </w:tcPr>
          <w:p w14:paraId="2A588EDC"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Shendetesise  dhe Mireqenies Sociale</w:t>
            </w:r>
          </w:p>
        </w:tc>
        <w:tc>
          <w:tcPr>
            <w:tcW w:w="298" w:type="pct"/>
            <w:tcBorders>
              <w:top w:val="nil"/>
              <w:left w:val="nil"/>
              <w:bottom w:val="single" w:sz="4" w:space="0" w:color="auto"/>
              <w:right w:val="single" w:sz="4" w:space="0" w:color="auto"/>
            </w:tcBorders>
            <w:shd w:val="clear" w:color="auto" w:fill="auto"/>
            <w:vAlign w:val="center"/>
            <w:hideMark/>
          </w:tcPr>
          <w:p w14:paraId="226D50D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Katërmujori III   </w:t>
            </w:r>
          </w:p>
        </w:tc>
        <w:tc>
          <w:tcPr>
            <w:tcW w:w="1121" w:type="pct"/>
            <w:tcBorders>
              <w:top w:val="nil"/>
              <w:left w:val="nil"/>
              <w:bottom w:val="single" w:sz="4" w:space="0" w:color="auto"/>
              <w:right w:val="single" w:sz="4" w:space="0" w:color="auto"/>
            </w:tcBorders>
            <w:shd w:val="clear" w:color="auto" w:fill="auto"/>
            <w:vAlign w:val="center"/>
            <w:hideMark/>
          </w:tcPr>
          <w:p w14:paraId="56C2DD16"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Transpozimi i "Direktivës 2004/37/KE Direktiva e Këshillit mbi mbrojtjen e punëtorëve nga rreziqet që lidhen me ekspozimin ndaj kancerogjenëve ose mutagjenëve në punë (Direktiva e gjashtë individuale sipas kuptimit të Nenit 16(1) të Direktivës së Këshillit 89/391/KEE): Ndryshuar nga:</w:t>
            </w:r>
            <w:r w:rsidRPr="00B6793F">
              <w:rPr>
                <w:rFonts w:ascii="Arial" w:eastAsia="Times New Roman" w:hAnsi="Arial" w:cs="Arial"/>
                <w:color w:val="000000"/>
                <w:sz w:val="8"/>
                <w:szCs w:val="8"/>
                <w:lang w:eastAsia="sq-AL"/>
              </w:rPr>
              <w:br/>
              <w:t>a) Direktiva 2014/27/BE e Parlamentit Evropian dhe e Këshillit e 26 shkurtit 2014 që ndryshon Direktivat e Këshillit 92/58/KEE, 92/85/KEE, 94/33/KEE, 98/24/KEE dhe Direktivën 2004/37/KEE të Parlamentit Evropian dhe të Këshillit, me qëllim që t'i përafrojë ato me Rregulloren (KE) Nr. 1272/2008 mbi klasifikimin, etiketimin dhe paketimin e substancave dhe përzierjeve</w:t>
            </w:r>
            <w:r w:rsidRPr="00B6793F">
              <w:rPr>
                <w:rFonts w:ascii="Arial" w:eastAsia="Times New Roman" w:hAnsi="Arial" w:cs="Arial"/>
                <w:color w:val="000000"/>
                <w:sz w:val="8"/>
                <w:szCs w:val="8"/>
                <w:lang w:eastAsia="sq-AL"/>
              </w:rPr>
              <w:br/>
              <w:t>OJ L 65, 5.3.2014, f. 1</w:t>
            </w:r>
            <w:r w:rsidRPr="00B6793F">
              <w:rPr>
                <w:rFonts w:ascii="Arial" w:eastAsia="Times New Roman" w:hAnsi="Arial" w:cs="Arial"/>
                <w:color w:val="000000"/>
                <w:sz w:val="8"/>
                <w:szCs w:val="8"/>
                <w:lang w:eastAsia="sq-AL"/>
              </w:rPr>
              <w:br/>
              <w:t>https://eur-lex.europa.eu/legal-content/EN/TXT/?qid=1551976646463&amp;uri=CELEX:32014L0027</w:t>
            </w:r>
            <w:r w:rsidRPr="00B6793F">
              <w:rPr>
                <w:rFonts w:ascii="Arial" w:eastAsia="Times New Roman" w:hAnsi="Arial" w:cs="Arial"/>
                <w:color w:val="000000"/>
                <w:sz w:val="8"/>
                <w:szCs w:val="8"/>
                <w:lang w:eastAsia="sq-AL"/>
              </w:rPr>
              <w:br/>
              <w:t>b) Direktiva 2017/2398/BE e Parlamentit Evropian dhe e Këshillit e 12 dhjetorit 2017 që ndryshon Direktivën 2004/37/KE për mbrojtjen e punëtorëve nga rreziqet që lidhen me ekspozimin ndaj kancerogjenëve ose mutagjenëve në punë OJ L 345, 27.12.2017, f. 87, http://data.curopa.eu/eli/dir/2017/2398/oj.</w:t>
            </w:r>
            <w:r w:rsidRPr="00B6793F">
              <w:rPr>
                <w:rFonts w:ascii="Arial" w:eastAsia="Times New Roman" w:hAnsi="Arial" w:cs="Arial"/>
                <w:color w:val="000000"/>
                <w:sz w:val="8"/>
                <w:szCs w:val="8"/>
                <w:lang w:eastAsia="sq-AL"/>
              </w:rPr>
              <w:br/>
              <w:t>c) Direktiva (BE) 2019/130 e Parlamentit Evropian dhe e Këshillit e 16 janarit 2019 që ndryshon Direktivën 2004/37/KE për mbrojtjen e punëtorëve nga rreziqet që lidhen me ekspozimin ndaj kancerogjenëve ose mutagjenëve në punë OJ L 30, 31.1.2019, f. 112, http://data.curopa.eu/eli/dir/2019/130/oj.</w:t>
            </w:r>
            <w:r w:rsidRPr="00B6793F">
              <w:rPr>
                <w:rFonts w:ascii="Arial" w:eastAsia="Times New Roman" w:hAnsi="Arial" w:cs="Arial"/>
                <w:color w:val="000000"/>
                <w:sz w:val="8"/>
                <w:szCs w:val="8"/>
                <w:lang w:eastAsia="sq-AL"/>
              </w:rPr>
              <w:br/>
              <w:t>d) Direktiva (BE) 2019/983 e Parlamentit Evropian dhe e Këshillit e 5 qershorit 2019 që ndryshon Direktivën 2004/37/KE për mbrojtjen e punëtorëve nga rreziqet që lidhen me ekspozimin ndaj kancerogjenëve ose mutagjenëve në punë OJL 164, 20.6.2019, f. 23-29 http://data.europa.eu/eli/dir/2019/983/oj.</w:t>
            </w:r>
            <w:r w:rsidRPr="00B6793F">
              <w:rPr>
                <w:rFonts w:ascii="Arial" w:eastAsia="Times New Roman" w:hAnsi="Arial" w:cs="Arial"/>
                <w:color w:val="000000"/>
                <w:sz w:val="8"/>
                <w:szCs w:val="8"/>
                <w:lang w:eastAsia="sq-AL"/>
              </w:rPr>
              <w:br/>
              <w:t xml:space="preserve">e) Direktiva (BE) 2022/431 e Parlamentit Evropian dhe e Këshillit e 9 marsit 2022 që ndryshon Direktivën 2004/37/KE për mbrojtjen e punëtorëve nga rreziqet që lidhen me ekspozimin ndaj kancerogjenëve ose mutagjenëve në punë OJ L 88, 16.3.2022, f. 1-14 dhe që ndryshon Direktivën e Komisionit 2000/39/KE OJ L 279, 31.10.2019, . 31-34, https://eur-lex.europa.cu/legal-content/EN/TXT/?uri=celex%3A32019L1831. </w:t>
            </w:r>
            <w:r w:rsidRPr="00B6793F">
              <w:rPr>
                <w:rFonts w:ascii="Arial" w:eastAsia="Times New Roman" w:hAnsi="Arial" w:cs="Arial"/>
                <w:b/>
                <w:bCs/>
                <w:color w:val="000000"/>
                <w:sz w:val="8"/>
                <w:szCs w:val="8"/>
                <w:lang w:eastAsia="sq-AL"/>
              </w:rPr>
              <w:t xml:space="preserve">Ligji  nr. 10237 date 18.02.2010 "Per sigurine dhe shendetin ne pune" </w:t>
            </w:r>
          </w:p>
        </w:tc>
        <w:tc>
          <w:tcPr>
            <w:tcW w:w="509" w:type="pct"/>
            <w:tcBorders>
              <w:top w:val="nil"/>
              <w:left w:val="nil"/>
              <w:bottom w:val="single" w:sz="4" w:space="0" w:color="auto"/>
              <w:right w:val="single" w:sz="4" w:space="0" w:color="auto"/>
            </w:tcBorders>
            <w:shd w:val="clear" w:color="auto" w:fill="auto"/>
            <w:vAlign w:val="center"/>
            <w:hideMark/>
          </w:tcPr>
          <w:p w14:paraId="0CA86971"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parashikon të rregullojë vlerat limit të ekspozimit dhe rregullat e sigurisë dhe shëndetit në punën ndaj karcinogenëve/mutagenët në perputhje me kërkesat/rregullat e BE</w:t>
            </w:r>
          </w:p>
        </w:tc>
        <w:tc>
          <w:tcPr>
            <w:tcW w:w="502" w:type="pct"/>
            <w:tcBorders>
              <w:top w:val="nil"/>
              <w:left w:val="nil"/>
              <w:bottom w:val="single" w:sz="4" w:space="0" w:color="auto"/>
              <w:right w:val="single" w:sz="4" w:space="0" w:color="auto"/>
            </w:tcBorders>
            <w:shd w:val="clear" w:color="auto" w:fill="auto"/>
            <w:vAlign w:val="center"/>
            <w:hideMark/>
          </w:tcPr>
          <w:p w14:paraId="33E1BC5D"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PUNËS - REFERENCA PËRFUNDIMTARE</w:t>
            </w:r>
            <w:r w:rsidRPr="00B6793F">
              <w:rPr>
                <w:rFonts w:ascii="Arial" w:eastAsia="Times New Roman" w:hAnsi="Arial" w:cs="Arial"/>
                <w:color w:val="000000"/>
                <w:sz w:val="8"/>
                <w:szCs w:val="8"/>
                <w:lang w:eastAsia="sq-AL"/>
              </w:rPr>
              <w:br/>
              <w:t>KLASTERI III “KONKURRUESHMËRIA DHE RRITJA GJITHËPËRFSHIRËSE”</w:t>
            </w:r>
            <w:r w:rsidRPr="00B6793F">
              <w:rPr>
                <w:rFonts w:ascii="Arial" w:eastAsia="Times New Roman" w:hAnsi="Arial" w:cs="Arial"/>
                <w:color w:val="000000"/>
                <w:sz w:val="8"/>
                <w:szCs w:val="8"/>
                <w:lang w:eastAsia="sq-AL"/>
              </w:rPr>
              <w:br/>
              <w:t>KAPITULL 19 - POLITIKA SOCIALE DHE E PUNËSIMIT</w:t>
            </w:r>
          </w:p>
        </w:tc>
        <w:tc>
          <w:tcPr>
            <w:tcW w:w="370" w:type="pct"/>
            <w:tcBorders>
              <w:top w:val="nil"/>
              <w:left w:val="nil"/>
              <w:bottom w:val="single" w:sz="4" w:space="0" w:color="auto"/>
              <w:right w:val="single" w:sz="4" w:space="0" w:color="auto"/>
            </w:tcBorders>
            <w:shd w:val="clear" w:color="auto" w:fill="auto"/>
            <w:vAlign w:val="center"/>
            <w:hideMark/>
          </w:tcPr>
          <w:p w14:paraId="76040AFB"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2.4 Puna dhe kapitali njerezor .      Garantojme kushte të barabarta pune, trajtim dinjitoz, sistem social të qëndrueshëm dhe të besueshëm.</w:t>
            </w:r>
          </w:p>
        </w:tc>
        <w:tc>
          <w:tcPr>
            <w:tcW w:w="276" w:type="pct"/>
            <w:tcBorders>
              <w:top w:val="nil"/>
              <w:left w:val="nil"/>
              <w:bottom w:val="single" w:sz="4" w:space="0" w:color="auto"/>
              <w:right w:val="single" w:sz="4" w:space="0" w:color="auto"/>
            </w:tcBorders>
            <w:shd w:val="clear" w:color="auto" w:fill="auto"/>
            <w:vAlign w:val="center"/>
            <w:hideMark/>
          </w:tcPr>
          <w:p w14:paraId="14263F2A"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74" w:type="pct"/>
            <w:tcBorders>
              <w:top w:val="nil"/>
              <w:left w:val="nil"/>
              <w:bottom w:val="single" w:sz="4" w:space="0" w:color="auto"/>
              <w:right w:val="single" w:sz="4" w:space="0" w:color="auto"/>
            </w:tcBorders>
            <w:shd w:val="clear" w:color="auto" w:fill="auto"/>
            <w:vAlign w:val="center"/>
            <w:hideMark/>
          </w:tcPr>
          <w:p w14:paraId="1A51EB07"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Dokumenti Politik për Sigurinë dhe Shëndetin në Punë dhe Plani I veprimit 2025-2030/ Ligji 10237 dt.18.02.2010 "Për Sigurinë dhe Shëndetin në Punë"</w:t>
            </w:r>
          </w:p>
        </w:tc>
        <w:tc>
          <w:tcPr>
            <w:tcW w:w="376" w:type="pct"/>
            <w:tcBorders>
              <w:top w:val="nil"/>
              <w:left w:val="nil"/>
              <w:bottom w:val="single" w:sz="4" w:space="0" w:color="auto"/>
              <w:right w:val="single" w:sz="4" w:space="0" w:color="auto"/>
            </w:tcBorders>
            <w:shd w:val="clear" w:color="auto" w:fill="auto"/>
            <w:vAlign w:val="center"/>
            <w:hideMark/>
          </w:tcPr>
          <w:p w14:paraId="53B22AEE" w14:textId="77777777" w:rsidR="008679C7" w:rsidRPr="00B6793F" w:rsidRDefault="008679C7" w:rsidP="008679C7">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Ndikime mjedisore, ekonomike</w:t>
            </w:r>
          </w:p>
        </w:tc>
      </w:tr>
    </w:tbl>
    <w:p w14:paraId="56C8AF13" w14:textId="65ECB014" w:rsidR="008679C7" w:rsidRPr="00B6793F" w:rsidRDefault="008679C7" w:rsidP="00AC5BDD">
      <w:pPr>
        <w:spacing w:after="0" w:line="240" w:lineRule="auto"/>
        <w:ind w:firstLine="284"/>
        <w:jc w:val="center"/>
        <w:rPr>
          <w:rFonts w:ascii="Garamond" w:hAnsi="Garamond"/>
          <w:b/>
          <w:sz w:val="24"/>
        </w:rPr>
      </w:pPr>
    </w:p>
    <w:p w14:paraId="442BDB89" w14:textId="619202AA" w:rsidR="008679C7" w:rsidRPr="00B6793F" w:rsidRDefault="008679C7" w:rsidP="00AC5BDD">
      <w:pPr>
        <w:spacing w:after="0" w:line="240" w:lineRule="auto"/>
        <w:ind w:firstLine="284"/>
        <w:jc w:val="center"/>
        <w:rPr>
          <w:rFonts w:ascii="Garamond" w:hAnsi="Garamond"/>
          <w:b/>
          <w:sz w:val="24"/>
        </w:rPr>
      </w:pPr>
    </w:p>
    <w:p w14:paraId="397D232D" w14:textId="10BB5303" w:rsidR="008679C7" w:rsidRPr="00B6793F" w:rsidRDefault="008679C7" w:rsidP="00AC5BDD">
      <w:pPr>
        <w:spacing w:after="0" w:line="240" w:lineRule="auto"/>
        <w:ind w:firstLine="284"/>
        <w:jc w:val="center"/>
        <w:rPr>
          <w:rFonts w:ascii="Garamond" w:hAnsi="Garamond"/>
          <w:b/>
          <w:sz w:val="24"/>
        </w:rPr>
      </w:pPr>
    </w:p>
    <w:p w14:paraId="7D6C4F83" w14:textId="3F3341FC" w:rsidR="008679C7" w:rsidRPr="00B6793F" w:rsidRDefault="008679C7" w:rsidP="00AC5BDD">
      <w:pPr>
        <w:spacing w:after="0" w:line="240" w:lineRule="auto"/>
        <w:ind w:firstLine="284"/>
        <w:jc w:val="center"/>
        <w:rPr>
          <w:rFonts w:ascii="Garamond" w:hAnsi="Garamond"/>
          <w:b/>
          <w:sz w:val="24"/>
        </w:rPr>
      </w:pPr>
    </w:p>
    <w:p w14:paraId="2C7741E1" w14:textId="76272CB3" w:rsidR="008679C7" w:rsidRPr="00B6793F" w:rsidRDefault="008679C7" w:rsidP="00AC5BDD">
      <w:pPr>
        <w:spacing w:after="0" w:line="240" w:lineRule="auto"/>
        <w:ind w:firstLine="284"/>
        <w:jc w:val="center"/>
        <w:rPr>
          <w:rFonts w:ascii="Garamond" w:hAnsi="Garamond"/>
          <w:b/>
          <w:sz w:val="24"/>
        </w:rPr>
      </w:pPr>
    </w:p>
    <w:p w14:paraId="57EAD8AB" w14:textId="67870BE2" w:rsidR="008679C7" w:rsidRPr="00B6793F" w:rsidRDefault="008679C7" w:rsidP="00AC5BDD">
      <w:pPr>
        <w:spacing w:after="0" w:line="240" w:lineRule="auto"/>
        <w:ind w:firstLine="284"/>
        <w:jc w:val="center"/>
        <w:rPr>
          <w:rFonts w:ascii="Garamond" w:hAnsi="Garamond"/>
          <w:b/>
          <w:sz w:val="24"/>
        </w:rPr>
      </w:pPr>
    </w:p>
    <w:p w14:paraId="42DFCF4B" w14:textId="1F204332" w:rsidR="008679C7" w:rsidRPr="00B6793F" w:rsidRDefault="008679C7" w:rsidP="00AC5BDD">
      <w:pPr>
        <w:spacing w:after="0" w:line="240" w:lineRule="auto"/>
        <w:ind w:firstLine="284"/>
        <w:jc w:val="center"/>
        <w:rPr>
          <w:rFonts w:ascii="Garamond" w:hAnsi="Garamond"/>
          <w:b/>
          <w:sz w:val="24"/>
        </w:rPr>
      </w:pPr>
    </w:p>
    <w:p w14:paraId="33BE8B90" w14:textId="2FFCE835" w:rsidR="008679C7" w:rsidRPr="00B6793F" w:rsidRDefault="008679C7" w:rsidP="00AC5BDD">
      <w:pPr>
        <w:spacing w:after="0" w:line="240" w:lineRule="auto"/>
        <w:ind w:firstLine="284"/>
        <w:jc w:val="center"/>
        <w:rPr>
          <w:rFonts w:ascii="Garamond" w:hAnsi="Garamond"/>
          <w:b/>
          <w:sz w:val="24"/>
        </w:rPr>
      </w:pPr>
    </w:p>
    <w:p w14:paraId="14650B61" w14:textId="03723EB7" w:rsidR="008679C7" w:rsidRPr="00B6793F" w:rsidRDefault="008679C7" w:rsidP="00AC5BDD">
      <w:pPr>
        <w:spacing w:after="0" w:line="240" w:lineRule="auto"/>
        <w:ind w:firstLine="284"/>
        <w:jc w:val="center"/>
        <w:rPr>
          <w:rFonts w:ascii="Garamond" w:hAnsi="Garamond"/>
          <w:b/>
          <w:sz w:val="24"/>
        </w:rPr>
      </w:pPr>
    </w:p>
    <w:p w14:paraId="50DCA7FB" w14:textId="3C25162F" w:rsidR="008679C7" w:rsidRPr="00B6793F" w:rsidRDefault="008679C7" w:rsidP="00AC5BDD">
      <w:pPr>
        <w:spacing w:after="0" w:line="240" w:lineRule="auto"/>
        <w:ind w:firstLine="284"/>
        <w:jc w:val="center"/>
        <w:rPr>
          <w:rFonts w:ascii="Garamond" w:hAnsi="Garamond"/>
          <w:b/>
          <w:sz w:val="24"/>
        </w:rPr>
      </w:pPr>
    </w:p>
    <w:p w14:paraId="75D0E648" w14:textId="6A1F56DC" w:rsidR="008679C7" w:rsidRPr="00B6793F" w:rsidRDefault="008679C7" w:rsidP="00AC5BDD">
      <w:pPr>
        <w:spacing w:after="0" w:line="240" w:lineRule="auto"/>
        <w:ind w:firstLine="284"/>
        <w:jc w:val="center"/>
        <w:rPr>
          <w:rFonts w:ascii="Garamond" w:hAnsi="Garamond"/>
          <w:b/>
          <w:sz w:val="24"/>
        </w:rPr>
      </w:pPr>
    </w:p>
    <w:p w14:paraId="4F5415C1" w14:textId="67D3732A" w:rsidR="008679C7" w:rsidRPr="00B6793F" w:rsidRDefault="008679C7" w:rsidP="00AC5BDD">
      <w:pPr>
        <w:spacing w:after="0" w:line="240" w:lineRule="auto"/>
        <w:ind w:firstLine="284"/>
        <w:jc w:val="center"/>
        <w:rPr>
          <w:rFonts w:ascii="Garamond" w:hAnsi="Garamond"/>
          <w:b/>
          <w:sz w:val="24"/>
        </w:rPr>
      </w:pPr>
    </w:p>
    <w:p w14:paraId="35F5FB3C" w14:textId="38B3F2A1" w:rsidR="008679C7" w:rsidRPr="00B6793F" w:rsidRDefault="008679C7" w:rsidP="00AC5BDD">
      <w:pPr>
        <w:spacing w:after="0" w:line="240" w:lineRule="auto"/>
        <w:ind w:firstLine="284"/>
        <w:jc w:val="center"/>
        <w:rPr>
          <w:rFonts w:ascii="Garamond" w:hAnsi="Garamond"/>
          <w:b/>
          <w:sz w:val="24"/>
        </w:rPr>
      </w:pPr>
    </w:p>
    <w:p w14:paraId="6A6FEF6A" w14:textId="6340A90C" w:rsidR="008679C7" w:rsidRPr="00B6793F" w:rsidRDefault="008679C7" w:rsidP="00AC5BDD">
      <w:pPr>
        <w:spacing w:after="0" w:line="240" w:lineRule="auto"/>
        <w:ind w:firstLine="284"/>
        <w:jc w:val="center"/>
        <w:rPr>
          <w:rFonts w:ascii="Garamond" w:hAnsi="Garamond"/>
          <w:b/>
          <w:sz w:val="24"/>
        </w:rPr>
      </w:pPr>
    </w:p>
    <w:tbl>
      <w:tblPr>
        <w:tblW w:w="5175" w:type="pct"/>
        <w:tblLook w:val="04A0" w:firstRow="1" w:lastRow="0" w:firstColumn="1" w:lastColumn="0" w:noHBand="0" w:noVBand="1"/>
      </w:tblPr>
      <w:tblGrid>
        <w:gridCol w:w="458"/>
        <w:gridCol w:w="1766"/>
        <w:gridCol w:w="1031"/>
        <w:gridCol w:w="881"/>
        <w:gridCol w:w="944"/>
        <w:gridCol w:w="1805"/>
        <w:gridCol w:w="1233"/>
        <w:gridCol w:w="1247"/>
        <w:gridCol w:w="1181"/>
        <w:gridCol w:w="881"/>
        <w:gridCol w:w="1343"/>
        <w:gridCol w:w="1666"/>
      </w:tblGrid>
      <w:tr w:rsidR="00601C10" w:rsidRPr="00B6793F" w14:paraId="2F997CD5" w14:textId="77777777" w:rsidTr="00DE4A77">
        <w:trPr>
          <w:trHeight w:val="180"/>
        </w:trPr>
        <w:tc>
          <w:tcPr>
            <w:tcW w:w="5000" w:type="pct"/>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51CC8F12" w14:textId="77777777" w:rsidR="00601C10" w:rsidRPr="00B6793F" w:rsidRDefault="00601C10" w:rsidP="00601C10">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Programi i Përgjithshëm Analitik i Projektakteve për vitin 2026</w:t>
            </w:r>
          </w:p>
        </w:tc>
      </w:tr>
      <w:tr w:rsidR="00DE4A77" w:rsidRPr="00B6793F" w14:paraId="4FE124EB" w14:textId="77777777" w:rsidTr="00DE4A77">
        <w:trPr>
          <w:trHeight w:val="180"/>
        </w:trPr>
        <w:tc>
          <w:tcPr>
            <w:tcW w:w="5000" w:type="pct"/>
            <w:gridSpan w:val="12"/>
            <w:tcBorders>
              <w:top w:val="nil"/>
              <w:left w:val="nil"/>
              <w:bottom w:val="nil"/>
              <w:right w:val="single" w:sz="4" w:space="0" w:color="auto"/>
            </w:tcBorders>
            <w:shd w:val="clear" w:color="000000" w:fill="FFFFFF"/>
            <w:vAlign w:val="center"/>
            <w:hideMark/>
          </w:tcPr>
          <w:p w14:paraId="3804696C" w14:textId="1EC5BB04" w:rsidR="00DE4A77" w:rsidRPr="00B6793F" w:rsidRDefault="00DE4A77" w:rsidP="00DE4A77">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 </w:t>
            </w:r>
          </w:p>
          <w:p w14:paraId="3F92142A" w14:textId="507873EF" w:rsidR="00DE4A77" w:rsidRPr="00B6793F" w:rsidRDefault="00DE4A77" w:rsidP="00601C10">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12"/>
                <w:szCs w:val="8"/>
                <w:lang w:eastAsia="sq-AL"/>
              </w:rPr>
              <w:t>MINISTRIA E EKONOMISE DHE INOVACIONIT</w:t>
            </w:r>
          </w:p>
          <w:p w14:paraId="4F2EC24F" w14:textId="435B6703" w:rsidR="00DE4A77" w:rsidRPr="00B6793F" w:rsidRDefault="00DE4A77" w:rsidP="00DE4A77">
            <w:pPr>
              <w:spacing w:after="0" w:line="240" w:lineRule="auto"/>
              <w:rPr>
                <w:rFonts w:ascii="Arial" w:eastAsia="Times New Roman" w:hAnsi="Arial" w:cs="Arial"/>
                <w:b/>
                <w:bCs/>
                <w:color w:val="000000"/>
                <w:sz w:val="8"/>
                <w:szCs w:val="8"/>
                <w:lang w:eastAsia="sq-AL"/>
              </w:rPr>
            </w:pPr>
          </w:p>
        </w:tc>
      </w:tr>
      <w:tr w:rsidR="00601C10" w:rsidRPr="00B6793F" w14:paraId="6A5BCF6C" w14:textId="77777777" w:rsidTr="00DE4A77">
        <w:trPr>
          <w:trHeight w:val="63"/>
        </w:trPr>
        <w:tc>
          <w:tcPr>
            <w:tcW w:w="5000" w:type="pct"/>
            <w:gridSpan w:val="12"/>
            <w:tcBorders>
              <w:top w:val="nil"/>
              <w:left w:val="single" w:sz="4" w:space="0" w:color="auto"/>
              <w:bottom w:val="single" w:sz="4" w:space="0" w:color="auto"/>
              <w:right w:val="single" w:sz="4" w:space="0" w:color="auto"/>
            </w:tcBorders>
            <w:shd w:val="clear" w:color="000000" w:fill="FFFFFF"/>
            <w:vAlign w:val="center"/>
            <w:hideMark/>
          </w:tcPr>
          <w:p w14:paraId="0B522B82" w14:textId="77777777" w:rsidR="00601C10" w:rsidRPr="00B6793F" w:rsidRDefault="00601C10" w:rsidP="00601C10">
            <w:pPr>
              <w:spacing w:after="0" w:line="240" w:lineRule="auto"/>
              <w:jc w:val="center"/>
              <w:rPr>
                <w:rFonts w:ascii="Arial" w:eastAsia="Times New Roman" w:hAnsi="Arial" w:cs="Arial"/>
                <w:b/>
                <w:bCs/>
                <w:color w:val="000000"/>
                <w:sz w:val="8"/>
                <w:szCs w:val="8"/>
                <w:lang w:eastAsia="sq-AL"/>
              </w:rPr>
            </w:pPr>
            <w:r w:rsidRPr="00B6793F">
              <w:rPr>
                <w:rFonts w:ascii="Arial" w:eastAsia="Times New Roman" w:hAnsi="Arial" w:cs="Arial"/>
                <w:b/>
                <w:bCs/>
                <w:color w:val="000000"/>
                <w:sz w:val="8"/>
                <w:szCs w:val="8"/>
                <w:lang w:eastAsia="sq-AL"/>
              </w:rPr>
              <w:t> </w:t>
            </w:r>
          </w:p>
        </w:tc>
      </w:tr>
      <w:tr w:rsidR="00DE4A77" w:rsidRPr="00B6793F" w14:paraId="4AD9DB49"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0000"/>
            <w:vAlign w:val="center"/>
            <w:hideMark/>
          </w:tcPr>
          <w:p w14:paraId="5F316116"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Nr.</w:t>
            </w:r>
          </w:p>
        </w:tc>
        <w:tc>
          <w:tcPr>
            <w:tcW w:w="612" w:type="pct"/>
            <w:tcBorders>
              <w:top w:val="nil"/>
              <w:left w:val="nil"/>
              <w:bottom w:val="single" w:sz="4" w:space="0" w:color="auto"/>
              <w:right w:val="single" w:sz="4" w:space="0" w:color="auto"/>
            </w:tcBorders>
            <w:shd w:val="clear" w:color="000000" w:fill="FF0000"/>
            <w:vAlign w:val="center"/>
            <w:hideMark/>
          </w:tcPr>
          <w:p w14:paraId="046676B1"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Titulli i projektaktit</w:t>
            </w:r>
          </w:p>
        </w:tc>
        <w:tc>
          <w:tcPr>
            <w:tcW w:w="357" w:type="pct"/>
            <w:tcBorders>
              <w:top w:val="nil"/>
              <w:left w:val="nil"/>
              <w:bottom w:val="single" w:sz="4" w:space="0" w:color="auto"/>
              <w:right w:val="single" w:sz="4" w:space="0" w:color="auto"/>
            </w:tcBorders>
            <w:shd w:val="clear" w:color="000000" w:fill="FF0000"/>
            <w:vAlign w:val="center"/>
            <w:hideMark/>
          </w:tcPr>
          <w:p w14:paraId="69E414C7"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Lloji i projektaktit</w:t>
            </w:r>
          </w:p>
        </w:tc>
        <w:tc>
          <w:tcPr>
            <w:tcW w:w="305" w:type="pct"/>
            <w:tcBorders>
              <w:top w:val="nil"/>
              <w:left w:val="nil"/>
              <w:bottom w:val="single" w:sz="4" w:space="0" w:color="auto"/>
              <w:right w:val="single" w:sz="4" w:space="0" w:color="auto"/>
            </w:tcBorders>
            <w:shd w:val="clear" w:color="000000" w:fill="FF0000"/>
            <w:vAlign w:val="center"/>
            <w:hideMark/>
          </w:tcPr>
          <w:p w14:paraId="6DFE0423"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Ministri propozues</w:t>
            </w:r>
          </w:p>
        </w:tc>
        <w:tc>
          <w:tcPr>
            <w:tcW w:w="327" w:type="pct"/>
            <w:tcBorders>
              <w:top w:val="nil"/>
              <w:left w:val="nil"/>
              <w:bottom w:val="single" w:sz="4" w:space="0" w:color="auto"/>
              <w:right w:val="single" w:sz="4" w:space="0" w:color="auto"/>
            </w:tcBorders>
            <w:shd w:val="clear" w:color="000000" w:fill="FF0000"/>
            <w:vAlign w:val="center"/>
            <w:hideMark/>
          </w:tcPr>
          <w:p w14:paraId="44F1977E"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Katërmujori</w:t>
            </w:r>
          </w:p>
        </w:tc>
        <w:tc>
          <w:tcPr>
            <w:tcW w:w="625" w:type="pct"/>
            <w:tcBorders>
              <w:top w:val="nil"/>
              <w:left w:val="nil"/>
              <w:bottom w:val="single" w:sz="4" w:space="0" w:color="auto"/>
              <w:right w:val="single" w:sz="4" w:space="0" w:color="auto"/>
            </w:tcBorders>
            <w:shd w:val="clear" w:color="000000" w:fill="FF0000"/>
            <w:vAlign w:val="center"/>
            <w:hideMark/>
          </w:tcPr>
          <w:p w14:paraId="034DA275"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Arsyet kryesore për propozimin e projektaktit</w:t>
            </w:r>
          </w:p>
        </w:tc>
        <w:tc>
          <w:tcPr>
            <w:tcW w:w="427" w:type="pct"/>
            <w:tcBorders>
              <w:top w:val="nil"/>
              <w:left w:val="nil"/>
              <w:bottom w:val="single" w:sz="4" w:space="0" w:color="auto"/>
              <w:right w:val="single" w:sz="4" w:space="0" w:color="auto"/>
            </w:tcBorders>
            <w:shd w:val="clear" w:color="000000" w:fill="FF0000"/>
            <w:vAlign w:val="center"/>
            <w:hideMark/>
          </w:tcPr>
          <w:p w14:paraId="545E0246"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 xml:space="preserve">Çështjet kryesore që parashikon të rregullojë projektakti </w:t>
            </w:r>
          </w:p>
        </w:tc>
        <w:tc>
          <w:tcPr>
            <w:tcW w:w="432" w:type="pct"/>
            <w:tcBorders>
              <w:top w:val="nil"/>
              <w:left w:val="nil"/>
              <w:bottom w:val="single" w:sz="4" w:space="0" w:color="auto"/>
              <w:right w:val="single" w:sz="4" w:space="0" w:color="auto"/>
            </w:tcBorders>
            <w:shd w:val="clear" w:color="000000" w:fill="FF0000"/>
            <w:vAlign w:val="center"/>
            <w:hideMark/>
          </w:tcPr>
          <w:p w14:paraId="358A11DF"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parashikuar projektakti në PKIE? Nëse po, të specifikohet kapitulli përkatës</w:t>
            </w:r>
          </w:p>
        </w:tc>
        <w:tc>
          <w:tcPr>
            <w:tcW w:w="409" w:type="pct"/>
            <w:tcBorders>
              <w:top w:val="nil"/>
              <w:left w:val="nil"/>
              <w:bottom w:val="single" w:sz="4" w:space="0" w:color="auto"/>
              <w:right w:val="single" w:sz="4" w:space="0" w:color="auto"/>
            </w:tcBorders>
            <w:shd w:val="clear" w:color="000000" w:fill="FF0000"/>
            <w:vAlign w:val="center"/>
            <w:hideMark/>
          </w:tcPr>
          <w:p w14:paraId="0CDC6BB6"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Përputhshmëria e projektaktit me programin politik qeverisës 2021-2025</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përputhet, të jepet  referenca e saktë në progam</w:t>
            </w:r>
          </w:p>
        </w:tc>
        <w:tc>
          <w:tcPr>
            <w:tcW w:w="305" w:type="pct"/>
            <w:tcBorders>
              <w:top w:val="nil"/>
              <w:left w:val="nil"/>
              <w:bottom w:val="single" w:sz="4" w:space="0" w:color="auto"/>
              <w:right w:val="single" w:sz="4" w:space="0" w:color="auto"/>
            </w:tcBorders>
            <w:shd w:val="clear" w:color="000000" w:fill="FF0000"/>
            <w:vAlign w:val="center"/>
            <w:hideMark/>
          </w:tcPr>
          <w:p w14:paraId="7F1CD478"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akt i një rëndësie të veçantë e prioritare?</w:t>
            </w:r>
          </w:p>
        </w:tc>
        <w:tc>
          <w:tcPr>
            <w:tcW w:w="465" w:type="pct"/>
            <w:tcBorders>
              <w:top w:val="nil"/>
              <w:left w:val="nil"/>
              <w:bottom w:val="single" w:sz="4" w:space="0" w:color="auto"/>
              <w:right w:val="single" w:sz="4" w:space="0" w:color="auto"/>
            </w:tcBorders>
            <w:shd w:val="clear" w:color="000000" w:fill="FF0000"/>
            <w:vAlign w:val="center"/>
            <w:hideMark/>
          </w:tcPr>
          <w:p w14:paraId="100FF802"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Lidhja e projektaktit me strategjitë kombëtare dhe sektoriale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lidhet, të specifikohen strategjitë</w:t>
            </w:r>
          </w:p>
        </w:tc>
        <w:tc>
          <w:tcPr>
            <w:tcW w:w="577" w:type="pct"/>
            <w:tcBorders>
              <w:top w:val="nil"/>
              <w:left w:val="nil"/>
              <w:bottom w:val="single" w:sz="4" w:space="0" w:color="auto"/>
              <w:right w:val="single" w:sz="4" w:space="0" w:color="auto"/>
            </w:tcBorders>
            <w:shd w:val="clear" w:color="000000" w:fill="FF0000"/>
            <w:vAlign w:val="center"/>
            <w:hideMark/>
          </w:tcPr>
          <w:p w14:paraId="4FAA144E"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Ndikimet e mundshme ekonomike, financiare, sociale dhe mjedisore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 xml:space="preserve">Përgjigjuni me Po/Jo për ndikimet përkatëse </w:t>
            </w:r>
          </w:p>
        </w:tc>
      </w:tr>
      <w:tr w:rsidR="00DE4A77" w:rsidRPr="00B6793F" w14:paraId="26680171"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22BE6F6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w:t>
            </w:r>
          </w:p>
        </w:tc>
        <w:tc>
          <w:tcPr>
            <w:tcW w:w="612" w:type="pct"/>
            <w:tcBorders>
              <w:top w:val="nil"/>
              <w:left w:val="nil"/>
              <w:bottom w:val="single" w:sz="4" w:space="0" w:color="auto"/>
              <w:right w:val="single" w:sz="4" w:space="0" w:color="auto"/>
            </w:tcBorders>
            <w:shd w:val="clear" w:color="000000" w:fill="FFFFFF"/>
            <w:vAlign w:val="center"/>
            <w:hideMark/>
          </w:tcPr>
          <w:p w14:paraId="7EC40A12"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shtesa dhe ndryshime në ligjin nr.9902, datë 17.04.2008 "Për mbrojtjen e konsumatorit" të ndryshuar. </w:t>
            </w:r>
          </w:p>
        </w:tc>
        <w:tc>
          <w:tcPr>
            <w:tcW w:w="357" w:type="pct"/>
            <w:tcBorders>
              <w:top w:val="nil"/>
              <w:left w:val="nil"/>
              <w:bottom w:val="single" w:sz="4" w:space="0" w:color="auto"/>
              <w:right w:val="single" w:sz="4" w:space="0" w:color="auto"/>
            </w:tcBorders>
            <w:shd w:val="clear" w:color="000000" w:fill="FFFFFF"/>
            <w:vAlign w:val="center"/>
            <w:hideMark/>
          </w:tcPr>
          <w:p w14:paraId="41C33DF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7A2CF61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29E97D2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7D737FB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Nenet  78  dhe  83,  pika  1,  të  Kushtetutës. Arsyeja e propozimit të projektaktit është harmonizimi i mëtejshëm me Direktivën 2019/2161 (Direktiva e Modernizimit) , Direktivën 2024/825 (Direktiva e Tranzicionit Ekologjik), Direktivën 2019/770  (Kontratat për furnizimin e përmbajtjeve dhe shërbimeve digjitale), Direktivën 2019/771 (Kontratat për shitjen e mallrave), si dhe Rregulloren (BE) 2017/2394 në kuadër të Kapitullit 28 të acquis "Mbrojtja e konsumatorit dhe e shëndetit".                                                                        Detyrimi për të përafruar legjislacionin shqiptar me Kapitullin 1 të legjislacionit europian buron nga neni 76 "Mbrojtja e konsumatorit" i Marrëveshjes së Stabilizim Asocimit (MSA), ku përcaktohet se Shqipëria duhet të harmonizojë legjislacionin e saj me atë të Bashkimit Europian (BE), por gjithashtu të sigurojë që ai të zbatohet dhe të vihet në praktikë.    </w:t>
            </w:r>
          </w:p>
        </w:tc>
        <w:tc>
          <w:tcPr>
            <w:tcW w:w="427" w:type="pct"/>
            <w:tcBorders>
              <w:top w:val="nil"/>
              <w:left w:val="nil"/>
              <w:bottom w:val="single" w:sz="4" w:space="0" w:color="auto"/>
              <w:right w:val="single" w:sz="4" w:space="0" w:color="auto"/>
            </w:tcBorders>
            <w:shd w:val="clear" w:color="000000" w:fill="FFFFFF"/>
            <w:vAlign w:val="center"/>
            <w:hideMark/>
          </w:tcPr>
          <w:p w14:paraId="52F73F9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Përafrimi i mëtejshëm me Direktivën 2019/2161 (Direktiva e Modernizimit) , Direktivën 2024/825 (Direktiva e Tranzicionit Ekologjik), Direktivën 2019/770  (Kontratat për furnizimin</w:t>
            </w:r>
            <w:r w:rsidRPr="00B6793F">
              <w:rPr>
                <w:rFonts w:ascii="Arial" w:eastAsia="Times New Roman" w:hAnsi="Arial" w:cs="Arial"/>
                <w:sz w:val="8"/>
                <w:szCs w:val="8"/>
                <w:lang w:eastAsia="sq-AL"/>
              </w:rPr>
              <w:br/>
              <w:t xml:space="preserve">e përmbajtjeve dhe shërbimeve digjitale), Direktivën 2019/771 (Kontratat për shitjen e mallrave), si dhe Rregulloren (BE) 2017/2394 në kuadër të Kapitullit 28 të acquis "Mbrojtja e konsumatorit dhe e shëndetit".    </w:t>
            </w:r>
          </w:p>
        </w:tc>
        <w:tc>
          <w:tcPr>
            <w:tcW w:w="432" w:type="pct"/>
            <w:tcBorders>
              <w:top w:val="nil"/>
              <w:left w:val="nil"/>
              <w:bottom w:val="single" w:sz="4" w:space="0" w:color="auto"/>
              <w:right w:val="single" w:sz="4" w:space="0" w:color="auto"/>
            </w:tcBorders>
            <w:shd w:val="clear" w:color="000000" w:fill="FFFFFF"/>
            <w:vAlign w:val="center"/>
            <w:hideMark/>
          </w:tcPr>
          <w:p w14:paraId="724F28A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28 "Mbrojtja e konsumatorit dhe shëndetit"</w:t>
            </w:r>
          </w:p>
        </w:tc>
        <w:tc>
          <w:tcPr>
            <w:tcW w:w="409" w:type="pct"/>
            <w:tcBorders>
              <w:top w:val="nil"/>
              <w:left w:val="nil"/>
              <w:bottom w:val="single" w:sz="4" w:space="0" w:color="auto"/>
              <w:right w:val="single" w:sz="4" w:space="0" w:color="auto"/>
            </w:tcBorders>
            <w:shd w:val="clear" w:color="000000" w:fill="FFFFFF"/>
            <w:vAlign w:val="center"/>
            <w:hideMark/>
          </w:tcPr>
          <w:p w14:paraId="61D722E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 e fortë";                                    Fusha "Integrimi Evropian</w:t>
            </w:r>
          </w:p>
        </w:tc>
        <w:tc>
          <w:tcPr>
            <w:tcW w:w="305" w:type="pct"/>
            <w:tcBorders>
              <w:top w:val="nil"/>
              <w:left w:val="nil"/>
              <w:bottom w:val="single" w:sz="4" w:space="0" w:color="auto"/>
              <w:right w:val="single" w:sz="4" w:space="0" w:color="auto"/>
            </w:tcBorders>
            <w:shd w:val="clear" w:color="000000" w:fill="FFFFFF"/>
            <w:vAlign w:val="center"/>
            <w:hideMark/>
          </w:tcPr>
          <w:p w14:paraId="1562AD3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059B104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Angazhimi për miratimin e projektligjit është reflektuar edhe në Strategjinë Ndërsektoriale për Mbrojtjen e Konsumatorëve dhe Mbikëqyrjen e Tregut 2024–2030 (miratuar me VKM-në nr.326, datë 29.05.2024). </w:t>
            </w:r>
          </w:p>
        </w:tc>
        <w:tc>
          <w:tcPr>
            <w:tcW w:w="577" w:type="pct"/>
            <w:tcBorders>
              <w:top w:val="nil"/>
              <w:left w:val="nil"/>
              <w:bottom w:val="single" w:sz="4" w:space="0" w:color="auto"/>
              <w:right w:val="single" w:sz="4" w:space="0" w:color="auto"/>
            </w:tcBorders>
            <w:shd w:val="clear" w:color="000000" w:fill="FFFFFF"/>
            <w:vAlign w:val="center"/>
            <w:hideMark/>
          </w:tcPr>
          <w:p w14:paraId="0B6158A2" w14:textId="77777777" w:rsidR="00DE4A77"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ekonomike,     </w:t>
            </w:r>
          </w:p>
          <w:p w14:paraId="28CB9D8D" w14:textId="5744F46A"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financiare, sociale</w:t>
            </w:r>
          </w:p>
        </w:tc>
      </w:tr>
      <w:tr w:rsidR="00DE4A77" w:rsidRPr="00B6793F" w14:paraId="4793422A"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7F0C1002"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612" w:type="pct"/>
            <w:tcBorders>
              <w:top w:val="nil"/>
              <w:left w:val="nil"/>
              <w:bottom w:val="single" w:sz="4" w:space="0" w:color="auto"/>
              <w:right w:val="single" w:sz="4" w:space="0" w:color="auto"/>
            </w:tcBorders>
            <w:shd w:val="clear" w:color="000000" w:fill="FFFFFF"/>
            <w:vAlign w:val="center"/>
            <w:hideMark/>
          </w:tcPr>
          <w:p w14:paraId="0CCF1344"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disa shtesa dhe ndryshime në ligjin nr. 10 489, datë 15.12.2011 “Për tregtimin dhe mbikëqyrjen e tregut të produkteve jo-ushqimore”, i ndryshuar</w:t>
            </w:r>
          </w:p>
        </w:tc>
        <w:tc>
          <w:tcPr>
            <w:tcW w:w="357" w:type="pct"/>
            <w:tcBorders>
              <w:top w:val="nil"/>
              <w:left w:val="nil"/>
              <w:bottom w:val="single" w:sz="4" w:space="0" w:color="auto"/>
              <w:right w:val="single" w:sz="4" w:space="0" w:color="auto"/>
            </w:tcBorders>
            <w:shd w:val="clear" w:color="000000" w:fill="FFFFFF"/>
            <w:vAlign w:val="center"/>
            <w:hideMark/>
          </w:tcPr>
          <w:p w14:paraId="7F22D8F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76EA5D9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1815260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7E60889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Nenet  78  dhe  83,  pika  1,  të  Kushtetutës. Harmonizimi i mëtejshëm me Rregulloren (BE)2019/1020 për mbikëqyrjen e tregut dhe përputhshmërinë e produkteve, në kuadër të Kapitullit 1 të acquis – Lëvizja e lirë e mallrave. Detyrimi për të përafruar legjislacionin shqiptar me Kapitullin 1 të legjislacionit evropian buron nga Neni 70 dhe 75 i Marrëveshjes së Stabilizim Asociimit (MSA), ku përcaktohet se Shqipëria duhet të harmonizojë teknikisht legjislacionin e saj kombëtar me atë të Bashkimit Evropian (BE), por gjithashtu të sigurojë që ai të zbatohet dhe të vihet në praktikë.</w:t>
            </w:r>
          </w:p>
        </w:tc>
        <w:tc>
          <w:tcPr>
            <w:tcW w:w="427" w:type="pct"/>
            <w:tcBorders>
              <w:top w:val="nil"/>
              <w:left w:val="nil"/>
              <w:bottom w:val="single" w:sz="4" w:space="0" w:color="auto"/>
              <w:right w:val="single" w:sz="4" w:space="0" w:color="auto"/>
            </w:tcBorders>
            <w:shd w:val="clear" w:color="000000" w:fill="FFFFFF"/>
            <w:vAlign w:val="center"/>
            <w:hideMark/>
          </w:tcPr>
          <w:p w14:paraId="586630CC"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Projektligji do të përafrojë Rregulloren (BE) 2019/1020 së Parlamentit Evropian dhe e Këshillit, datë 20 qershor 2019 “Për mbikëqyrjen e tregut dhe përputhshmërinë e produkteve". Projektligji i planifikuar rregullon tregtimin dhe mbikëqyrjen e tregut për produktet jo ushqimore në fushëzbatimin e saj. Ai përcakton funksionet, kompetencat dhe detyrimet e strukturave të mbikëqyrjes së tregut, si dhe detyrimet e operatorëve ekonomikë, sipas zinxhirit të furnizimit të produkteve.  </w:t>
            </w:r>
          </w:p>
        </w:tc>
        <w:tc>
          <w:tcPr>
            <w:tcW w:w="432" w:type="pct"/>
            <w:tcBorders>
              <w:top w:val="nil"/>
              <w:left w:val="nil"/>
              <w:bottom w:val="single" w:sz="4" w:space="0" w:color="auto"/>
              <w:right w:val="single" w:sz="4" w:space="0" w:color="auto"/>
            </w:tcBorders>
            <w:shd w:val="clear" w:color="000000" w:fill="FFFFFF"/>
            <w:vAlign w:val="center"/>
            <w:hideMark/>
          </w:tcPr>
          <w:p w14:paraId="636AF7D2"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1 "Lëvizja e lirë e mallrave"</w:t>
            </w:r>
          </w:p>
        </w:tc>
        <w:tc>
          <w:tcPr>
            <w:tcW w:w="409" w:type="pct"/>
            <w:tcBorders>
              <w:top w:val="nil"/>
              <w:left w:val="nil"/>
              <w:bottom w:val="single" w:sz="4" w:space="0" w:color="auto"/>
              <w:right w:val="single" w:sz="4" w:space="0" w:color="auto"/>
            </w:tcBorders>
            <w:shd w:val="clear" w:color="000000" w:fill="FFFFFF"/>
            <w:vAlign w:val="center"/>
            <w:hideMark/>
          </w:tcPr>
          <w:p w14:paraId="19B21AD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"Shqipëri e fortë"; Fusha "Integrimi Evropian"</w:t>
            </w:r>
          </w:p>
        </w:tc>
        <w:tc>
          <w:tcPr>
            <w:tcW w:w="305" w:type="pct"/>
            <w:tcBorders>
              <w:top w:val="nil"/>
              <w:left w:val="nil"/>
              <w:bottom w:val="single" w:sz="4" w:space="0" w:color="auto"/>
              <w:right w:val="single" w:sz="4" w:space="0" w:color="auto"/>
            </w:tcBorders>
            <w:shd w:val="clear" w:color="000000" w:fill="FFFFFF"/>
            <w:vAlign w:val="center"/>
            <w:hideMark/>
          </w:tcPr>
          <w:p w14:paraId="60BC84F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3B46EAC7"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Angazhimi për miratimin e projektligjit është reflektuar edhe në Strategjinë Ndërsektoriale për Mbrojtjen e Konsumatorëve dhe Mbikëqyrjen e Tregut 2024–2030 (miratuar me VKM nr. 326, datë 29.05.2024). </w:t>
            </w:r>
          </w:p>
        </w:tc>
        <w:tc>
          <w:tcPr>
            <w:tcW w:w="577" w:type="pct"/>
            <w:tcBorders>
              <w:top w:val="nil"/>
              <w:left w:val="nil"/>
              <w:bottom w:val="single" w:sz="4" w:space="0" w:color="auto"/>
              <w:right w:val="single" w:sz="4" w:space="0" w:color="auto"/>
            </w:tcBorders>
            <w:shd w:val="clear" w:color="000000" w:fill="FFFFFF"/>
            <w:vAlign w:val="center"/>
            <w:hideMark/>
          </w:tcPr>
          <w:p w14:paraId="6A7D4D03" w14:textId="77777777" w:rsidR="00DE4A77"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ekonomike,       </w:t>
            </w:r>
          </w:p>
          <w:p w14:paraId="2AA99A5A" w14:textId="3091F553"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financiare</w:t>
            </w:r>
          </w:p>
        </w:tc>
      </w:tr>
      <w:tr w:rsidR="00DE4A77" w:rsidRPr="00B6793F" w14:paraId="31AD8DA9"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775E2C6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3</w:t>
            </w:r>
          </w:p>
        </w:tc>
        <w:tc>
          <w:tcPr>
            <w:tcW w:w="612" w:type="pct"/>
            <w:tcBorders>
              <w:top w:val="nil"/>
              <w:left w:val="nil"/>
              <w:bottom w:val="single" w:sz="4" w:space="0" w:color="auto"/>
              <w:right w:val="single" w:sz="4" w:space="0" w:color="auto"/>
            </w:tcBorders>
            <w:shd w:val="clear" w:color="000000" w:fill="FFFFFF"/>
            <w:vAlign w:val="center"/>
            <w:hideMark/>
          </w:tcPr>
          <w:p w14:paraId="72DB7CB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lirinë e vendosjes dhe ofrimit të shërbimeve në Republikën e Shqipërisë"</w:t>
            </w:r>
          </w:p>
        </w:tc>
        <w:tc>
          <w:tcPr>
            <w:tcW w:w="357" w:type="pct"/>
            <w:tcBorders>
              <w:top w:val="nil"/>
              <w:left w:val="nil"/>
              <w:bottom w:val="single" w:sz="4" w:space="0" w:color="auto"/>
              <w:right w:val="single" w:sz="4" w:space="0" w:color="auto"/>
            </w:tcBorders>
            <w:shd w:val="clear" w:color="000000" w:fill="FFFFFF"/>
            <w:vAlign w:val="center"/>
            <w:hideMark/>
          </w:tcPr>
          <w:p w14:paraId="694D0D0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4BFA234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562760A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3FB40A6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Nenet  78  dhe  83,  pika  1,  të  Kushtetutës. Arsyeja e propozimit të projektaktit është harmonizimi i mëtejshëm me Direktiven 2006/123/KE te Parlamentit Evropian dhe e Këshillit, datë 12 dhjetor 2006, “Për shërbimet në tregun e brendshëm” CELEX: 32006L0123, Fletorja Zyrtare e Bashkimit Evropian, Seria L 376, datë 27.12.2006</w:t>
            </w:r>
            <w:r w:rsidRPr="00B6793F">
              <w:rPr>
                <w:rFonts w:ascii="Arial" w:eastAsia="Times New Roman" w:hAnsi="Arial" w:cs="Arial"/>
                <w:color w:val="000000"/>
                <w:sz w:val="8"/>
                <w:szCs w:val="8"/>
                <w:lang w:eastAsia="sq-AL"/>
              </w:rPr>
              <w:br/>
              <w:t>Nevoja për përafrimin e plotë vjen si rezultat i mungesës së një serë parashikimesh të rëndësishme të domosdoshme në kuadër të lirisë së ofrimit të shërbimeve – si p.sh. shërbimet ndërkufitare, garancitë e përgjegjësisë profesionale, shërbimet mutlidisiplinore etj.</w:t>
            </w:r>
          </w:p>
        </w:tc>
        <w:tc>
          <w:tcPr>
            <w:tcW w:w="427" w:type="pct"/>
            <w:tcBorders>
              <w:top w:val="nil"/>
              <w:left w:val="nil"/>
              <w:bottom w:val="single" w:sz="4" w:space="0" w:color="auto"/>
              <w:right w:val="single" w:sz="4" w:space="0" w:color="auto"/>
            </w:tcBorders>
            <w:shd w:val="clear" w:color="000000" w:fill="FFFFFF"/>
            <w:vAlign w:val="center"/>
            <w:hideMark/>
          </w:tcPr>
          <w:p w14:paraId="78FF4D6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Synohet përafrimi i ligjit nr. 66/2016 “Për shërbimet në Republikën e Shqipërisë” me direktivën 2006/123/KE të Parlamentit Evropian dhe të Këshillit, të datës 12 dhjetor 2006, “Për shërbimet në tregun e brendshëm” CELEX: 32006L0123,</w:t>
            </w:r>
          </w:p>
        </w:tc>
        <w:tc>
          <w:tcPr>
            <w:tcW w:w="432" w:type="pct"/>
            <w:tcBorders>
              <w:top w:val="nil"/>
              <w:left w:val="nil"/>
              <w:bottom w:val="single" w:sz="4" w:space="0" w:color="auto"/>
              <w:right w:val="single" w:sz="4" w:space="0" w:color="auto"/>
            </w:tcBorders>
            <w:shd w:val="clear" w:color="000000" w:fill="FFFFFF"/>
            <w:vAlign w:val="center"/>
            <w:hideMark/>
          </w:tcPr>
          <w:p w14:paraId="7548852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3 "Lëvizja e lirë e Sherbimeve"</w:t>
            </w:r>
          </w:p>
        </w:tc>
        <w:tc>
          <w:tcPr>
            <w:tcW w:w="409" w:type="pct"/>
            <w:tcBorders>
              <w:top w:val="nil"/>
              <w:left w:val="nil"/>
              <w:bottom w:val="single" w:sz="4" w:space="0" w:color="auto"/>
              <w:right w:val="single" w:sz="4" w:space="0" w:color="auto"/>
            </w:tcBorders>
            <w:shd w:val="clear" w:color="000000" w:fill="FFFFFF"/>
            <w:vAlign w:val="center"/>
            <w:hideMark/>
          </w:tcPr>
          <w:p w14:paraId="7A28762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"Shqipëri e fortë"; Fusha "Integrimi Evropian"</w:t>
            </w:r>
          </w:p>
        </w:tc>
        <w:tc>
          <w:tcPr>
            <w:tcW w:w="305" w:type="pct"/>
            <w:tcBorders>
              <w:top w:val="nil"/>
              <w:left w:val="nil"/>
              <w:bottom w:val="single" w:sz="4" w:space="0" w:color="auto"/>
              <w:right w:val="single" w:sz="4" w:space="0" w:color="auto"/>
            </w:tcBorders>
            <w:shd w:val="clear" w:color="000000" w:fill="FFFFFF"/>
            <w:vAlign w:val="center"/>
            <w:hideMark/>
          </w:tcPr>
          <w:p w14:paraId="7D49289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7AA7A0F1"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7D811F59" w14:textId="77777777" w:rsidR="00DE4A77"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ekonomike,       </w:t>
            </w:r>
          </w:p>
          <w:p w14:paraId="0BD62747" w14:textId="64006074"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financiare</w:t>
            </w:r>
          </w:p>
        </w:tc>
      </w:tr>
      <w:tr w:rsidR="00DE4A77" w:rsidRPr="00B6793F" w14:paraId="28CAFB12"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6A204F14"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612" w:type="pct"/>
            <w:tcBorders>
              <w:top w:val="nil"/>
              <w:left w:val="nil"/>
              <w:bottom w:val="single" w:sz="4" w:space="0" w:color="auto"/>
              <w:right w:val="single" w:sz="4" w:space="0" w:color="auto"/>
            </w:tcBorders>
            <w:shd w:val="clear" w:color="000000" w:fill="FFFFFF"/>
            <w:vAlign w:val="center"/>
            <w:hideMark/>
          </w:tcPr>
          <w:p w14:paraId="7486A56D"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shtesa dhe ndryshime në ligjin nr. 9901, datë 14.4.2008 “Për tregtarët dhe shoqëritë tregtare”, i ndryshuar </w:t>
            </w:r>
          </w:p>
        </w:tc>
        <w:tc>
          <w:tcPr>
            <w:tcW w:w="357" w:type="pct"/>
            <w:tcBorders>
              <w:top w:val="nil"/>
              <w:left w:val="nil"/>
              <w:bottom w:val="single" w:sz="4" w:space="0" w:color="auto"/>
              <w:right w:val="single" w:sz="4" w:space="0" w:color="auto"/>
            </w:tcBorders>
            <w:shd w:val="clear" w:color="000000" w:fill="FFFFFF"/>
            <w:vAlign w:val="center"/>
            <w:hideMark/>
          </w:tcPr>
          <w:p w14:paraId="6C854DC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51054C1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5345F4B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3DCAC855"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Nenet  78  dhe  83,  pika  1,  të  Kushtetutës.Arsyeja e propozimit të projektaktit është përafrimi me disa direktiva të Bashkimit Europian </w:t>
            </w:r>
          </w:p>
        </w:tc>
        <w:tc>
          <w:tcPr>
            <w:tcW w:w="427" w:type="pct"/>
            <w:tcBorders>
              <w:top w:val="nil"/>
              <w:left w:val="nil"/>
              <w:bottom w:val="single" w:sz="4" w:space="0" w:color="auto"/>
              <w:right w:val="single" w:sz="4" w:space="0" w:color="auto"/>
            </w:tcBorders>
            <w:shd w:val="clear" w:color="000000" w:fill="FFFFFF"/>
            <w:vAlign w:val="center"/>
            <w:hideMark/>
          </w:tcPr>
          <w:p w14:paraId="27743E45"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Të drejtat e aksionerëve, bashkimi dhe përthithja e shoqërive ndërkufitare. </w:t>
            </w:r>
          </w:p>
        </w:tc>
        <w:tc>
          <w:tcPr>
            <w:tcW w:w="432" w:type="pct"/>
            <w:tcBorders>
              <w:top w:val="nil"/>
              <w:left w:val="nil"/>
              <w:bottom w:val="single" w:sz="4" w:space="0" w:color="auto"/>
              <w:right w:val="single" w:sz="4" w:space="0" w:color="auto"/>
            </w:tcBorders>
            <w:shd w:val="clear" w:color="000000" w:fill="FFFFFF"/>
            <w:vAlign w:val="center"/>
            <w:hideMark/>
          </w:tcPr>
          <w:p w14:paraId="3185AB4B"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6 "Shoqëritë tregtare dhe raportimi financiar"</w:t>
            </w:r>
          </w:p>
        </w:tc>
        <w:tc>
          <w:tcPr>
            <w:tcW w:w="409" w:type="pct"/>
            <w:tcBorders>
              <w:top w:val="nil"/>
              <w:left w:val="nil"/>
              <w:bottom w:val="single" w:sz="4" w:space="0" w:color="auto"/>
              <w:right w:val="single" w:sz="4" w:space="0" w:color="auto"/>
            </w:tcBorders>
            <w:shd w:val="clear" w:color="000000" w:fill="FFFFFF"/>
            <w:vAlign w:val="center"/>
            <w:hideMark/>
          </w:tcPr>
          <w:p w14:paraId="700927F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2A5053F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66B27EDA"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68B953A6"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Po, ekonomike</w:t>
            </w:r>
          </w:p>
        </w:tc>
      </w:tr>
      <w:tr w:rsidR="00DE4A77" w:rsidRPr="00B6793F" w14:paraId="7F6D9DBA"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0E0EAD5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5</w:t>
            </w:r>
          </w:p>
        </w:tc>
        <w:tc>
          <w:tcPr>
            <w:tcW w:w="612" w:type="pct"/>
            <w:tcBorders>
              <w:top w:val="nil"/>
              <w:left w:val="nil"/>
              <w:bottom w:val="single" w:sz="4" w:space="0" w:color="auto"/>
              <w:right w:val="single" w:sz="4" w:space="0" w:color="auto"/>
            </w:tcBorders>
            <w:shd w:val="clear" w:color="000000" w:fill="FFFFFF"/>
            <w:vAlign w:val="center"/>
            <w:hideMark/>
          </w:tcPr>
          <w:p w14:paraId="641DC21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përcaktimin e procedurave dhe rregullave për administrimin e sistemit elektronik "e-Inspektimi" nga Inspektorati i Përgjithshëm, mbikëqyrjen online dhe në terren dhe raportimin”, në proces brenda institucionit. (Inspektimi)</w:t>
            </w:r>
          </w:p>
        </w:tc>
        <w:tc>
          <w:tcPr>
            <w:tcW w:w="357" w:type="pct"/>
            <w:tcBorders>
              <w:top w:val="nil"/>
              <w:left w:val="nil"/>
              <w:bottom w:val="single" w:sz="4" w:space="0" w:color="auto"/>
              <w:right w:val="single" w:sz="4" w:space="0" w:color="auto"/>
            </w:tcBorders>
            <w:shd w:val="clear" w:color="000000" w:fill="FFFFFF"/>
            <w:vAlign w:val="center"/>
            <w:hideMark/>
          </w:tcPr>
          <w:p w14:paraId="64ABEF7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330F169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64E1FDE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4CD5CA4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Neni 13, pika 6 të ligjit nr. 99/2024 “Për inspektimin në Republikën e Shqipërisë”,</w:t>
            </w:r>
          </w:p>
        </w:tc>
        <w:tc>
          <w:tcPr>
            <w:tcW w:w="427" w:type="pct"/>
            <w:tcBorders>
              <w:top w:val="nil"/>
              <w:left w:val="nil"/>
              <w:bottom w:val="single" w:sz="4" w:space="0" w:color="auto"/>
              <w:right w:val="single" w:sz="4" w:space="0" w:color="auto"/>
            </w:tcBorders>
            <w:shd w:val="clear" w:color="000000" w:fill="FFFFFF"/>
            <w:vAlign w:val="center"/>
            <w:hideMark/>
          </w:tcPr>
          <w:p w14:paraId="40BEC7D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rregullon procedurat e ushtrimit të kompetencave të Inspektoratit të Përgjithshëm për administrimin, përmbajtjen dhe sigurinë e të dhënave të sistemit elektronik “e-Inspektimi”, si dhe mënyrën e raportimit dhe kërkimit të informacionit. Gjithashtu përcakton rregullat për mbikëqyrjen online dhe në terren të procedurave të inspektimit dhe funksionimin e integruar të sistemit me bazat e tjera shtetërore të të dhënave.</w:t>
            </w:r>
          </w:p>
        </w:tc>
        <w:tc>
          <w:tcPr>
            <w:tcW w:w="432" w:type="pct"/>
            <w:tcBorders>
              <w:top w:val="nil"/>
              <w:left w:val="nil"/>
              <w:bottom w:val="single" w:sz="4" w:space="0" w:color="auto"/>
              <w:right w:val="single" w:sz="4" w:space="0" w:color="auto"/>
            </w:tcBorders>
            <w:shd w:val="clear" w:color="000000" w:fill="FFFFFF"/>
            <w:vAlign w:val="center"/>
            <w:hideMark/>
          </w:tcPr>
          <w:p w14:paraId="72052ABD"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Jo</w:t>
            </w:r>
          </w:p>
        </w:tc>
        <w:tc>
          <w:tcPr>
            <w:tcW w:w="409" w:type="pct"/>
            <w:tcBorders>
              <w:top w:val="nil"/>
              <w:left w:val="nil"/>
              <w:bottom w:val="single" w:sz="4" w:space="0" w:color="auto"/>
              <w:right w:val="single" w:sz="4" w:space="0" w:color="auto"/>
            </w:tcBorders>
            <w:shd w:val="clear" w:color="000000" w:fill="FFFFFF"/>
            <w:vAlign w:val="center"/>
            <w:hideMark/>
          </w:tcPr>
          <w:p w14:paraId="4B45983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47EE0E2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12A1347A"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4D66E50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sociale</w:t>
            </w:r>
          </w:p>
        </w:tc>
      </w:tr>
      <w:tr w:rsidR="00DE4A77" w:rsidRPr="00B6793F" w14:paraId="2B2088A4"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2B48D46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6</w:t>
            </w:r>
          </w:p>
        </w:tc>
        <w:tc>
          <w:tcPr>
            <w:tcW w:w="612" w:type="pct"/>
            <w:tcBorders>
              <w:top w:val="nil"/>
              <w:left w:val="nil"/>
              <w:bottom w:val="single" w:sz="4" w:space="0" w:color="auto"/>
              <w:right w:val="single" w:sz="4" w:space="0" w:color="auto"/>
            </w:tcBorders>
            <w:shd w:val="clear" w:color="000000" w:fill="FFFFFF"/>
            <w:vAlign w:val="center"/>
            <w:hideMark/>
          </w:tcPr>
          <w:p w14:paraId="2408E8DB"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të përgjithshme për programimin e inspektimeve, metodologjinë e vlerësimit të riskut, përcaktimin e periudhës maksimale të inspektimeve vjetore dhe mënyrën e llogaritjes së tyre".(Inspektimi)</w:t>
            </w:r>
          </w:p>
        </w:tc>
        <w:tc>
          <w:tcPr>
            <w:tcW w:w="357" w:type="pct"/>
            <w:tcBorders>
              <w:top w:val="nil"/>
              <w:left w:val="nil"/>
              <w:bottom w:val="single" w:sz="4" w:space="0" w:color="auto"/>
              <w:right w:val="single" w:sz="4" w:space="0" w:color="auto"/>
            </w:tcBorders>
            <w:shd w:val="clear" w:color="000000" w:fill="FFFFFF"/>
            <w:vAlign w:val="center"/>
            <w:hideMark/>
          </w:tcPr>
          <w:p w14:paraId="04D9DBF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34D7AA3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50A97E2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115A9D2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Neni 32, pika 8 të ligjit nr. 99/2024 “Për inspektimin në Republikën e Shqipërisë"</w:t>
            </w:r>
          </w:p>
        </w:tc>
        <w:tc>
          <w:tcPr>
            <w:tcW w:w="427" w:type="pct"/>
            <w:tcBorders>
              <w:top w:val="nil"/>
              <w:left w:val="nil"/>
              <w:bottom w:val="single" w:sz="4" w:space="0" w:color="auto"/>
              <w:right w:val="single" w:sz="4" w:space="0" w:color="auto"/>
            </w:tcBorders>
            <w:shd w:val="clear" w:color="000000" w:fill="FFFFFF"/>
            <w:vAlign w:val="center"/>
            <w:hideMark/>
          </w:tcPr>
          <w:p w14:paraId="5C4ABC7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përcakton rregullat e përgjithshme për programimin vjetor dhe mujor të inspektimeve, metodologjinë e vlerësimit të riskut dhe klasifikimin e subjekteve mbi bazë risku. Gjithashtu rregullon përcaktimin e periudhës maksimale të inspektimeve vjetore dhe mënyrën e llogaritjes së saj për çdo kategori subjekti.</w:t>
            </w:r>
          </w:p>
        </w:tc>
        <w:tc>
          <w:tcPr>
            <w:tcW w:w="432" w:type="pct"/>
            <w:tcBorders>
              <w:top w:val="nil"/>
              <w:left w:val="nil"/>
              <w:bottom w:val="single" w:sz="4" w:space="0" w:color="auto"/>
              <w:right w:val="single" w:sz="4" w:space="0" w:color="auto"/>
            </w:tcBorders>
            <w:shd w:val="clear" w:color="000000" w:fill="FFFFFF"/>
            <w:vAlign w:val="center"/>
            <w:hideMark/>
          </w:tcPr>
          <w:p w14:paraId="3A2D64B8" w14:textId="77777777" w:rsidR="00601C10" w:rsidRPr="00B6793F" w:rsidRDefault="00601C10" w:rsidP="00601C10">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Jo</w:t>
            </w:r>
          </w:p>
        </w:tc>
        <w:tc>
          <w:tcPr>
            <w:tcW w:w="409" w:type="pct"/>
            <w:tcBorders>
              <w:top w:val="nil"/>
              <w:left w:val="nil"/>
              <w:bottom w:val="single" w:sz="4" w:space="0" w:color="auto"/>
              <w:right w:val="single" w:sz="4" w:space="0" w:color="auto"/>
            </w:tcBorders>
            <w:shd w:val="clear" w:color="000000" w:fill="FFFFFF"/>
            <w:vAlign w:val="center"/>
            <w:hideMark/>
          </w:tcPr>
          <w:p w14:paraId="7A7DBCD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44C331D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0F5BF0E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55369C8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sociale</w:t>
            </w:r>
          </w:p>
        </w:tc>
      </w:tr>
      <w:tr w:rsidR="00DE4A77" w:rsidRPr="00B6793F" w14:paraId="66BFC0D2"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1A26D6F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7</w:t>
            </w:r>
          </w:p>
        </w:tc>
        <w:tc>
          <w:tcPr>
            <w:tcW w:w="612" w:type="pct"/>
            <w:tcBorders>
              <w:top w:val="nil"/>
              <w:left w:val="nil"/>
              <w:bottom w:val="single" w:sz="4" w:space="0" w:color="auto"/>
              <w:right w:val="single" w:sz="4" w:space="0" w:color="auto"/>
            </w:tcBorders>
            <w:shd w:val="clear" w:color="000000" w:fill="FFFFFF"/>
            <w:vAlign w:val="center"/>
            <w:hideMark/>
          </w:tcPr>
          <w:p w14:paraId="5F1298D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Rregullores së Përgjithshme të metodologjisë së përcaktimit të dënimeve administrative në procesin e inspektimeve”. </w:t>
            </w:r>
          </w:p>
        </w:tc>
        <w:tc>
          <w:tcPr>
            <w:tcW w:w="357" w:type="pct"/>
            <w:tcBorders>
              <w:top w:val="nil"/>
              <w:left w:val="nil"/>
              <w:bottom w:val="single" w:sz="4" w:space="0" w:color="auto"/>
              <w:right w:val="single" w:sz="4" w:space="0" w:color="auto"/>
            </w:tcBorders>
            <w:shd w:val="clear" w:color="000000" w:fill="FFFFFF"/>
            <w:vAlign w:val="center"/>
            <w:hideMark/>
          </w:tcPr>
          <w:p w14:paraId="677DCC9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601E92F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0FF842C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625" w:type="pct"/>
            <w:tcBorders>
              <w:top w:val="nil"/>
              <w:left w:val="nil"/>
              <w:bottom w:val="single" w:sz="4" w:space="0" w:color="auto"/>
              <w:right w:val="single" w:sz="4" w:space="0" w:color="auto"/>
            </w:tcBorders>
            <w:shd w:val="clear" w:color="000000" w:fill="FFFFFF"/>
            <w:vAlign w:val="center"/>
            <w:hideMark/>
          </w:tcPr>
          <w:p w14:paraId="42279A1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Neni 44, pika 7 të ligjit nr. 99/2024 “Për inspektimin në Republikën e Shqipërisë”,</w:t>
            </w:r>
          </w:p>
        </w:tc>
        <w:tc>
          <w:tcPr>
            <w:tcW w:w="427" w:type="pct"/>
            <w:tcBorders>
              <w:top w:val="nil"/>
              <w:left w:val="nil"/>
              <w:bottom w:val="single" w:sz="4" w:space="0" w:color="auto"/>
              <w:right w:val="single" w:sz="4" w:space="0" w:color="auto"/>
            </w:tcBorders>
            <w:shd w:val="clear" w:color="000000" w:fill="FFFFFF"/>
            <w:vAlign w:val="center"/>
            <w:hideMark/>
          </w:tcPr>
          <w:p w14:paraId="044F92F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përcakton rregullat dhe metodologjinë e unifikuar për përcaktimin e dënimeve administrative nga inspektoratet, duke vendosur kriteret, faktorët e riskut dhe sistemin e pikëzimit për caktimin e masës së dënimit. Gjithashtu rregullon procedurat për zbatimin e dënimeve në sistemin “e-Inspektimi”, klasifikimin e dënimeve administrative dhe mënyrën e aplikimit të tyre në përputhje me parimin e proporcionalitetit.</w:t>
            </w:r>
          </w:p>
        </w:tc>
        <w:tc>
          <w:tcPr>
            <w:tcW w:w="432" w:type="pct"/>
            <w:tcBorders>
              <w:top w:val="nil"/>
              <w:left w:val="nil"/>
              <w:bottom w:val="single" w:sz="4" w:space="0" w:color="auto"/>
              <w:right w:val="single" w:sz="4" w:space="0" w:color="auto"/>
            </w:tcBorders>
            <w:shd w:val="clear" w:color="000000" w:fill="FFFFFF"/>
            <w:vAlign w:val="center"/>
            <w:hideMark/>
          </w:tcPr>
          <w:p w14:paraId="7BC4E39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09" w:type="pct"/>
            <w:tcBorders>
              <w:top w:val="nil"/>
              <w:left w:val="nil"/>
              <w:bottom w:val="single" w:sz="4" w:space="0" w:color="auto"/>
              <w:right w:val="single" w:sz="4" w:space="0" w:color="auto"/>
            </w:tcBorders>
            <w:shd w:val="clear" w:color="000000" w:fill="FFFFFF"/>
            <w:vAlign w:val="center"/>
            <w:hideMark/>
          </w:tcPr>
          <w:p w14:paraId="4B5B1E7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01ACD7E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5EE3B1D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602AD87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Po, sociale</w:t>
            </w:r>
          </w:p>
        </w:tc>
      </w:tr>
      <w:tr w:rsidR="00DE4A77" w:rsidRPr="00B6793F" w14:paraId="29BAAA2F"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655525D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8</w:t>
            </w:r>
          </w:p>
        </w:tc>
        <w:tc>
          <w:tcPr>
            <w:tcW w:w="612" w:type="pct"/>
            <w:tcBorders>
              <w:top w:val="nil"/>
              <w:left w:val="nil"/>
              <w:bottom w:val="single" w:sz="4" w:space="0" w:color="auto"/>
              <w:right w:val="single" w:sz="4" w:space="0" w:color="auto"/>
            </w:tcBorders>
            <w:shd w:val="clear" w:color="000000" w:fill="FFFFFF"/>
            <w:vAlign w:val="center"/>
            <w:hideMark/>
          </w:tcPr>
          <w:p w14:paraId="0E994BA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Ligji "Për Investimet Strategjike në Republikën e Shqipërisë"</w:t>
            </w:r>
          </w:p>
        </w:tc>
        <w:tc>
          <w:tcPr>
            <w:tcW w:w="357" w:type="pct"/>
            <w:tcBorders>
              <w:top w:val="nil"/>
              <w:left w:val="nil"/>
              <w:bottom w:val="single" w:sz="4" w:space="0" w:color="auto"/>
              <w:right w:val="single" w:sz="4" w:space="0" w:color="auto"/>
            </w:tcBorders>
            <w:shd w:val="clear" w:color="000000" w:fill="FFFFFF"/>
            <w:vAlign w:val="center"/>
            <w:hideMark/>
          </w:tcPr>
          <w:p w14:paraId="29F7EF0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2799C39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50F0A4A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3AEAB5F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Nenet 78 dhe 83, pika 1, të Kushtetutës</w:t>
            </w:r>
          </w:p>
        </w:tc>
        <w:tc>
          <w:tcPr>
            <w:tcW w:w="427" w:type="pct"/>
            <w:tcBorders>
              <w:top w:val="nil"/>
              <w:left w:val="nil"/>
              <w:bottom w:val="single" w:sz="4" w:space="0" w:color="auto"/>
              <w:right w:val="single" w:sz="4" w:space="0" w:color="auto"/>
            </w:tcBorders>
            <w:shd w:val="clear" w:color="000000" w:fill="FFFFFF"/>
            <w:vAlign w:val="center"/>
            <w:hideMark/>
          </w:tcPr>
          <w:p w14:paraId="5953061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Përfundom afati i ligjit në Dhjetor 2026</w:t>
            </w:r>
          </w:p>
        </w:tc>
        <w:tc>
          <w:tcPr>
            <w:tcW w:w="432" w:type="pct"/>
            <w:tcBorders>
              <w:top w:val="nil"/>
              <w:left w:val="nil"/>
              <w:bottom w:val="single" w:sz="4" w:space="0" w:color="auto"/>
              <w:right w:val="single" w:sz="4" w:space="0" w:color="auto"/>
            </w:tcBorders>
            <w:shd w:val="clear" w:color="000000" w:fill="FFFFFF"/>
            <w:vAlign w:val="center"/>
            <w:hideMark/>
          </w:tcPr>
          <w:p w14:paraId="611D7FE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09" w:type="pct"/>
            <w:tcBorders>
              <w:top w:val="nil"/>
              <w:left w:val="nil"/>
              <w:bottom w:val="single" w:sz="4" w:space="0" w:color="auto"/>
              <w:right w:val="single" w:sz="4" w:space="0" w:color="auto"/>
            </w:tcBorders>
            <w:shd w:val="clear" w:color="000000" w:fill="FFFFFF"/>
            <w:vAlign w:val="center"/>
            <w:hideMark/>
          </w:tcPr>
          <w:p w14:paraId="43C0180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përputhet me Programin Qeverisës , Prioritetet për përmirësimin e shërbimeve për investitorët</w:t>
            </w:r>
          </w:p>
        </w:tc>
        <w:tc>
          <w:tcPr>
            <w:tcW w:w="305" w:type="pct"/>
            <w:tcBorders>
              <w:top w:val="nil"/>
              <w:left w:val="nil"/>
              <w:bottom w:val="single" w:sz="4" w:space="0" w:color="auto"/>
              <w:right w:val="single" w:sz="4" w:space="0" w:color="auto"/>
            </w:tcBorders>
            <w:shd w:val="clear" w:color="000000" w:fill="FFFFFF"/>
            <w:vAlign w:val="center"/>
            <w:hideMark/>
          </w:tcPr>
          <w:p w14:paraId="3B65D7D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4D157DF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për Zhvillimin e Biznesit dhe Investimeve (BIDS); Strategjia Kombëtare për Zhvillim dhe Integrim (SKZHI) 2030; Strategjia e Zhvillimit të Turizmit 2030; Strategjia e Energjisë; Strategjia për Zhvillimin Rural dhe Bujqësisë</w:t>
            </w:r>
          </w:p>
        </w:tc>
        <w:tc>
          <w:tcPr>
            <w:tcW w:w="577" w:type="pct"/>
            <w:tcBorders>
              <w:top w:val="nil"/>
              <w:left w:val="nil"/>
              <w:bottom w:val="single" w:sz="4" w:space="0" w:color="auto"/>
              <w:right w:val="single" w:sz="4" w:space="0" w:color="auto"/>
            </w:tcBorders>
            <w:shd w:val="clear" w:color="000000" w:fill="FFFFFF"/>
            <w:vAlign w:val="center"/>
            <w:hideMark/>
          </w:tcPr>
          <w:p w14:paraId="4C8F1F90"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Ekonomike: Po; Financiare: Po; Sociale: Po; </w:t>
            </w:r>
          </w:p>
        </w:tc>
      </w:tr>
      <w:tr w:rsidR="00DE4A77" w:rsidRPr="00B6793F" w14:paraId="07A1BBAC"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791FA2D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9</w:t>
            </w:r>
          </w:p>
        </w:tc>
        <w:tc>
          <w:tcPr>
            <w:tcW w:w="612" w:type="pct"/>
            <w:tcBorders>
              <w:top w:val="nil"/>
              <w:left w:val="nil"/>
              <w:bottom w:val="single" w:sz="4" w:space="0" w:color="auto"/>
              <w:right w:val="single" w:sz="4" w:space="0" w:color="auto"/>
            </w:tcBorders>
            <w:shd w:val="clear" w:color="000000" w:fill="FFFFFF"/>
            <w:vAlign w:val="center"/>
            <w:hideMark/>
          </w:tcPr>
          <w:p w14:paraId="4DB7F7A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raportit për ndihmat shtetërore të vitit 2025"</w:t>
            </w:r>
          </w:p>
        </w:tc>
        <w:tc>
          <w:tcPr>
            <w:tcW w:w="357" w:type="pct"/>
            <w:tcBorders>
              <w:top w:val="nil"/>
              <w:left w:val="nil"/>
              <w:bottom w:val="single" w:sz="4" w:space="0" w:color="auto"/>
              <w:right w:val="single" w:sz="4" w:space="0" w:color="auto"/>
            </w:tcBorders>
            <w:shd w:val="clear" w:color="000000" w:fill="FFFFFF"/>
            <w:vAlign w:val="center"/>
            <w:hideMark/>
          </w:tcPr>
          <w:p w14:paraId="25A5068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46F7633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1BA64BD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55B736B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hartohet në bazë të nenit 100 të Kushtetutës dhe të nenit 17, shkronja dh), nenit 18, shkronja e) dhe nenit 32, pika 2, e Ligjit nr. 9374, datë 21.04.2005 “Për ndihmën shtetërore”,të ndryshuar.Përgatitja e këtij projektvendimi është në përputhje me nenin 71, pika 5 e Marrëveshjes së Stabilizim- Asociimit ndërmjet Komuniteteve Evropiane e Shteteve të tyre Anëtare dhe Republikës së Shqipërisë.</w:t>
            </w:r>
          </w:p>
        </w:tc>
        <w:tc>
          <w:tcPr>
            <w:tcW w:w="427" w:type="pct"/>
            <w:tcBorders>
              <w:top w:val="nil"/>
              <w:left w:val="nil"/>
              <w:bottom w:val="single" w:sz="4" w:space="0" w:color="auto"/>
              <w:right w:val="single" w:sz="4" w:space="0" w:color="auto"/>
            </w:tcBorders>
            <w:shd w:val="clear" w:color="000000" w:fill="FFFFFF"/>
            <w:vAlign w:val="center"/>
            <w:hideMark/>
          </w:tcPr>
          <w:p w14:paraId="70B9ECC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Qëllimi i raportimit të rregullt vjetor mbi ndihmat shtetërore të vitit paraardhës është garantimi i transparencës në fushën e ndihmës shtetërore. Ashtu si në raportet e tjera edhe këtë vit, në mënyrëne paraqitjes dhe analizës së të dhënave në raport është ndjekur metodologjia e Komisionit Evropian, duke përshkruar zhvillimet kryesore në fushën e ndihmës shtetërore. </w:t>
            </w:r>
          </w:p>
        </w:tc>
        <w:tc>
          <w:tcPr>
            <w:tcW w:w="432" w:type="pct"/>
            <w:tcBorders>
              <w:top w:val="nil"/>
              <w:left w:val="nil"/>
              <w:bottom w:val="single" w:sz="4" w:space="0" w:color="auto"/>
              <w:right w:val="single" w:sz="4" w:space="0" w:color="auto"/>
            </w:tcBorders>
            <w:shd w:val="clear" w:color="000000" w:fill="FFFFFF"/>
            <w:vAlign w:val="center"/>
            <w:hideMark/>
          </w:tcPr>
          <w:p w14:paraId="27BC9AC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Kapitulli 8</w:t>
            </w:r>
          </w:p>
        </w:tc>
        <w:tc>
          <w:tcPr>
            <w:tcW w:w="409" w:type="pct"/>
            <w:tcBorders>
              <w:top w:val="nil"/>
              <w:left w:val="nil"/>
              <w:bottom w:val="single" w:sz="4" w:space="0" w:color="auto"/>
              <w:right w:val="single" w:sz="4" w:space="0" w:color="auto"/>
            </w:tcBorders>
            <w:shd w:val="clear" w:color="000000" w:fill="FFFFFF"/>
            <w:vAlign w:val="center"/>
            <w:hideMark/>
          </w:tcPr>
          <w:p w14:paraId="0989B4A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2.2 Politikat për Biznesin</w:t>
            </w:r>
          </w:p>
        </w:tc>
        <w:tc>
          <w:tcPr>
            <w:tcW w:w="305" w:type="pct"/>
            <w:tcBorders>
              <w:top w:val="nil"/>
              <w:left w:val="nil"/>
              <w:bottom w:val="single" w:sz="4" w:space="0" w:color="auto"/>
              <w:right w:val="single" w:sz="4" w:space="0" w:color="auto"/>
            </w:tcBorders>
            <w:shd w:val="clear" w:color="000000" w:fill="FFFFFF"/>
            <w:vAlign w:val="center"/>
            <w:hideMark/>
          </w:tcPr>
          <w:p w14:paraId="02E4630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0EB6EC4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1A92AA7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ekonomik, social dhe institucional</w:t>
            </w:r>
          </w:p>
        </w:tc>
      </w:tr>
      <w:tr w:rsidR="00DE4A77" w:rsidRPr="00B6793F" w14:paraId="3DEF3B85"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62A96A4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10</w:t>
            </w:r>
          </w:p>
        </w:tc>
        <w:tc>
          <w:tcPr>
            <w:tcW w:w="612" w:type="pct"/>
            <w:tcBorders>
              <w:top w:val="nil"/>
              <w:left w:val="nil"/>
              <w:bottom w:val="single" w:sz="4" w:space="0" w:color="auto"/>
              <w:right w:val="single" w:sz="4" w:space="0" w:color="auto"/>
            </w:tcBorders>
            <w:shd w:val="clear" w:color="000000" w:fill="FFFFFF"/>
            <w:vAlign w:val="center"/>
            <w:hideMark/>
          </w:tcPr>
          <w:p w14:paraId="186034B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indeksimin e Pensioneve"</w:t>
            </w:r>
          </w:p>
        </w:tc>
        <w:tc>
          <w:tcPr>
            <w:tcW w:w="357" w:type="pct"/>
            <w:tcBorders>
              <w:top w:val="nil"/>
              <w:left w:val="nil"/>
              <w:bottom w:val="single" w:sz="4" w:space="0" w:color="auto"/>
              <w:right w:val="single" w:sz="4" w:space="0" w:color="auto"/>
            </w:tcBorders>
            <w:shd w:val="clear" w:color="000000" w:fill="FFFFFF"/>
            <w:vAlign w:val="center"/>
            <w:hideMark/>
          </w:tcPr>
          <w:p w14:paraId="3DD3060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639C1C0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76ED1E2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01AB7D1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Neneve 61 e 88 të ligjit nr. 7703, datë 11.5.1993, “Për sigurimet shoqërore në Republikën e Shqipërisë”, të ndryshuar</w:t>
            </w:r>
          </w:p>
        </w:tc>
        <w:tc>
          <w:tcPr>
            <w:tcW w:w="427" w:type="pct"/>
            <w:tcBorders>
              <w:top w:val="nil"/>
              <w:left w:val="nil"/>
              <w:bottom w:val="single" w:sz="4" w:space="0" w:color="auto"/>
              <w:right w:val="single" w:sz="4" w:space="0" w:color="auto"/>
            </w:tcBorders>
            <w:shd w:val="clear" w:color="000000" w:fill="FFFFFF"/>
            <w:vAlign w:val="center"/>
            <w:hideMark/>
          </w:tcPr>
          <w:p w14:paraId="2AE9AB0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Indeksimi i pensioneve sipas këtij projektvendimi ka për qëllim që të mbajë në nivel real masën e pensioneve dhe përfitimeve të tjera sociale duke i përshtatur me efektet e rritjes së indeksit të çmimeve të mallrave të konsumit për shportën e pensionistëve.</w:t>
            </w:r>
          </w:p>
        </w:tc>
        <w:tc>
          <w:tcPr>
            <w:tcW w:w="432" w:type="pct"/>
            <w:tcBorders>
              <w:top w:val="nil"/>
              <w:left w:val="nil"/>
              <w:bottom w:val="single" w:sz="4" w:space="0" w:color="auto"/>
              <w:right w:val="single" w:sz="4" w:space="0" w:color="auto"/>
            </w:tcBorders>
            <w:shd w:val="clear" w:color="000000" w:fill="FFFFFF"/>
            <w:vAlign w:val="center"/>
            <w:hideMark/>
          </w:tcPr>
          <w:p w14:paraId="6153DC3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19 Politikat sociale dhe punësimi</w:t>
            </w:r>
          </w:p>
        </w:tc>
        <w:tc>
          <w:tcPr>
            <w:tcW w:w="409" w:type="pct"/>
            <w:tcBorders>
              <w:top w:val="nil"/>
              <w:left w:val="nil"/>
              <w:bottom w:val="single" w:sz="4" w:space="0" w:color="auto"/>
              <w:right w:val="single" w:sz="4" w:space="0" w:color="auto"/>
            </w:tcBorders>
            <w:shd w:val="clear" w:color="000000" w:fill="FFFFFF"/>
            <w:vAlign w:val="center"/>
            <w:hideMark/>
          </w:tcPr>
          <w:p w14:paraId="6933967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Kujdesi për të moshuarit dhe qytetarët në nevojë</w:t>
            </w:r>
          </w:p>
        </w:tc>
        <w:tc>
          <w:tcPr>
            <w:tcW w:w="305" w:type="pct"/>
            <w:tcBorders>
              <w:top w:val="nil"/>
              <w:left w:val="nil"/>
              <w:bottom w:val="single" w:sz="4" w:space="0" w:color="auto"/>
              <w:right w:val="single" w:sz="4" w:space="0" w:color="auto"/>
            </w:tcBorders>
            <w:shd w:val="clear" w:color="000000" w:fill="FFFFFF"/>
            <w:vAlign w:val="center"/>
            <w:hideMark/>
          </w:tcPr>
          <w:p w14:paraId="7B217DA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4EDE184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3956470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7E2018C5"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1DCB39B5"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612" w:type="pct"/>
            <w:tcBorders>
              <w:top w:val="nil"/>
              <w:left w:val="nil"/>
              <w:bottom w:val="single" w:sz="4" w:space="0" w:color="auto"/>
              <w:right w:val="single" w:sz="4" w:space="0" w:color="auto"/>
            </w:tcBorders>
            <w:shd w:val="clear" w:color="000000" w:fill="FFFFFF"/>
            <w:vAlign w:val="center"/>
            <w:hideMark/>
          </w:tcPr>
          <w:p w14:paraId="187186C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vendimin nr. 179, datë 26.2.2020 "Për rregullat, kushtet dhe procedurat e privatizimit të banesave që kanë qenë subjekt i ligjit nr. 7652, datë 23.12.1992, “për privatizimin e banesave shtetërore”, dhe të ligjit nr. 9321, datë 25.11.2004, “për privatizimin e banesave dhe objekteve të kthyera në banesa, të ndërtuara me fondet e shoqërive dhe të ndërmarrjeve shtetërore”</w:t>
            </w:r>
          </w:p>
        </w:tc>
        <w:tc>
          <w:tcPr>
            <w:tcW w:w="357" w:type="pct"/>
            <w:tcBorders>
              <w:top w:val="nil"/>
              <w:left w:val="nil"/>
              <w:bottom w:val="single" w:sz="4" w:space="0" w:color="auto"/>
              <w:right w:val="single" w:sz="4" w:space="0" w:color="auto"/>
            </w:tcBorders>
            <w:shd w:val="clear" w:color="000000" w:fill="FFFFFF"/>
            <w:vAlign w:val="center"/>
            <w:hideMark/>
          </w:tcPr>
          <w:p w14:paraId="564D739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7457364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50CA08E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71C447ED"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 mbështetje të nenit 100 të Kushtetutës dhe të pikave 1, shkronja “a”, e 3, të nenit 77, të ligjit nr. 22/2018, “Për strehimin social</w:t>
            </w:r>
          </w:p>
        </w:tc>
        <w:tc>
          <w:tcPr>
            <w:tcW w:w="427" w:type="pct"/>
            <w:tcBorders>
              <w:top w:val="nil"/>
              <w:left w:val="nil"/>
              <w:bottom w:val="single" w:sz="4" w:space="0" w:color="auto"/>
              <w:right w:val="single" w:sz="4" w:space="0" w:color="auto"/>
            </w:tcBorders>
            <w:shd w:val="clear" w:color="000000" w:fill="FFFFFF"/>
            <w:vAlign w:val="center"/>
            <w:hideMark/>
          </w:tcPr>
          <w:p w14:paraId="12085047"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Rishikimi dhe përmirësimi i  procedurave të privatizimit që kryejne Enti Kombëtar i Banesave EKB dhe bashkitë në zbatim të tij, për privatizimin e banesave dhe objekteve të kthyera në fond banese dhe që kanë qenë subjekt i ligjit nr. 7652, datë 23.12.1992 dhe ligjit nr. 9321 datë 25.11.2004 të cilat mbetën pa u privatizuar dhe aktualisht janë në pronësi të shtetit apo EKB-së</w:t>
            </w:r>
          </w:p>
        </w:tc>
        <w:tc>
          <w:tcPr>
            <w:tcW w:w="432" w:type="pct"/>
            <w:tcBorders>
              <w:top w:val="nil"/>
              <w:left w:val="nil"/>
              <w:bottom w:val="single" w:sz="4" w:space="0" w:color="auto"/>
              <w:right w:val="single" w:sz="4" w:space="0" w:color="auto"/>
            </w:tcBorders>
            <w:shd w:val="clear" w:color="000000" w:fill="FFFFFF"/>
            <w:noWrap/>
            <w:vAlign w:val="center"/>
            <w:hideMark/>
          </w:tcPr>
          <w:p w14:paraId="63FC6CF6"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9" w:type="pct"/>
            <w:tcBorders>
              <w:top w:val="nil"/>
              <w:left w:val="nil"/>
              <w:bottom w:val="single" w:sz="4" w:space="0" w:color="auto"/>
              <w:right w:val="single" w:sz="4" w:space="0" w:color="auto"/>
            </w:tcBorders>
            <w:shd w:val="clear" w:color="000000" w:fill="FFFFFF"/>
            <w:noWrap/>
            <w:vAlign w:val="center"/>
            <w:hideMark/>
          </w:tcPr>
          <w:p w14:paraId="65ED09E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51A202B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noWrap/>
            <w:vAlign w:val="center"/>
            <w:hideMark/>
          </w:tcPr>
          <w:p w14:paraId="4F4FF75C"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49D1511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sociale dhe ekonomike</w:t>
            </w:r>
          </w:p>
        </w:tc>
      </w:tr>
      <w:tr w:rsidR="00DE4A77" w:rsidRPr="00B6793F" w14:paraId="0A408B49"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306339B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12</w:t>
            </w:r>
          </w:p>
        </w:tc>
        <w:tc>
          <w:tcPr>
            <w:tcW w:w="612" w:type="pct"/>
            <w:tcBorders>
              <w:top w:val="nil"/>
              <w:left w:val="nil"/>
              <w:bottom w:val="single" w:sz="4" w:space="0" w:color="auto"/>
              <w:right w:val="single" w:sz="4" w:space="0" w:color="auto"/>
            </w:tcBorders>
            <w:shd w:val="clear" w:color="000000" w:fill="FFFFFF"/>
            <w:vAlign w:val="center"/>
            <w:hideMark/>
          </w:tcPr>
          <w:p w14:paraId="69AA474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koeficientit te indeksimit të bazës së vlerësuar  vjetore, për llogaritjen e pensioneve"</w:t>
            </w:r>
          </w:p>
        </w:tc>
        <w:tc>
          <w:tcPr>
            <w:tcW w:w="357" w:type="pct"/>
            <w:tcBorders>
              <w:top w:val="nil"/>
              <w:left w:val="nil"/>
              <w:bottom w:val="single" w:sz="4" w:space="0" w:color="auto"/>
              <w:right w:val="single" w:sz="4" w:space="0" w:color="auto"/>
            </w:tcBorders>
            <w:shd w:val="clear" w:color="000000" w:fill="FFFFFF"/>
            <w:vAlign w:val="center"/>
            <w:hideMark/>
          </w:tcPr>
          <w:p w14:paraId="447E075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31EBD76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3FB2E1C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4C8D8AC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Pikave 1 e 3, të nenit 59, të ligjit nr. 7703, datë 11.5.1993, “Për sigurimet shoqërore në Republikën e Shqipërisë”, </w:t>
            </w:r>
          </w:p>
        </w:tc>
        <w:tc>
          <w:tcPr>
            <w:tcW w:w="427" w:type="pct"/>
            <w:tcBorders>
              <w:top w:val="nil"/>
              <w:left w:val="nil"/>
              <w:bottom w:val="single" w:sz="4" w:space="0" w:color="auto"/>
              <w:right w:val="single" w:sz="4" w:space="0" w:color="auto"/>
            </w:tcBorders>
            <w:shd w:val="clear" w:color="000000" w:fill="FFFFFF"/>
            <w:vAlign w:val="center"/>
            <w:hideMark/>
          </w:tcPr>
          <w:p w14:paraId="6D12DB0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Koeficientët e indeksimit të pagave, mbi të cilat janë paguar kontributet për sigurimet shoqërore të detyrueshme, për efekt të llogaritjes së bazës së vlerësuar për llogaritjen fillestare të pensioneve</w:t>
            </w:r>
          </w:p>
        </w:tc>
        <w:tc>
          <w:tcPr>
            <w:tcW w:w="432" w:type="pct"/>
            <w:tcBorders>
              <w:top w:val="nil"/>
              <w:left w:val="nil"/>
              <w:bottom w:val="single" w:sz="4" w:space="0" w:color="auto"/>
              <w:right w:val="single" w:sz="4" w:space="0" w:color="auto"/>
            </w:tcBorders>
            <w:shd w:val="clear" w:color="000000" w:fill="FFFFFF"/>
            <w:vAlign w:val="center"/>
            <w:hideMark/>
          </w:tcPr>
          <w:p w14:paraId="076A4FE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19 Politikat sociale dhe punësimi</w:t>
            </w:r>
          </w:p>
        </w:tc>
        <w:tc>
          <w:tcPr>
            <w:tcW w:w="409" w:type="pct"/>
            <w:tcBorders>
              <w:top w:val="nil"/>
              <w:left w:val="nil"/>
              <w:bottom w:val="single" w:sz="4" w:space="0" w:color="auto"/>
              <w:right w:val="single" w:sz="4" w:space="0" w:color="auto"/>
            </w:tcBorders>
            <w:shd w:val="clear" w:color="000000" w:fill="FFFFFF"/>
            <w:vAlign w:val="center"/>
            <w:hideMark/>
          </w:tcPr>
          <w:p w14:paraId="1487093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"Familja"; Fusha Kujdesi për të moshuarit dhe qytetarët në nevojë</w:t>
            </w:r>
          </w:p>
        </w:tc>
        <w:tc>
          <w:tcPr>
            <w:tcW w:w="305" w:type="pct"/>
            <w:tcBorders>
              <w:top w:val="nil"/>
              <w:left w:val="nil"/>
              <w:bottom w:val="single" w:sz="4" w:space="0" w:color="auto"/>
              <w:right w:val="single" w:sz="4" w:space="0" w:color="auto"/>
            </w:tcBorders>
            <w:shd w:val="clear" w:color="000000" w:fill="FFFFFF"/>
            <w:vAlign w:val="center"/>
            <w:hideMark/>
          </w:tcPr>
          <w:p w14:paraId="1B7A19D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noWrap/>
            <w:vAlign w:val="center"/>
            <w:hideMark/>
          </w:tcPr>
          <w:p w14:paraId="363F0FAC"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2C4911E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financiare dhe ekonomike</w:t>
            </w:r>
          </w:p>
        </w:tc>
      </w:tr>
      <w:tr w:rsidR="00DE4A77" w:rsidRPr="00B6793F" w14:paraId="4C777ACA"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692C241E"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612" w:type="pct"/>
            <w:tcBorders>
              <w:top w:val="nil"/>
              <w:left w:val="nil"/>
              <w:bottom w:val="single" w:sz="4" w:space="0" w:color="auto"/>
              <w:right w:val="single" w:sz="4" w:space="0" w:color="auto"/>
            </w:tcBorders>
            <w:shd w:val="clear" w:color="000000" w:fill="FFFFFF"/>
            <w:vAlign w:val="center"/>
            <w:hideMark/>
          </w:tcPr>
          <w:p w14:paraId="5D72805E"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për miratimin e Planit të Veprimit për përmirësimin e renditjes së shqipërisë në indeksin e OECD-së për politikat e NMV-ve</w:t>
            </w:r>
          </w:p>
        </w:tc>
        <w:tc>
          <w:tcPr>
            <w:tcW w:w="357" w:type="pct"/>
            <w:tcBorders>
              <w:top w:val="nil"/>
              <w:left w:val="nil"/>
              <w:bottom w:val="single" w:sz="4" w:space="0" w:color="auto"/>
              <w:right w:val="single" w:sz="4" w:space="0" w:color="auto"/>
            </w:tcBorders>
            <w:shd w:val="clear" w:color="000000" w:fill="FFFFFF"/>
            <w:vAlign w:val="center"/>
            <w:hideMark/>
          </w:tcPr>
          <w:p w14:paraId="0CB37E7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5D06D59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6A3E186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6B3B8AAC"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Qellimi i këtij projekt-vendimi është i lidhur me VKM Nr. 621, datë 10.10.2024 “Për miratimin e dokumentit të politikës “Agjenda Kombëtare e Reformave 2024–2027”, në kuadër të instrumentit të Bashkimit Evropian “Faciliteti për reforma dhe rritje për Ballkanin Perëndimor” (hartimi dhe miratimi i Planit të Veprimit për përmirësimin e renditjes së shqipërisë në indeksin e OECD-së për politikat e NMV-ve është masë e parashikuar në Agjendën e Reformave)</w:t>
            </w:r>
          </w:p>
        </w:tc>
        <w:tc>
          <w:tcPr>
            <w:tcW w:w="427" w:type="pct"/>
            <w:tcBorders>
              <w:top w:val="nil"/>
              <w:left w:val="nil"/>
              <w:bottom w:val="single" w:sz="4" w:space="0" w:color="auto"/>
              <w:right w:val="single" w:sz="4" w:space="0" w:color="auto"/>
            </w:tcBorders>
            <w:shd w:val="clear" w:color="000000" w:fill="FFFFFF"/>
            <w:vAlign w:val="center"/>
            <w:hideMark/>
          </w:tcPr>
          <w:p w14:paraId="6643E576"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 funksion të përshpejtimit të procesit të integrimit evropian, ashtu siç parashikohet në VKM nr. 621/2024, përmirësimi i treguesve të SME Policy Index, i cili lidhet drejtpërdrejt me Kapitullin 20 – Ndërmarrjet dhe Politikat Industriale, ndikon në mënyrë direkte në progresin dhe raportimin e Shqipërisë për këtë kapitull, në kuadër të negociatave të anëtarësimit në Bashkimin Evropian. </w:t>
            </w:r>
          </w:p>
        </w:tc>
        <w:tc>
          <w:tcPr>
            <w:tcW w:w="432" w:type="pct"/>
            <w:tcBorders>
              <w:top w:val="nil"/>
              <w:left w:val="nil"/>
              <w:bottom w:val="single" w:sz="4" w:space="0" w:color="auto"/>
              <w:right w:val="single" w:sz="4" w:space="0" w:color="auto"/>
            </w:tcBorders>
            <w:shd w:val="clear" w:color="000000" w:fill="FFFFFF"/>
            <w:vAlign w:val="center"/>
            <w:hideMark/>
          </w:tcPr>
          <w:p w14:paraId="55C6DF2B"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Kapitulli 20</w:t>
            </w:r>
          </w:p>
        </w:tc>
        <w:tc>
          <w:tcPr>
            <w:tcW w:w="409" w:type="pct"/>
            <w:tcBorders>
              <w:top w:val="nil"/>
              <w:left w:val="nil"/>
              <w:bottom w:val="single" w:sz="4" w:space="0" w:color="auto"/>
              <w:right w:val="single" w:sz="4" w:space="0" w:color="auto"/>
            </w:tcBorders>
            <w:shd w:val="clear" w:color="000000" w:fill="FFFFFF"/>
            <w:vAlign w:val="center"/>
            <w:hideMark/>
          </w:tcPr>
          <w:p w14:paraId="496C65C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Programin e Qeverisë 2021-2025 dhe 2025-2029 (Shtylla 2.2 Politikat për Biznesin)</w:t>
            </w:r>
          </w:p>
        </w:tc>
        <w:tc>
          <w:tcPr>
            <w:tcW w:w="305" w:type="pct"/>
            <w:tcBorders>
              <w:top w:val="nil"/>
              <w:left w:val="nil"/>
              <w:bottom w:val="single" w:sz="4" w:space="0" w:color="auto"/>
              <w:right w:val="single" w:sz="4" w:space="0" w:color="auto"/>
            </w:tcBorders>
            <w:shd w:val="clear" w:color="000000" w:fill="FFFFFF"/>
            <w:vAlign w:val="center"/>
            <w:hideMark/>
          </w:tcPr>
          <w:p w14:paraId="5E88CE5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415FE985"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621, datë 10.10.2024 “Për miratimin e dokumentit të politikës “Agjenda Kombëtare e Reformave 2024–2027”,                                                       Strategjia SKZHIE 2030 dhe Strategjia e Zhvillimit të Biznesit dhe Investimeve 2021-2027</w:t>
            </w:r>
          </w:p>
        </w:tc>
        <w:tc>
          <w:tcPr>
            <w:tcW w:w="577" w:type="pct"/>
            <w:tcBorders>
              <w:top w:val="nil"/>
              <w:left w:val="nil"/>
              <w:bottom w:val="single" w:sz="4" w:space="0" w:color="auto"/>
              <w:right w:val="single" w:sz="4" w:space="0" w:color="auto"/>
            </w:tcBorders>
            <w:shd w:val="clear" w:color="000000" w:fill="FFFFFF"/>
            <w:vAlign w:val="center"/>
            <w:hideMark/>
          </w:tcPr>
          <w:p w14:paraId="178E62F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sociale  dhe ekonomike</w:t>
            </w:r>
          </w:p>
        </w:tc>
      </w:tr>
      <w:tr w:rsidR="00DE4A77" w:rsidRPr="00B6793F" w14:paraId="1434422A" w14:textId="77777777" w:rsidTr="00DE4A77">
        <w:trPr>
          <w:trHeight w:val="180"/>
        </w:trPr>
        <w:tc>
          <w:tcPr>
            <w:tcW w:w="159" w:type="pct"/>
            <w:tcBorders>
              <w:top w:val="nil"/>
              <w:left w:val="nil"/>
              <w:bottom w:val="nil"/>
              <w:right w:val="nil"/>
            </w:tcBorders>
            <w:shd w:val="clear" w:color="000000" w:fill="FFFFFF"/>
            <w:noWrap/>
            <w:vAlign w:val="center"/>
            <w:hideMark/>
          </w:tcPr>
          <w:p w14:paraId="1EAE8827"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612" w:type="pct"/>
            <w:tcBorders>
              <w:top w:val="nil"/>
              <w:left w:val="nil"/>
              <w:bottom w:val="nil"/>
              <w:right w:val="nil"/>
            </w:tcBorders>
            <w:shd w:val="clear" w:color="000000" w:fill="FFFFFF"/>
            <w:vAlign w:val="center"/>
            <w:hideMark/>
          </w:tcPr>
          <w:p w14:paraId="28AA01C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 Për miratimin e Strategjisë Kombëtare të Industrisë 2026-2030</w:t>
            </w:r>
          </w:p>
        </w:tc>
        <w:tc>
          <w:tcPr>
            <w:tcW w:w="357" w:type="pct"/>
            <w:tcBorders>
              <w:top w:val="nil"/>
              <w:left w:val="single" w:sz="4" w:space="0" w:color="auto"/>
              <w:bottom w:val="single" w:sz="4" w:space="0" w:color="auto"/>
              <w:right w:val="single" w:sz="4" w:space="0" w:color="auto"/>
            </w:tcBorders>
            <w:shd w:val="clear" w:color="000000" w:fill="FFFFFF"/>
            <w:vAlign w:val="center"/>
            <w:hideMark/>
          </w:tcPr>
          <w:p w14:paraId="1D141A2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273CD7C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vAlign w:val="center"/>
            <w:hideMark/>
          </w:tcPr>
          <w:p w14:paraId="642E1C2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625" w:type="pct"/>
            <w:tcBorders>
              <w:top w:val="nil"/>
              <w:left w:val="nil"/>
              <w:bottom w:val="single" w:sz="4" w:space="0" w:color="auto"/>
              <w:right w:val="single" w:sz="4" w:space="0" w:color="auto"/>
            </w:tcBorders>
            <w:shd w:val="clear" w:color="000000" w:fill="FFFFFF"/>
            <w:vAlign w:val="center"/>
            <w:hideMark/>
          </w:tcPr>
          <w:p w14:paraId="57FA9C25"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synon përafrimin e kuadrit ligjor me dispozitat e Rregulloreve të BE-së si vijon:</w:t>
            </w:r>
            <w:r w:rsidRPr="00B6793F">
              <w:rPr>
                <w:rFonts w:ascii="Arial" w:eastAsia="Times New Roman" w:hAnsi="Arial" w:cs="Arial"/>
                <w:color w:val="000000"/>
                <w:sz w:val="8"/>
                <w:szCs w:val="8"/>
                <w:lang w:eastAsia="sq-AL"/>
              </w:rPr>
              <w:br/>
              <w:t>Komunikata (BE) Nr. (2020) 102 e Komisionit Europian për Parlamentin Europian, Këshillin Europian, Komitetin Ekonomik dhe Social Europian dhe Komitetin e Rajoneve për një Strategji të re Industriale për Evropën;</w:t>
            </w:r>
            <w:r w:rsidRPr="00B6793F">
              <w:rPr>
                <w:rFonts w:ascii="Arial" w:eastAsia="Times New Roman" w:hAnsi="Arial" w:cs="Arial"/>
                <w:color w:val="000000"/>
                <w:sz w:val="8"/>
                <w:szCs w:val="8"/>
                <w:lang w:eastAsia="sq-AL"/>
              </w:rPr>
              <w:br/>
              <w:t>- Komunikata (BE) Nr. (2021) 350 e Komisionit Europian për Parlamentin Europian, Këshillin, Komitetin Ekonomik dhe Social Europian dhe Komitetin e Rajoneve për Përditësimin e Strategjisë së re Industriale 2020: Ndërtimi i një tregu të vetëm më të fortë për rimëkëmbjen e Europës.</w:t>
            </w:r>
          </w:p>
        </w:tc>
        <w:tc>
          <w:tcPr>
            <w:tcW w:w="427" w:type="pct"/>
            <w:tcBorders>
              <w:top w:val="nil"/>
              <w:left w:val="nil"/>
              <w:bottom w:val="single" w:sz="4" w:space="0" w:color="auto"/>
              <w:right w:val="single" w:sz="4" w:space="0" w:color="auto"/>
            </w:tcBorders>
            <w:shd w:val="clear" w:color="000000" w:fill="FFFFFF"/>
            <w:vAlign w:val="center"/>
            <w:hideMark/>
          </w:tcPr>
          <w:p w14:paraId="44451613"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Kombëtare e Industrisë 2026-2030 do të adresojë të gjitha problematikat për zhvillimin e konkurrueshmërisë dhe industrializimit të ekonomisë së vendit në bashkërendim me politikat sektoriale zhvillimore të vendit, sipas standarteve të Bashkimit Evropian. Strukturat e MEI përfshirë edhe Drejtorinë e Politikave të Nxitjes së Biznesit kanë si mision kryesor mbështetetjen e konkurrueshmërisë së industrisë së vendit, rritjen dhe</w:t>
            </w:r>
            <w:r w:rsidRPr="00B6793F">
              <w:rPr>
                <w:rFonts w:ascii="Arial" w:eastAsia="Times New Roman" w:hAnsi="Arial" w:cs="Arial"/>
                <w:color w:val="000000"/>
                <w:sz w:val="8"/>
                <w:szCs w:val="8"/>
                <w:lang w:eastAsia="sq-AL"/>
              </w:rPr>
              <w:br/>
              <w:t>qëndrueshmërinë e biznesit dhe përmirësimin e klimës së biznesit në ekonominë e vendit tonë.</w:t>
            </w:r>
          </w:p>
        </w:tc>
        <w:tc>
          <w:tcPr>
            <w:tcW w:w="432" w:type="pct"/>
            <w:tcBorders>
              <w:top w:val="nil"/>
              <w:left w:val="nil"/>
              <w:bottom w:val="single" w:sz="4" w:space="0" w:color="auto"/>
              <w:right w:val="single" w:sz="4" w:space="0" w:color="auto"/>
            </w:tcBorders>
            <w:shd w:val="clear" w:color="000000" w:fill="FFFFFF"/>
            <w:vAlign w:val="center"/>
            <w:hideMark/>
          </w:tcPr>
          <w:p w14:paraId="296CC08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20</w:t>
            </w:r>
          </w:p>
        </w:tc>
        <w:tc>
          <w:tcPr>
            <w:tcW w:w="409" w:type="pct"/>
            <w:tcBorders>
              <w:top w:val="nil"/>
              <w:left w:val="nil"/>
              <w:bottom w:val="single" w:sz="4" w:space="0" w:color="auto"/>
              <w:right w:val="single" w:sz="4" w:space="0" w:color="auto"/>
            </w:tcBorders>
            <w:shd w:val="clear" w:color="000000" w:fill="FFFFFF"/>
            <w:vAlign w:val="center"/>
            <w:hideMark/>
          </w:tcPr>
          <w:p w14:paraId="4C23BF6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2.2 Politikat për Biznesin</w:t>
            </w:r>
          </w:p>
        </w:tc>
        <w:tc>
          <w:tcPr>
            <w:tcW w:w="305" w:type="pct"/>
            <w:tcBorders>
              <w:top w:val="nil"/>
              <w:left w:val="nil"/>
              <w:bottom w:val="single" w:sz="4" w:space="0" w:color="auto"/>
              <w:right w:val="single" w:sz="4" w:space="0" w:color="auto"/>
            </w:tcBorders>
            <w:shd w:val="clear" w:color="000000" w:fill="FFFFFF"/>
            <w:vAlign w:val="center"/>
            <w:hideMark/>
          </w:tcPr>
          <w:p w14:paraId="1272DEF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noWrap/>
            <w:vAlign w:val="center"/>
            <w:hideMark/>
          </w:tcPr>
          <w:p w14:paraId="5BE13A1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77" w:type="pct"/>
            <w:tcBorders>
              <w:top w:val="nil"/>
              <w:left w:val="nil"/>
              <w:bottom w:val="single" w:sz="4" w:space="0" w:color="auto"/>
              <w:right w:val="single" w:sz="4" w:space="0" w:color="auto"/>
            </w:tcBorders>
            <w:shd w:val="clear" w:color="000000" w:fill="FFFFFF"/>
            <w:vAlign w:val="center"/>
            <w:hideMark/>
          </w:tcPr>
          <w:p w14:paraId="6A7E8EAC"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sociale</w:t>
            </w:r>
          </w:p>
        </w:tc>
      </w:tr>
      <w:tr w:rsidR="00DE4A77" w:rsidRPr="00B6793F" w14:paraId="0BF383BD" w14:textId="77777777" w:rsidTr="00DE4A77">
        <w:trPr>
          <w:trHeight w:val="180"/>
        </w:trPr>
        <w:tc>
          <w:tcPr>
            <w:tcW w:w="15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DB0B6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15</w:t>
            </w:r>
          </w:p>
        </w:tc>
        <w:tc>
          <w:tcPr>
            <w:tcW w:w="612" w:type="pct"/>
            <w:tcBorders>
              <w:top w:val="single" w:sz="4" w:space="0" w:color="auto"/>
              <w:left w:val="nil"/>
              <w:bottom w:val="single" w:sz="4" w:space="0" w:color="auto"/>
              <w:right w:val="single" w:sz="4" w:space="0" w:color="auto"/>
            </w:tcBorders>
            <w:shd w:val="clear" w:color="000000" w:fill="FFFFFF"/>
            <w:noWrap/>
            <w:vAlign w:val="center"/>
            <w:hideMark/>
          </w:tcPr>
          <w:p w14:paraId="7550D5C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tregjet e kriptoaseteve "</w:t>
            </w:r>
          </w:p>
        </w:tc>
        <w:tc>
          <w:tcPr>
            <w:tcW w:w="357" w:type="pct"/>
            <w:tcBorders>
              <w:top w:val="nil"/>
              <w:left w:val="nil"/>
              <w:bottom w:val="single" w:sz="4" w:space="0" w:color="auto"/>
              <w:right w:val="single" w:sz="4" w:space="0" w:color="auto"/>
            </w:tcBorders>
            <w:shd w:val="clear" w:color="000000" w:fill="FFFFFF"/>
            <w:vAlign w:val="center"/>
            <w:hideMark/>
          </w:tcPr>
          <w:p w14:paraId="3925A34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73F4F9E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18243EC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418A32B0"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Përafrimi i legjislacionit kombëtar me atë të BE: Të transpozohet plotësisht me Rregulloren e BE 2023/1114/EU (MiCA) dhe të harmonizohet me kuadrin ekzistues për shërbimet e investimit, pagesave dhe parasë elektronike, duke garantuar siguri juridike dhe koherencë rregullatore.Kuadri rregullator për kripto-asetet të rregullohet duke i përafruar kërkesat rregullatore me Direktivën 2014/65/EU (MIFID II) dhe Direktivën 2009/110/EC (EMD2), duke vendosur standarde të njëjta me ato që zbatohen për instrumentet financiarë dhe paranë elektronike. Ai synon gjithashtu  të mbështesë teknologjitë e reja dhe krijojë kushte të favorshme për bizneset inovative shqiptare, duke u ofruar rregulla të qarta dhe të harmonizuara me BE-në për të nxitur konkurrueshmërinë, investimet dhe integrimin në tregun evropian, ndërsa ruan balancën mes mbrojtjes së konsumatorit dhe nxitjes së inovacionit.</w:t>
            </w:r>
          </w:p>
        </w:tc>
        <w:tc>
          <w:tcPr>
            <w:tcW w:w="427" w:type="pct"/>
            <w:tcBorders>
              <w:top w:val="nil"/>
              <w:left w:val="nil"/>
              <w:bottom w:val="single" w:sz="4" w:space="0" w:color="auto"/>
              <w:right w:val="single" w:sz="4" w:space="0" w:color="auto"/>
            </w:tcBorders>
            <w:shd w:val="clear" w:color="000000" w:fill="FFFFFF"/>
            <w:vAlign w:val="center"/>
            <w:hideMark/>
          </w:tcPr>
          <w:p w14:paraId="6DC75936"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Projektligji do të krijojë një kuadër të qartë dhe të qëndrueshëm rregullator, që u jep siguri juridike të gjithë pjesëmarrësve në tregun e kripto-aseteve. Përmes harmonizimit me rregullat e investimeve, pagesave dhe parasë elektronike, projekti do të ndërtojë një sistem të bashkërenduar dhe funksional. Gjithashtu një vend të veçantë zë mbrojtja e investitorëve, duke vendosur kërkesa të forta për qeverisje, transparencë, siguri kibernetike, dhe duke parandaluar abuzimet me tregun dhe pastrimin e parave, me vendosjen e mekanizmave të posaçëm kontrolli.  Projektligji synon të rrisë besueshmërinë e vendit dhe të forcojë integritetin e tregut financiar modern. </w:t>
            </w:r>
          </w:p>
        </w:tc>
        <w:tc>
          <w:tcPr>
            <w:tcW w:w="432" w:type="pct"/>
            <w:tcBorders>
              <w:top w:val="nil"/>
              <w:left w:val="nil"/>
              <w:bottom w:val="single" w:sz="4" w:space="0" w:color="auto"/>
              <w:right w:val="single" w:sz="4" w:space="0" w:color="auto"/>
            </w:tcBorders>
            <w:shd w:val="clear" w:color="000000" w:fill="FFFFFF"/>
            <w:noWrap/>
            <w:vAlign w:val="center"/>
            <w:hideMark/>
          </w:tcPr>
          <w:p w14:paraId="13B64D3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9</w:t>
            </w:r>
          </w:p>
        </w:tc>
        <w:tc>
          <w:tcPr>
            <w:tcW w:w="409" w:type="pct"/>
            <w:tcBorders>
              <w:top w:val="nil"/>
              <w:left w:val="nil"/>
              <w:bottom w:val="single" w:sz="4" w:space="0" w:color="auto"/>
              <w:right w:val="single" w:sz="4" w:space="0" w:color="auto"/>
            </w:tcBorders>
            <w:shd w:val="clear" w:color="000000" w:fill="FFFFFF"/>
            <w:noWrap/>
            <w:vAlign w:val="center"/>
            <w:hideMark/>
          </w:tcPr>
          <w:p w14:paraId="53BC7C9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05" w:type="pct"/>
            <w:tcBorders>
              <w:top w:val="nil"/>
              <w:left w:val="nil"/>
              <w:bottom w:val="single" w:sz="4" w:space="0" w:color="auto"/>
              <w:right w:val="single" w:sz="4" w:space="0" w:color="auto"/>
            </w:tcBorders>
            <w:shd w:val="clear" w:color="000000" w:fill="FFFFFF"/>
            <w:vAlign w:val="center"/>
            <w:hideMark/>
          </w:tcPr>
          <w:p w14:paraId="010559C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4551A00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“Strategjia e Autoritetit të Mbikëqyrjes Financiare 2023–2027” të miratuar më 27 prill 2023, me Vendimin nr. 266 të Këshillit të Ministrave. </w:t>
            </w:r>
          </w:p>
        </w:tc>
        <w:tc>
          <w:tcPr>
            <w:tcW w:w="577" w:type="pct"/>
            <w:tcBorders>
              <w:top w:val="nil"/>
              <w:left w:val="nil"/>
              <w:bottom w:val="single" w:sz="4" w:space="0" w:color="auto"/>
              <w:right w:val="single" w:sz="4" w:space="0" w:color="auto"/>
            </w:tcBorders>
            <w:shd w:val="clear" w:color="000000" w:fill="FFFFFF"/>
            <w:noWrap/>
            <w:vAlign w:val="center"/>
            <w:hideMark/>
          </w:tcPr>
          <w:p w14:paraId="6774EEA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sociale</w:t>
            </w:r>
          </w:p>
        </w:tc>
      </w:tr>
      <w:tr w:rsidR="00DE4A77" w:rsidRPr="00B6793F" w14:paraId="397066FF"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181196B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16</w:t>
            </w:r>
          </w:p>
        </w:tc>
        <w:tc>
          <w:tcPr>
            <w:tcW w:w="612" w:type="pct"/>
            <w:tcBorders>
              <w:top w:val="nil"/>
              <w:left w:val="nil"/>
              <w:bottom w:val="single" w:sz="4" w:space="0" w:color="auto"/>
              <w:right w:val="single" w:sz="4" w:space="0" w:color="auto"/>
            </w:tcBorders>
            <w:shd w:val="clear" w:color="000000" w:fill="FFFFFF"/>
            <w:noWrap/>
            <w:vAlign w:val="center"/>
            <w:hideMark/>
          </w:tcPr>
          <w:p w14:paraId="75CEE48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Ligji për Dizajnet Industriale </w:t>
            </w:r>
          </w:p>
        </w:tc>
        <w:tc>
          <w:tcPr>
            <w:tcW w:w="357" w:type="pct"/>
            <w:tcBorders>
              <w:top w:val="nil"/>
              <w:left w:val="nil"/>
              <w:bottom w:val="single" w:sz="4" w:space="0" w:color="auto"/>
              <w:right w:val="single" w:sz="4" w:space="0" w:color="auto"/>
            </w:tcBorders>
            <w:shd w:val="clear" w:color="000000" w:fill="FFFFFF"/>
            <w:vAlign w:val="center"/>
            <w:hideMark/>
          </w:tcPr>
          <w:p w14:paraId="1D2131C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1D7EB3E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20C9336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61C6125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Përafrimi i legjislacionit kombëtar me atë të BE: Përafrimi i plotë i legjislacionit kombëtar të dizenjove me legjislacionin e BE-së</w:t>
            </w:r>
            <w:r w:rsidRPr="00B6793F">
              <w:rPr>
                <w:rFonts w:ascii="Arial" w:eastAsia="Times New Roman" w:hAnsi="Arial" w:cs="Arial"/>
                <w:sz w:val="8"/>
                <w:szCs w:val="8"/>
                <w:lang w:eastAsia="sq-AL"/>
              </w:rPr>
              <w:br/>
              <w:t>Rregullimi i sistemit të dhënies dhe mbrojtjes: Miratimi i një ligji specifik për dizenjot.</w:t>
            </w:r>
            <w:r w:rsidRPr="00B6793F">
              <w:rPr>
                <w:rFonts w:ascii="Arial" w:eastAsia="Times New Roman" w:hAnsi="Arial" w:cs="Arial"/>
                <w:sz w:val="8"/>
                <w:szCs w:val="8"/>
                <w:lang w:eastAsia="sq-AL"/>
              </w:rPr>
              <w:br/>
              <w:t>Lehtësimi i zbatimit të drejtave: Lehtësimi i zbatimit të të drejtave të lidhura me dizenjot.</w:t>
            </w:r>
            <w:r w:rsidRPr="00B6793F">
              <w:rPr>
                <w:rFonts w:ascii="Arial" w:eastAsia="Times New Roman" w:hAnsi="Arial" w:cs="Arial"/>
                <w:sz w:val="8"/>
                <w:szCs w:val="8"/>
                <w:lang w:eastAsia="sq-AL"/>
              </w:rPr>
              <w:br/>
              <w:t>Sigurimi i nivelit të njëjtë të jmbrojtjes: Sigurimi i një mbrojtjeje të njëjtë të të drejtave të dizenjove sipas legjislacionit të BE-së.</w:t>
            </w:r>
            <w:r w:rsidRPr="00B6793F">
              <w:rPr>
                <w:rFonts w:ascii="Arial" w:eastAsia="Times New Roman" w:hAnsi="Arial" w:cs="Arial"/>
                <w:sz w:val="8"/>
                <w:szCs w:val="8"/>
                <w:lang w:eastAsia="sq-AL"/>
              </w:rPr>
              <w:br/>
              <w:t>Parashikimet ligjore për masa të përkohshme: Rregullimi i masave të përkohshme në rast të shkeljeve.</w:t>
            </w:r>
          </w:p>
        </w:tc>
        <w:tc>
          <w:tcPr>
            <w:tcW w:w="427" w:type="pct"/>
            <w:tcBorders>
              <w:top w:val="nil"/>
              <w:left w:val="nil"/>
              <w:bottom w:val="single" w:sz="4" w:space="0" w:color="auto"/>
              <w:right w:val="single" w:sz="4" w:space="0" w:color="auto"/>
            </w:tcBorders>
            <w:shd w:val="clear" w:color="000000" w:fill="FFFFFF"/>
            <w:vAlign w:val="center"/>
            <w:hideMark/>
          </w:tcPr>
          <w:p w14:paraId="06BA939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Mbrojtja e konsumatorëve: Ndërhyrja e qeverisë do të ndihmojë në krijimin e një mjedisi më të sigurt dhe më të drejtë për konsumatorët.</w:t>
            </w:r>
            <w:r w:rsidRPr="00B6793F">
              <w:rPr>
                <w:rFonts w:ascii="Arial" w:eastAsia="Times New Roman" w:hAnsi="Arial" w:cs="Arial"/>
                <w:sz w:val="8"/>
                <w:szCs w:val="8"/>
                <w:lang w:eastAsia="sq-AL"/>
              </w:rPr>
              <w:br/>
              <w:t xml:space="preserve">Përputhshmëria me standardet evropiane e ndërkombëtare: Sektori i pronësisë industriale duhet të përputhet me direktivat dhe standardet ndërkombëtare për të lehtësuar integrimin në tregjet globale. </w:t>
            </w:r>
            <w:r w:rsidRPr="00B6793F">
              <w:rPr>
                <w:rFonts w:ascii="Arial" w:eastAsia="Times New Roman" w:hAnsi="Arial" w:cs="Arial"/>
                <w:sz w:val="8"/>
                <w:szCs w:val="8"/>
                <w:lang w:eastAsia="sq-AL"/>
              </w:rPr>
              <w:br/>
              <w:t>Rritja e besimit në sektor: Ndërhyrja e qeverisë ndihmon në rritjen e besimit të palëve të interesuara, i cili është thelbësor për nxitjen dhe zhvillimin e inovacionit në vend.</w:t>
            </w:r>
          </w:p>
        </w:tc>
        <w:tc>
          <w:tcPr>
            <w:tcW w:w="432" w:type="pct"/>
            <w:tcBorders>
              <w:top w:val="nil"/>
              <w:left w:val="nil"/>
              <w:bottom w:val="single" w:sz="4" w:space="0" w:color="auto"/>
              <w:right w:val="single" w:sz="4" w:space="0" w:color="auto"/>
            </w:tcBorders>
            <w:shd w:val="clear" w:color="000000" w:fill="FFFFFF"/>
            <w:noWrap/>
            <w:vAlign w:val="center"/>
            <w:hideMark/>
          </w:tcPr>
          <w:p w14:paraId="3EBC9E4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7</w:t>
            </w:r>
          </w:p>
        </w:tc>
        <w:tc>
          <w:tcPr>
            <w:tcW w:w="409" w:type="pct"/>
            <w:tcBorders>
              <w:top w:val="nil"/>
              <w:left w:val="nil"/>
              <w:bottom w:val="single" w:sz="4" w:space="0" w:color="auto"/>
              <w:right w:val="single" w:sz="4" w:space="0" w:color="auto"/>
            </w:tcBorders>
            <w:shd w:val="clear" w:color="000000" w:fill="FFFFFF"/>
            <w:vAlign w:val="center"/>
            <w:hideMark/>
          </w:tcPr>
          <w:p w14:paraId="65102FB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3903E60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659CBD9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Strategjisë së Pronësisë Intelektuale: Përmbushja e objektivave të përcaktuara në strategji.</w:t>
            </w:r>
          </w:p>
        </w:tc>
        <w:tc>
          <w:tcPr>
            <w:tcW w:w="577" w:type="pct"/>
            <w:tcBorders>
              <w:top w:val="nil"/>
              <w:left w:val="nil"/>
              <w:bottom w:val="single" w:sz="4" w:space="0" w:color="auto"/>
              <w:right w:val="single" w:sz="4" w:space="0" w:color="auto"/>
            </w:tcBorders>
            <w:shd w:val="clear" w:color="auto" w:fill="auto"/>
            <w:vAlign w:val="center"/>
            <w:hideMark/>
          </w:tcPr>
          <w:p w14:paraId="492206E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099EA69A"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282C279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17</w:t>
            </w:r>
          </w:p>
        </w:tc>
        <w:tc>
          <w:tcPr>
            <w:tcW w:w="612" w:type="pct"/>
            <w:tcBorders>
              <w:top w:val="nil"/>
              <w:left w:val="nil"/>
              <w:bottom w:val="single" w:sz="4" w:space="0" w:color="auto"/>
              <w:right w:val="single" w:sz="4" w:space="0" w:color="auto"/>
            </w:tcBorders>
            <w:shd w:val="clear" w:color="000000" w:fill="FFFFFF"/>
            <w:vAlign w:val="center"/>
            <w:hideMark/>
          </w:tcPr>
          <w:p w14:paraId="40F8B03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Ligji për Treguesit Gjeografikë, me efekt që nga data e anëtarësimit</w:t>
            </w:r>
          </w:p>
        </w:tc>
        <w:tc>
          <w:tcPr>
            <w:tcW w:w="357" w:type="pct"/>
            <w:tcBorders>
              <w:top w:val="nil"/>
              <w:left w:val="nil"/>
              <w:bottom w:val="single" w:sz="4" w:space="0" w:color="auto"/>
              <w:right w:val="single" w:sz="4" w:space="0" w:color="auto"/>
            </w:tcBorders>
            <w:shd w:val="clear" w:color="000000" w:fill="FFFFFF"/>
            <w:vAlign w:val="center"/>
            <w:hideMark/>
          </w:tcPr>
          <w:p w14:paraId="1F8D035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7FC55CB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5182E95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263DA69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Pjesë e angazhimeve të vendit për të përmbushur standardet dhe rregullat e BE-së në fushën e mbrojtjes së të drejtave të pronësisë intelektuale, veçanërisht për sa i përket treguesve gjeografikë (TG) dhe etiketave të origjinës.</w:t>
            </w:r>
            <w:r w:rsidRPr="00B6793F">
              <w:rPr>
                <w:rFonts w:ascii="Arial" w:eastAsia="Times New Roman" w:hAnsi="Arial" w:cs="Arial"/>
                <w:sz w:val="8"/>
                <w:szCs w:val="8"/>
                <w:lang w:eastAsia="sq-AL"/>
              </w:rPr>
              <w:br/>
              <w:t>Ky ligj përcakton se si mund të regjistrohen dhe mbrohen treguesit gjeografikë për produktet që kanë një lidhje të veçantë me një territor ose rajon të caktuar. Kjo ndihmon në mbrojtjen e emrave të produkteve të njohura, si p.sh. "Dajti" për verën, ose "Gjakova" për një lloj produkti ushqimor.</w:t>
            </w:r>
          </w:p>
        </w:tc>
        <w:tc>
          <w:tcPr>
            <w:tcW w:w="427" w:type="pct"/>
            <w:tcBorders>
              <w:top w:val="nil"/>
              <w:left w:val="nil"/>
              <w:bottom w:val="single" w:sz="4" w:space="0" w:color="auto"/>
              <w:right w:val="single" w:sz="4" w:space="0" w:color="auto"/>
            </w:tcBorders>
            <w:shd w:val="clear" w:color="000000" w:fill="FFFFFF"/>
            <w:vAlign w:val="center"/>
            <w:hideMark/>
          </w:tcPr>
          <w:p w14:paraId="262D94E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Projektakti është një hap i rëndësishëm për të mbrojtur identitetin dhe traditat e produkteve shqiptare, si dhe për të krijuar mundësi të reja për tregtinë dhe zhvillimin ekonomik.</w:t>
            </w:r>
            <w:r w:rsidRPr="00B6793F">
              <w:rPr>
                <w:rFonts w:ascii="Arial" w:eastAsia="Times New Roman" w:hAnsi="Arial" w:cs="Arial"/>
                <w:sz w:val="8"/>
                <w:szCs w:val="8"/>
                <w:lang w:eastAsia="sq-AL"/>
              </w:rPr>
              <w:br/>
              <w:t>Definicioni dhe Klasifikimi i Treguesve Gjeografikë</w:t>
            </w:r>
            <w:r w:rsidRPr="00B6793F">
              <w:rPr>
                <w:rFonts w:ascii="Arial" w:eastAsia="Times New Roman" w:hAnsi="Arial" w:cs="Arial"/>
                <w:sz w:val="8"/>
                <w:szCs w:val="8"/>
                <w:lang w:eastAsia="sq-AL"/>
              </w:rPr>
              <w:br/>
              <w:t>Procedurat për Regjistrimin e Treguesve Gjeografikë.</w:t>
            </w:r>
            <w:r w:rsidRPr="00B6793F">
              <w:rPr>
                <w:rFonts w:ascii="Arial" w:eastAsia="Times New Roman" w:hAnsi="Arial" w:cs="Arial"/>
                <w:sz w:val="8"/>
                <w:szCs w:val="8"/>
                <w:lang w:eastAsia="sq-AL"/>
              </w:rPr>
              <w:br/>
              <w:t>Mbrojtja Ligjore dhe Parandalimi i Shkeljeve</w:t>
            </w:r>
            <w:r w:rsidRPr="00B6793F">
              <w:rPr>
                <w:rFonts w:ascii="Arial" w:eastAsia="Times New Roman" w:hAnsi="Arial" w:cs="Arial"/>
                <w:sz w:val="8"/>
                <w:szCs w:val="8"/>
                <w:lang w:eastAsia="sq-AL"/>
              </w:rPr>
              <w:br/>
              <w:t>Verifikimi dhe Monitorimi i Cilësisë së Produkteve</w:t>
            </w:r>
            <w:r w:rsidRPr="00B6793F">
              <w:rPr>
                <w:rFonts w:ascii="Arial" w:eastAsia="Times New Roman" w:hAnsi="Arial" w:cs="Arial"/>
                <w:sz w:val="8"/>
                <w:szCs w:val="8"/>
                <w:lang w:eastAsia="sq-AL"/>
              </w:rPr>
              <w:br/>
              <w:t>Përfitimet Ekonomike dhe Promovimi i Produkteve të Mbrojtura.</w:t>
            </w:r>
            <w:r w:rsidRPr="00B6793F">
              <w:rPr>
                <w:rFonts w:ascii="Arial" w:eastAsia="Times New Roman" w:hAnsi="Arial" w:cs="Arial"/>
                <w:sz w:val="8"/>
                <w:szCs w:val="8"/>
                <w:lang w:eastAsia="sq-AL"/>
              </w:rPr>
              <w:br/>
              <w:t>Shpërndarja e Treguesve Gjeografikë për Produktet e Dallueshme.</w:t>
            </w:r>
            <w:r w:rsidRPr="00B6793F">
              <w:rPr>
                <w:rFonts w:ascii="Arial" w:eastAsia="Times New Roman" w:hAnsi="Arial" w:cs="Arial"/>
                <w:sz w:val="8"/>
                <w:szCs w:val="8"/>
                <w:lang w:eastAsia="sq-AL"/>
              </w:rPr>
              <w:br/>
              <w:t>Mbështetje për Prodhuese dhe Konsumatorë.</w:t>
            </w:r>
          </w:p>
        </w:tc>
        <w:tc>
          <w:tcPr>
            <w:tcW w:w="432" w:type="pct"/>
            <w:tcBorders>
              <w:top w:val="nil"/>
              <w:left w:val="nil"/>
              <w:bottom w:val="single" w:sz="4" w:space="0" w:color="auto"/>
              <w:right w:val="single" w:sz="4" w:space="0" w:color="auto"/>
            </w:tcBorders>
            <w:shd w:val="clear" w:color="000000" w:fill="FFFFFF"/>
            <w:noWrap/>
            <w:vAlign w:val="center"/>
            <w:hideMark/>
          </w:tcPr>
          <w:p w14:paraId="3DB525E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7</w:t>
            </w:r>
          </w:p>
        </w:tc>
        <w:tc>
          <w:tcPr>
            <w:tcW w:w="409" w:type="pct"/>
            <w:tcBorders>
              <w:top w:val="nil"/>
              <w:left w:val="nil"/>
              <w:bottom w:val="single" w:sz="4" w:space="0" w:color="auto"/>
              <w:right w:val="single" w:sz="4" w:space="0" w:color="auto"/>
            </w:tcBorders>
            <w:shd w:val="clear" w:color="000000" w:fill="FFFFFF"/>
            <w:vAlign w:val="center"/>
            <w:hideMark/>
          </w:tcPr>
          <w:p w14:paraId="697CB2B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6FDFEF9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7CF8468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Strategjisë së Pronësisë Intelektuale: Përmbushja e objektivave të përcaktuara në strategji.</w:t>
            </w:r>
          </w:p>
        </w:tc>
        <w:tc>
          <w:tcPr>
            <w:tcW w:w="577" w:type="pct"/>
            <w:tcBorders>
              <w:top w:val="nil"/>
              <w:left w:val="nil"/>
              <w:bottom w:val="single" w:sz="4" w:space="0" w:color="auto"/>
              <w:right w:val="single" w:sz="4" w:space="0" w:color="auto"/>
            </w:tcBorders>
            <w:shd w:val="clear" w:color="000000" w:fill="FFFFFF"/>
            <w:vAlign w:val="center"/>
            <w:hideMark/>
          </w:tcPr>
          <w:p w14:paraId="5BB6A9D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629C7773"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266A215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18</w:t>
            </w:r>
          </w:p>
        </w:tc>
        <w:tc>
          <w:tcPr>
            <w:tcW w:w="612" w:type="pct"/>
            <w:tcBorders>
              <w:top w:val="nil"/>
              <w:left w:val="nil"/>
              <w:bottom w:val="single" w:sz="4" w:space="0" w:color="auto"/>
              <w:right w:val="single" w:sz="4" w:space="0" w:color="auto"/>
            </w:tcBorders>
            <w:shd w:val="clear" w:color="000000" w:fill="FFFFFF"/>
            <w:vAlign w:val="center"/>
            <w:hideMark/>
          </w:tcPr>
          <w:p w14:paraId="508DAD5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"Për disa shtesa dhe ndryshime në ligjin nr.15/2019 "Për nxitjen e punësimit" </w:t>
            </w:r>
          </w:p>
        </w:tc>
        <w:tc>
          <w:tcPr>
            <w:tcW w:w="357" w:type="pct"/>
            <w:tcBorders>
              <w:top w:val="nil"/>
              <w:left w:val="nil"/>
              <w:bottom w:val="single" w:sz="4" w:space="0" w:color="auto"/>
              <w:right w:val="single" w:sz="4" w:space="0" w:color="auto"/>
            </w:tcBorders>
            <w:shd w:val="clear" w:color="000000" w:fill="FFFFFF"/>
            <w:vAlign w:val="center"/>
            <w:hideMark/>
          </w:tcPr>
          <w:p w14:paraId="663FDF4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05" w:type="pct"/>
            <w:tcBorders>
              <w:top w:val="nil"/>
              <w:left w:val="nil"/>
              <w:bottom w:val="single" w:sz="4" w:space="0" w:color="auto"/>
              <w:right w:val="single" w:sz="4" w:space="0" w:color="auto"/>
            </w:tcBorders>
            <w:shd w:val="clear" w:color="000000" w:fill="FFFFFF"/>
            <w:vAlign w:val="center"/>
            <w:hideMark/>
          </w:tcPr>
          <w:p w14:paraId="3B65D6F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4CF4038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4838A81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Pjesë e angazhimeve të vendit për të përmbushur standardet dhe rregullat e BE-së në fushën e politikave të punësimit për kapitujt 2 dhe 19.</w:t>
            </w:r>
            <w:r w:rsidRPr="00B6793F">
              <w:rPr>
                <w:rFonts w:ascii="Arial" w:eastAsia="Times New Roman" w:hAnsi="Arial" w:cs="Arial"/>
                <w:sz w:val="8"/>
                <w:szCs w:val="8"/>
                <w:lang w:eastAsia="sq-AL"/>
              </w:rPr>
              <w:br/>
              <w:t>Qëllimi i projektligjit është përmirësimi i sistemit të shërbimeve të punësimit, programeve aktive te tregut te punes për punëkërkuesit, punëdhënësit dhe grupet e veçanta, në kuadër të zgjerimit të politikës së tregut të punës;</w:t>
            </w:r>
          </w:p>
        </w:tc>
        <w:tc>
          <w:tcPr>
            <w:tcW w:w="427" w:type="pct"/>
            <w:tcBorders>
              <w:top w:val="nil"/>
              <w:left w:val="nil"/>
              <w:bottom w:val="single" w:sz="4" w:space="0" w:color="auto"/>
              <w:right w:val="single" w:sz="4" w:space="0" w:color="auto"/>
            </w:tcBorders>
            <w:shd w:val="clear" w:color="000000" w:fill="FFFFFF"/>
            <w:vAlign w:val="center"/>
            <w:hideMark/>
          </w:tcPr>
          <w:p w14:paraId="4096385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Qëllimi i projektligjit është zgjerimi i shërbimeve të punësimit për punëkërkuesit, punëdhënësit dhe grupet e veçanta, në kuadër të zgjerimit të politikës së tregut të punës; Arritja e standardeve të BE-së, ku përfshihet EURES, Garancia Rinore, Observatori i tregut të punës (plani i veprimit për kapitujt 2 dhe 19); Digjitalizimi i proceseve: pasaporta digjitale, shkëmbimi elektronik i të dhënave; Përmirësimi i mekanizmave të monitorimit, inspektimit dhe transparencës;</w:t>
            </w:r>
          </w:p>
        </w:tc>
        <w:tc>
          <w:tcPr>
            <w:tcW w:w="432" w:type="pct"/>
            <w:tcBorders>
              <w:top w:val="nil"/>
              <w:left w:val="nil"/>
              <w:bottom w:val="single" w:sz="4" w:space="0" w:color="auto"/>
              <w:right w:val="single" w:sz="4" w:space="0" w:color="auto"/>
            </w:tcBorders>
            <w:shd w:val="clear" w:color="000000" w:fill="FFFFFF"/>
            <w:noWrap/>
            <w:vAlign w:val="center"/>
            <w:hideMark/>
          </w:tcPr>
          <w:p w14:paraId="5DFCAA0A"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2 dhe 19</w:t>
            </w:r>
          </w:p>
        </w:tc>
        <w:tc>
          <w:tcPr>
            <w:tcW w:w="409" w:type="pct"/>
            <w:tcBorders>
              <w:top w:val="nil"/>
              <w:left w:val="nil"/>
              <w:bottom w:val="single" w:sz="4" w:space="0" w:color="auto"/>
              <w:right w:val="single" w:sz="4" w:space="0" w:color="auto"/>
            </w:tcBorders>
            <w:shd w:val="clear" w:color="000000" w:fill="FFFFFF"/>
            <w:vAlign w:val="center"/>
            <w:hideMark/>
          </w:tcPr>
          <w:p w14:paraId="41141734"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3ACAEA0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157FE01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Kombetare e Punesimit dhe Aftesive 2023 - 2030</w:t>
            </w:r>
          </w:p>
        </w:tc>
        <w:tc>
          <w:tcPr>
            <w:tcW w:w="577" w:type="pct"/>
            <w:tcBorders>
              <w:top w:val="nil"/>
              <w:left w:val="nil"/>
              <w:bottom w:val="single" w:sz="4" w:space="0" w:color="auto"/>
              <w:right w:val="single" w:sz="4" w:space="0" w:color="auto"/>
            </w:tcBorders>
            <w:shd w:val="clear" w:color="000000" w:fill="FFFFFF"/>
            <w:vAlign w:val="center"/>
            <w:hideMark/>
          </w:tcPr>
          <w:p w14:paraId="65C57167"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sociale  dhe ekonomike</w:t>
            </w:r>
          </w:p>
        </w:tc>
      </w:tr>
      <w:tr w:rsidR="00DE4A77" w:rsidRPr="00B6793F" w14:paraId="5EB5FAD6"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279F5A5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19</w:t>
            </w:r>
          </w:p>
        </w:tc>
        <w:tc>
          <w:tcPr>
            <w:tcW w:w="612" w:type="pct"/>
            <w:tcBorders>
              <w:top w:val="nil"/>
              <w:left w:val="nil"/>
              <w:bottom w:val="single" w:sz="4" w:space="0" w:color="auto"/>
              <w:right w:val="single" w:sz="4" w:space="0" w:color="auto"/>
            </w:tcBorders>
            <w:shd w:val="clear" w:color="000000" w:fill="FFFFFF"/>
            <w:vAlign w:val="center"/>
            <w:hideMark/>
          </w:tcPr>
          <w:p w14:paraId="275A3E4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br/>
              <w:t>Për disa shtesa dhe ndryshime në vendimin nr. 349, datë 29.04.2020 “Për miratimin e rregullit teknik “Për pajisjet elektrike të projektuara për përdorim brenda kufijve të caktuar të tensionit (LVD)””</w:t>
            </w:r>
          </w:p>
        </w:tc>
        <w:tc>
          <w:tcPr>
            <w:tcW w:w="357" w:type="pct"/>
            <w:tcBorders>
              <w:top w:val="nil"/>
              <w:left w:val="nil"/>
              <w:bottom w:val="single" w:sz="4" w:space="0" w:color="auto"/>
              <w:right w:val="single" w:sz="4" w:space="0" w:color="auto"/>
            </w:tcBorders>
            <w:shd w:val="clear" w:color="000000" w:fill="FFFFFF"/>
            <w:vAlign w:val="center"/>
            <w:hideMark/>
          </w:tcPr>
          <w:p w14:paraId="4C1344B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1A3FF90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23420FA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385F991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Detyrimi për të përafruar legjislacionin shqiptar me Kapitullin 1 të legjislacionit evropian që buron nga Neni 70 dhe 75 i Marrëveshjes së Stabilizim Asociimit (MSA), ku përcaktohet se Shqipëria duhet të harmonizojë teknikisht legjislacionin e saj kombëtar me atë të Bashkimit Evropian (BE), por gjithashtu të sigurojë që ai të zbatohet dhe të vihet në praktikë.</w:t>
            </w:r>
          </w:p>
        </w:tc>
        <w:tc>
          <w:tcPr>
            <w:tcW w:w="427" w:type="pct"/>
            <w:tcBorders>
              <w:top w:val="nil"/>
              <w:left w:val="nil"/>
              <w:bottom w:val="single" w:sz="4" w:space="0" w:color="auto"/>
              <w:right w:val="single" w:sz="4" w:space="0" w:color="auto"/>
            </w:tcBorders>
            <w:shd w:val="clear" w:color="000000" w:fill="FFFFFF"/>
            <w:vAlign w:val="center"/>
            <w:hideMark/>
          </w:tcPr>
          <w:p w14:paraId="4681DBC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përcakton kushtet për vendosjen në treg të pajisjeve elektrike të projektuara për përdorim brenda kufijve të caktuar të tensionit, duke garantuar sigurinë për konsumatorët dhe përdoruesit e tjerë, si dhe eliminimin e pengesave tregtare për lëvizjen e lirë të produkteve. Percakton gjithashtu kërkësat për tregtimin e këtyre pajisjeve, detyrimet e operatorëve ekonomikë, si dhe masat që duhen ndërmarrë lidhur me pajisjet që paraqesin rrezik për sigurinë apo shëndetin,  etj.</w:t>
            </w:r>
          </w:p>
        </w:tc>
        <w:tc>
          <w:tcPr>
            <w:tcW w:w="432" w:type="pct"/>
            <w:tcBorders>
              <w:top w:val="nil"/>
              <w:left w:val="nil"/>
              <w:bottom w:val="single" w:sz="4" w:space="0" w:color="auto"/>
              <w:right w:val="single" w:sz="4" w:space="0" w:color="auto"/>
            </w:tcBorders>
            <w:shd w:val="clear" w:color="000000" w:fill="FFFFFF"/>
            <w:noWrap/>
            <w:vAlign w:val="center"/>
            <w:hideMark/>
          </w:tcPr>
          <w:p w14:paraId="7ED85C5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w:t>
            </w:r>
          </w:p>
        </w:tc>
        <w:tc>
          <w:tcPr>
            <w:tcW w:w="409" w:type="pct"/>
            <w:tcBorders>
              <w:top w:val="nil"/>
              <w:left w:val="nil"/>
              <w:bottom w:val="single" w:sz="4" w:space="0" w:color="auto"/>
              <w:right w:val="single" w:sz="4" w:space="0" w:color="auto"/>
            </w:tcBorders>
            <w:shd w:val="clear" w:color="000000" w:fill="FFFFFF"/>
            <w:vAlign w:val="center"/>
            <w:hideMark/>
          </w:tcPr>
          <w:p w14:paraId="4D5C798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6FAE57B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0E67685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Strategjia Ndërsektoriale për Mbrojtjen e Konsumatorëve dhe Mbikëqyrjen e Tregut 2024–2030 (miratuar me VKM nr. 326, datë 29.05.2024). </w:t>
            </w:r>
          </w:p>
        </w:tc>
        <w:tc>
          <w:tcPr>
            <w:tcW w:w="577" w:type="pct"/>
            <w:tcBorders>
              <w:top w:val="nil"/>
              <w:left w:val="nil"/>
              <w:bottom w:val="single" w:sz="4" w:space="0" w:color="auto"/>
              <w:right w:val="single" w:sz="4" w:space="0" w:color="auto"/>
            </w:tcBorders>
            <w:shd w:val="clear" w:color="auto" w:fill="auto"/>
            <w:noWrap/>
            <w:vAlign w:val="center"/>
            <w:hideMark/>
          </w:tcPr>
          <w:p w14:paraId="3019895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7E370BE4"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0664BAB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20</w:t>
            </w:r>
          </w:p>
        </w:tc>
        <w:tc>
          <w:tcPr>
            <w:tcW w:w="612" w:type="pct"/>
            <w:tcBorders>
              <w:top w:val="nil"/>
              <w:left w:val="nil"/>
              <w:bottom w:val="single" w:sz="4" w:space="0" w:color="auto"/>
              <w:right w:val="single" w:sz="4" w:space="0" w:color="auto"/>
            </w:tcBorders>
            <w:shd w:val="clear" w:color="000000" w:fill="FFFFFF"/>
            <w:vAlign w:val="center"/>
            <w:hideMark/>
          </w:tcPr>
          <w:p w14:paraId="615C93B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nr. 192, datë 4.4.2018 “Për miratimin e rregullit teknik “Për ashensorët dhe komponentët e sigurisë për ashensorë dhe përcaktimin e listës së standardeve të harmonizuara”</w:t>
            </w:r>
          </w:p>
        </w:tc>
        <w:tc>
          <w:tcPr>
            <w:tcW w:w="357" w:type="pct"/>
            <w:tcBorders>
              <w:top w:val="nil"/>
              <w:left w:val="nil"/>
              <w:bottom w:val="single" w:sz="4" w:space="0" w:color="auto"/>
              <w:right w:val="single" w:sz="4" w:space="0" w:color="auto"/>
            </w:tcBorders>
            <w:shd w:val="clear" w:color="000000" w:fill="FFFFFF"/>
            <w:vAlign w:val="center"/>
            <w:hideMark/>
          </w:tcPr>
          <w:p w14:paraId="379BB00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6ABC6FC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5A1A105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34F0F58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Detyrimi për të përafruar legjislacionin shqiptar me Kapitullin 1 të legjislacionit evropian që buron nga Neni 70 dhe 75 i Marrëveshjes së Stabilizim Asociimit (MSA), ku përcaktohet se Shqipëria duhet të harmonizojë teknikisht legjislacionin e saj kombëtar me atë të Bashkimit Evropian (BE), por gjithashtu të sigurojë që ai të zbatohet dhe të vihet në praktikë.</w:t>
            </w:r>
          </w:p>
        </w:tc>
        <w:tc>
          <w:tcPr>
            <w:tcW w:w="427" w:type="pct"/>
            <w:tcBorders>
              <w:top w:val="nil"/>
              <w:left w:val="nil"/>
              <w:bottom w:val="single" w:sz="4" w:space="0" w:color="auto"/>
              <w:right w:val="single" w:sz="4" w:space="0" w:color="auto"/>
            </w:tcBorders>
            <w:shd w:val="clear" w:color="000000" w:fill="FFFFFF"/>
            <w:vAlign w:val="center"/>
            <w:hideMark/>
          </w:tcPr>
          <w:p w14:paraId="1B0715E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përcakton kushtet për vendosjen në treg të ashensorëve, duke garantuar sigurinë për konsumatorët dhe përdoruesit e tjerë, si dhe eliminimin e pengesave tregtare për lëvizjen e lirë të produkteve. Përcakton gjithashtu kërkësat për tregtimin e këtyre pajisjeve, detyrimet e operatorëve ekonomikë, si dhe masat që duhen ndërmarrë lidhur me pajisjet që paraqesin rrezik për sigurinë apo shëndetin,  etj.</w:t>
            </w:r>
          </w:p>
        </w:tc>
        <w:tc>
          <w:tcPr>
            <w:tcW w:w="432" w:type="pct"/>
            <w:tcBorders>
              <w:top w:val="nil"/>
              <w:left w:val="nil"/>
              <w:bottom w:val="single" w:sz="4" w:space="0" w:color="auto"/>
              <w:right w:val="single" w:sz="4" w:space="0" w:color="auto"/>
            </w:tcBorders>
            <w:shd w:val="clear" w:color="000000" w:fill="FFFFFF"/>
            <w:noWrap/>
            <w:vAlign w:val="center"/>
            <w:hideMark/>
          </w:tcPr>
          <w:p w14:paraId="79E10A8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w:t>
            </w:r>
          </w:p>
        </w:tc>
        <w:tc>
          <w:tcPr>
            <w:tcW w:w="409" w:type="pct"/>
            <w:tcBorders>
              <w:top w:val="nil"/>
              <w:left w:val="nil"/>
              <w:bottom w:val="single" w:sz="4" w:space="0" w:color="auto"/>
              <w:right w:val="single" w:sz="4" w:space="0" w:color="auto"/>
            </w:tcBorders>
            <w:shd w:val="clear" w:color="000000" w:fill="FFFFFF"/>
            <w:vAlign w:val="center"/>
            <w:hideMark/>
          </w:tcPr>
          <w:p w14:paraId="495E9AD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4D66047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5DC52596"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Strategjia Ndërsektoriale për Mbrojtjen e Konsumatorëve dhe Mbikëqyrjen e Tregut 2024–2030 (miratuar me VKM nr. 326, datë 29.05.2024). </w:t>
            </w:r>
          </w:p>
        </w:tc>
        <w:tc>
          <w:tcPr>
            <w:tcW w:w="577" w:type="pct"/>
            <w:tcBorders>
              <w:top w:val="nil"/>
              <w:left w:val="nil"/>
              <w:bottom w:val="single" w:sz="4" w:space="0" w:color="auto"/>
              <w:right w:val="single" w:sz="4" w:space="0" w:color="auto"/>
            </w:tcBorders>
            <w:shd w:val="clear" w:color="auto" w:fill="auto"/>
            <w:noWrap/>
            <w:vAlign w:val="center"/>
            <w:hideMark/>
          </w:tcPr>
          <w:p w14:paraId="6F3FD0B8"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6386032D"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noWrap/>
            <w:vAlign w:val="center"/>
            <w:hideMark/>
          </w:tcPr>
          <w:p w14:paraId="20D01D2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21</w:t>
            </w:r>
          </w:p>
        </w:tc>
        <w:tc>
          <w:tcPr>
            <w:tcW w:w="612" w:type="pct"/>
            <w:tcBorders>
              <w:top w:val="nil"/>
              <w:left w:val="nil"/>
              <w:bottom w:val="single" w:sz="4" w:space="0" w:color="auto"/>
              <w:right w:val="single" w:sz="4" w:space="0" w:color="auto"/>
            </w:tcBorders>
            <w:shd w:val="clear" w:color="000000" w:fill="FFFFFF"/>
            <w:vAlign w:val="center"/>
            <w:hideMark/>
          </w:tcPr>
          <w:p w14:paraId="6AFADCE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miratimin e rregullit teknik për pajisjet e aerosolit” </w:t>
            </w:r>
          </w:p>
        </w:tc>
        <w:tc>
          <w:tcPr>
            <w:tcW w:w="357" w:type="pct"/>
            <w:tcBorders>
              <w:top w:val="nil"/>
              <w:left w:val="nil"/>
              <w:bottom w:val="single" w:sz="4" w:space="0" w:color="auto"/>
              <w:right w:val="single" w:sz="4" w:space="0" w:color="auto"/>
            </w:tcBorders>
            <w:shd w:val="clear" w:color="000000" w:fill="FFFFFF"/>
            <w:vAlign w:val="center"/>
            <w:hideMark/>
          </w:tcPr>
          <w:p w14:paraId="34F92FD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56ACD4E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3F7133B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74D975A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Detyrimi për të përafruar legjislacionin shqiptar me Kapitullin 1 të legjislacionit evropian që buron nga Neni 70 dhe 75 i Marrëveshjes së Stabilizim Asociimit (MSA), ku përcaktohet se Shqipëria duhet të harmonizojë teknikisht legjislacionin e saj kombëtar me atë të Bashkimit Evropian (BE), por gjithashtu të sigurojë që ai të zbatohet dhe të vihet në praktikë.</w:t>
            </w:r>
          </w:p>
        </w:tc>
        <w:tc>
          <w:tcPr>
            <w:tcW w:w="427" w:type="pct"/>
            <w:tcBorders>
              <w:top w:val="nil"/>
              <w:left w:val="nil"/>
              <w:bottom w:val="single" w:sz="4" w:space="0" w:color="auto"/>
              <w:right w:val="single" w:sz="4" w:space="0" w:color="auto"/>
            </w:tcBorders>
            <w:shd w:val="clear" w:color="000000" w:fill="FFFFFF"/>
            <w:vAlign w:val="center"/>
            <w:hideMark/>
          </w:tcPr>
          <w:p w14:paraId="55836BC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përcakton kushtet për vendosjen në treg të pajisjeve të aerosolit, duke garantuar sigurinë për konsumatorët dhe përdoruesit e tjerë, si dhe eliminimin e pengesave tregtare për lëvizjen e lirë të produkteve. Përcakton gjithashtu kërkësat për tregtimin e këtyre pajisjeve, detyrimet e operatorëve ekonomikë, si dhe masat që duhen ndërmarrë lidhur me pajisjet që paraqesin rrezik për sigurinë apo shëndetin,  etj.</w:t>
            </w:r>
          </w:p>
        </w:tc>
        <w:tc>
          <w:tcPr>
            <w:tcW w:w="432" w:type="pct"/>
            <w:tcBorders>
              <w:top w:val="nil"/>
              <w:left w:val="nil"/>
              <w:bottom w:val="single" w:sz="4" w:space="0" w:color="auto"/>
              <w:right w:val="single" w:sz="4" w:space="0" w:color="auto"/>
            </w:tcBorders>
            <w:shd w:val="clear" w:color="000000" w:fill="FFFFFF"/>
            <w:noWrap/>
            <w:vAlign w:val="center"/>
            <w:hideMark/>
          </w:tcPr>
          <w:p w14:paraId="2DCA582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w:t>
            </w:r>
          </w:p>
        </w:tc>
        <w:tc>
          <w:tcPr>
            <w:tcW w:w="409" w:type="pct"/>
            <w:tcBorders>
              <w:top w:val="nil"/>
              <w:left w:val="nil"/>
              <w:bottom w:val="single" w:sz="4" w:space="0" w:color="auto"/>
              <w:right w:val="single" w:sz="4" w:space="0" w:color="auto"/>
            </w:tcBorders>
            <w:shd w:val="clear" w:color="000000" w:fill="FFFFFF"/>
            <w:vAlign w:val="center"/>
            <w:hideMark/>
          </w:tcPr>
          <w:p w14:paraId="46A5C0F7"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Shtylla "Shqipëria Europiane"; 1.1. Anëtarësimi në Bashkimin Europian</w:t>
            </w:r>
          </w:p>
        </w:tc>
        <w:tc>
          <w:tcPr>
            <w:tcW w:w="305" w:type="pct"/>
            <w:tcBorders>
              <w:top w:val="nil"/>
              <w:left w:val="nil"/>
              <w:bottom w:val="single" w:sz="4" w:space="0" w:color="auto"/>
              <w:right w:val="single" w:sz="4" w:space="0" w:color="auto"/>
            </w:tcBorders>
            <w:shd w:val="clear" w:color="000000" w:fill="FFFFFF"/>
            <w:vAlign w:val="center"/>
            <w:hideMark/>
          </w:tcPr>
          <w:p w14:paraId="5FE89EE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7A25796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Strategjia Ndërsektoriale për Mbrojtjen e Konsumatorëve dhe Mbikëqyrjen e Tregut 2024–2030 (miratuar me VKM nr. 326, datë 29.05.2024). </w:t>
            </w:r>
          </w:p>
        </w:tc>
        <w:tc>
          <w:tcPr>
            <w:tcW w:w="577" w:type="pct"/>
            <w:tcBorders>
              <w:top w:val="nil"/>
              <w:left w:val="nil"/>
              <w:bottom w:val="single" w:sz="4" w:space="0" w:color="auto"/>
              <w:right w:val="single" w:sz="4" w:space="0" w:color="auto"/>
            </w:tcBorders>
            <w:shd w:val="clear" w:color="auto" w:fill="auto"/>
            <w:noWrap/>
            <w:vAlign w:val="center"/>
            <w:hideMark/>
          </w:tcPr>
          <w:p w14:paraId="0AAE808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DE4A77" w:rsidRPr="00B6793F" w14:paraId="2321C3DD"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2734B56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22</w:t>
            </w:r>
          </w:p>
        </w:tc>
        <w:tc>
          <w:tcPr>
            <w:tcW w:w="612" w:type="pct"/>
            <w:tcBorders>
              <w:top w:val="nil"/>
              <w:left w:val="nil"/>
              <w:bottom w:val="single" w:sz="4" w:space="0" w:color="auto"/>
              <w:right w:val="single" w:sz="4" w:space="0" w:color="auto"/>
            </w:tcBorders>
            <w:shd w:val="clear" w:color="000000" w:fill="FFFFFF"/>
            <w:vAlign w:val="center"/>
            <w:hideMark/>
          </w:tcPr>
          <w:p w14:paraId="2C202B60" w14:textId="77777777" w:rsidR="00601C10" w:rsidRPr="00B6793F" w:rsidRDefault="00601C10" w:rsidP="00601C10">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shpërblimin e pensionistëve për festat e fundvitit"</w:t>
            </w:r>
          </w:p>
        </w:tc>
        <w:tc>
          <w:tcPr>
            <w:tcW w:w="357" w:type="pct"/>
            <w:tcBorders>
              <w:top w:val="nil"/>
              <w:left w:val="nil"/>
              <w:bottom w:val="single" w:sz="4" w:space="0" w:color="auto"/>
              <w:right w:val="single" w:sz="4" w:space="0" w:color="auto"/>
            </w:tcBorders>
            <w:shd w:val="clear" w:color="000000" w:fill="FFFFFF"/>
            <w:vAlign w:val="center"/>
            <w:hideMark/>
          </w:tcPr>
          <w:p w14:paraId="692CDE7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7960285D"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78F9788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159115D4" w14:textId="77777777" w:rsidR="00601C10" w:rsidRPr="00B6793F" w:rsidRDefault="00601C10" w:rsidP="00601C10">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Neni 5, i ligjit nr. 9936, datë 26.6.2008, “Për menaxhimin e sistemit buxhetor në Republikën e Shqipërisë”, të ndryshuar,</w:t>
            </w:r>
          </w:p>
        </w:tc>
        <w:tc>
          <w:tcPr>
            <w:tcW w:w="427" w:type="pct"/>
            <w:tcBorders>
              <w:top w:val="nil"/>
              <w:left w:val="nil"/>
              <w:bottom w:val="single" w:sz="4" w:space="0" w:color="auto"/>
              <w:right w:val="single" w:sz="4" w:space="0" w:color="auto"/>
            </w:tcBorders>
            <w:shd w:val="clear" w:color="000000" w:fill="FFFFFF"/>
            <w:vAlign w:val="center"/>
            <w:hideMark/>
          </w:tcPr>
          <w:p w14:paraId="79FF3091" w14:textId="77777777" w:rsidR="00601C10" w:rsidRPr="00B6793F" w:rsidRDefault="00601C10" w:rsidP="00601C10">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Percaktimi i masës së shpërblimit për kategorinë e pensionistëve në kuadër të festave të fundvitit</w:t>
            </w:r>
          </w:p>
        </w:tc>
        <w:tc>
          <w:tcPr>
            <w:tcW w:w="432" w:type="pct"/>
            <w:tcBorders>
              <w:top w:val="nil"/>
              <w:left w:val="nil"/>
              <w:bottom w:val="single" w:sz="4" w:space="0" w:color="auto"/>
              <w:right w:val="single" w:sz="4" w:space="0" w:color="auto"/>
            </w:tcBorders>
            <w:shd w:val="clear" w:color="000000" w:fill="FFFFFF"/>
            <w:vAlign w:val="center"/>
            <w:hideMark/>
          </w:tcPr>
          <w:p w14:paraId="4DF7209D"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9" w:type="pct"/>
            <w:tcBorders>
              <w:top w:val="nil"/>
              <w:left w:val="nil"/>
              <w:bottom w:val="single" w:sz="4" w:space="0" w:color="auto"/>
              <w:right w:val="single" w:sz="4" w:space="0" w:color="auto"/>
            </w:tcBorders>
            <w:shd w:val="clear" w:color="000000" w:fill="FFFFFF"/>
            <w:vAlign w:val="center"/>
            <w:hideMark/>
          </w:tcPr>
          <w:p w14:paraId="1CAAFD48"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Shtylla "Familja"; Fusha "Kujdesi për të moshuarit dhe qytetarët më në nevojë"</w:t>
            </w:r>
          </w:p>
        </w:tc>
        <w:tc>
          <w:tcPr>
            <w:tcW w:w="305" w:type="pct"/>
            <w:tcBorders>
              <w:top w:val="nil"/>
              <w:left w:val="nil"/>
              <w:bottom w:val="single" w:sz="4" w:space="0" w:color="auto"/>
              <w:right w:val="single" w:sz="4" w:space="0" w:color="auto"/>
            </w:tcBorders>
            <w:shd w:val="clear" w:color="000000" w:fill="FFFFFF"/>
            <w:vAlign w:val="center"/>
            <w:hideMark/>
          </w:tcPr>
          <w:p w14:paraId="66C36941"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71A9C1F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77" w:type="pct"/>
            <w:tcBorders>
              <w:top w:val="nil"/>
              <w:left w:val="nil"/>
              <w:bottom w:val="single" w:sz="4" w:space="0" w:color="auto"/>
              <w:right w:val="single" w:sz="4" w:space="0" w:color="auto"/>
            </w:tcBorders>
            <w:shd w:val="clear" w:color="auto" w:fill="auto"/>
            <w:vAlign w:val="center"/>
            <w:hideMark/>
          </w:tcPr>
          <w:p w14:paraId="1884363F" w14:textId="77777777" w:rsidR="00601C10" w:rsidRPr="00B6793F" w:rsidRDefault="00601C10" w:rsidP="00601C10">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financiare  dhe ekonomike </w:t>
            </w:r>
          </w:p>
        </w:tc>
      </w:tr>
      <w:tr w:rsidR="00DE4A77" w:rsidRPr="00B6793F" w14:paraId="7F7B7949" w14:textId="77777777" w:rsidTr="00DE4A77">
        <w:trPr>
          <w:trHeight w:val="18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6163B8DE"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23</w:t>
            </w:r>
          </w:p>
        </w:tc>
        <w:tc>
          <w:tcPr>
            <w:tcW w:w="612" w:type="pct"/>
            <w:tcBorders>
              <w:top w:val="nil"/>
              <w:left w:val="nil"/>
              <w:bottom w:val="single" w:sz="4" w:space="0" w:color="auto"/>
              <w:right w:val="single" w:sz="4" w:space="0" w:color="auto"/>
            </w:tcBorders>
            <w:shd w:val="clear" w:color="000000" w:fill="FFFFFF"/>
            <w:vAlign w:val="center"/>
            <w:hideMark/>
          </w:tcPr>
          <w:p w14:paraId="49B816B5"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shtesa dhe ndryshime në vendimin </w:t>
            </w:r>
            <w:r w:rsidRPr="00B6793F">
              <w:rPr>
                <w:rFonts w:ascii="Arial" w:eastAsia="Times New Roman" w:hAnsi="Arial" w:cs="Arial"/>
                <w:sz w:val="8"/>
                <w:szCs w:val="8"/>
                <w:lang w:eastAsia="sq-AL"/>
              </w:rPr>
              <w:br/>
              <w:t xml:space="preserve">nr. 563, datë 03.07.2013, të Këshillit të Ministrave "Për miratimin e rregullores “Për kërkesat minimale të sigurisë dhe shëndetit për përdorimin e pajisjeve mbrojtëse individuale në vendin e punës” </w:t>
            </w:r>
          </w:p>
        </w:tc>
        <w:tc>
          <w:tcPr>
            <w:tcW w:w="357" w:type="pct"/>
            <w:tcBorders>
              <w:top w:val="nil"/>
              <w:left w:val="nil"/>
              <w:bottom w:val="single" w:sz="4" w:space="0" w:color="auto"/>
              <w:right w:val="single" w:sz="4" w:space="0" w:color="auto"/>
            </w:tcBorders>
            <w:shd w:val="clear" w:color="000000" w:fill="FFFFFF"/>
            <w:vAlign w:val="center"/>
            <w:hideMark/>
          </w:tcPr>
          <w:p w14:paraId="364BF37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05" w:type="pct"/>
            <w:tcBorders>
              <w:top w:val="nil"/>
              <w:left w:val="nil"/>
              <w:bottom w:val="single" w:sz="4" w:space="0" w:color="auto"/>
              <w:right w:val="single" w:sz="4" w:space="0" w:color="auto"/>
            </w:tcBorders>
            <w:shd w:val="clear" w:color="000000" w:fill="FFFFFF"/>
            <w:vAlign w:val="center"/>
            <w:hideMark/>
          </w:tcPr>
          <w:p w14:paraId="1AC83B02"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Ekonomisë dhe Inovacionit</w:t>
            </w:r>
          </w:p>
        </w:tc>
        <w:tc>
          <w:tcPr>
            <w:tcW w:w="327" w:type="pct"/>
            <w:tcBorders>
              <w:top w:val="nil"/>
              <w:left w:val="nil"/>
              <w:bottom w:val="single" w:sz="4" w:space="0" w:color="auto"/>
              <w:right w:val="single" w:sz="4" w:space="0" w:color="auto"/>
            </w:tcBorders>
            <w:shd w:val="clear" w:color="000000" w:fill="FFFFFF"/>
            <w:noWrap/>
            <w:vAlign w:val="center"/>
            <w:hideMark/>
          </w:tcPr>
          <w:p w14:paraId="0E8C6B3C"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625" w:type="pct"/>
            <w:tcBorders>
              <w:top w:val="nil"/>
              <w:left w:val="nil"/>
              <w:bottom w:val="single" w:sz="4" w:space="0" w:color="auto"/>
              <w:right w:val="single" w:sz="4" w:space="0" w:color="auto"/>
            </w:tcBorders>
            <w:shd w:val="clear" w:color="000000" w:fill="FFFFFF"/>
            <w:vAlign w:val="center"/>
            <w:hideMark/>
          </w:tcPr>
          <w:p w14:paraId="3BFA966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Përafrmi në kuadër të Integrimit Evropian. Akti përafron  direktivën e Këshillit 89/656/KEE e 30 nëntorit 1989, mbi kërkesat minimale të shëndetit dhe sigurisë për përdorimin nga punëtorët të pajisjeve mbrojtëse personale në vendin e punës (direktiva e tretë individuale sipas kuptimit të nenit 16 (1) të Direktivës 89/391/KEE), e ndryshuar nga Direktiva e Komisionit 2019/1832 e 24 tetorit 2019 (që ndryshon Shtojcat I, II dhe III të Direktivës së Këshillit 89/656/KEE në lidhje me rregullimet thjesht teknike).</w:t>
            </w:r>
          </w:p>
        </w:tc>
        <w:tc>
          <w:tcPr>
            <w:tcW w:w="427" w:type="pct"/>
            <w:tcBorders>
              <w:top w:val="nil"/>
              <w:left w:val="nil"/>
              <w:bottom w:val="single" w:sz="4" w:space="0" w:color="auto"/>
              <w:right w:val="single" w:sz="4" w:space="0" w:color="auto"/>
            </w:tcBorders>
            <w:shd w:val="clear" w:color="000000" w:fill="FFFFFF"/>
            <w:vAlign w:val="center"/>
            <w:hideMark/>
          </w:tcPr>
          <w:p w14:paraId="1769548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Mbi kërkesat minimale të sigurisë dhe shëndetit për përdorimin e </w:t>
            </w:r>
            <w:r w:rsidRPr="00B6793F">
              <w:rPr>
                <w:rFonts w:ascii="Arial" w:eastAsia="Times New Roman" w:hAnsi="Arial" w:cs="Arial"/>
                <w:sz w:val="8"/>
                <w:szCs w:val="8"/>
                <w:lang w:eastAsia="sq-AL"/>
              </w:rPr>
              <w:br/>
              <w:t>pajisjeve mbrojtëse individuale në vendin e punës</w:t>
            </w:r>
          </w:p>
        </w:tc>
        <w:tc>
          <w:tcPr>
            <w:tcW w:w="432" w:type="pct"/>
            <w:tcBorders>
              <w:top w:val="nil"/>
              <w:left w:val="nil"/>
              <w:bottom w:val="single" w:sz="4" w:space="0" w:color="auto"/>
              <w:right w:val="single" w:sz="4" w:space="0" w:color="auto"/>
            </w:tcBorders>
            <w:shd w:val="clear" w:color="000000" w:fill="FFFFFF"/>
            <w:vAlign w:val="center"/>
            <w:hideMark/>
          </w:tcPr>
          <w:p w14:paraId="3EDB6CDF"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Kapitulli 19</w:t>
            </w:r>
          </w:p>
        </w:tc>
        <w:tc>
          <w:tcPr>
            <w:tcW w:w="409" w:type="pct"/>
            <w:tcBorders>
              <w:top w:val="nil"/>
              <w:left w:val="nil"/>
              <w:bottom w:val="single" w:sz="4" w:space="0" w:color="auto"/>
              <w:right w:val="single" w:sz="4" w:space="0" w:color="auto"/>
            </w:tcBorders>
            <w:shd w:val="clear" w:color="000000" w:fill="FFFFFF"/>
            <w:vAlign w:val="center"/>
            <w:hideMark/>
          </w:tcPr>
          <w:p w14:paraId="02EC6D99"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Programi Shqipëria 2030 - Harmonizimi i plotë i legjislacionit me acquis communautaire</w:t>
            </w:r>
          </w:p>
        </w:tc>
        <w:tc>
          <w:tcPr>
            <w:tcW w:w="305" w:type="pct"/>
            <w:tcBorders>
              <w:top w:val="nil"/>
              <w:left w:val="nil"/>
              <w:bottom w:val="single" w:sz="4" w:space="0" w:color="auto"/>
              <w:right w:val="single" w:sz="4" w:space="0" w:color="auto"/>
            </w:tcBorders>
            <w:shd w:val="clear" w:color="000000" w:fill="FFFFFF"/>
            <w:vAlign w:val="center"/>
            <w:hideMark/>
          </w:tcPr>
          <w:p w14:paraId="43353E1B"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65" w:type="pct"/>
            <w:tcBorders>
              <w:top w:val="nil"/>
              <w:left w:val="nil"/>
              <w:bottom w:val="single" w:sz="4" w:space="0" w:color="auto"/>
              <w:right w:val="single" w:sz="4" w:space="0" w:color="auto"/>
            </w:tcBorders>
            <w:shd w:val="clear" w:color="000000" w:fill="FFFFFF"/>
            <w:vAlign w:val="center"/>
            <w:hideMark/>
          </w:tcPr>
          <w:p w14:paraId="6C9C5C23"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 Nr 144, datë 06.03.2025 "Për miratimin e Dokumentit të Politikave për Sigurinë dhe Shëndetin në Punë dhe Planit të Veprimit 2025 -2030"</w:t>
            </w:r>
          </w:p>
        </w:tc>
        <w:tc>
          <w:tcPr>
            <w:tcW w:w="577" w:type="pct"/>
            <w:tcBorders>
              <w:top w:val="nil"/>
              <w:left w:val="nil"/>
              <w:bottom w:val="single" w:sz="4" w:space="0" w:color="auto"/>
              <w:right w:val="single" w:sz="4" w:space="0" w:color="auto"/>
            </w:tcBorders>
            <w:shd w:val="clear" w:color="000000" w:fill="FFFFFF"/>
            <w:noWrap/>
            <w:vAlign w:val="center"/>
            <w:hideMark/>
          </w:tcPr>
          <w:p w14:paraId="4587A2C0" w14:textId="77777777" w:rsidR="00601C10" w:rsidRPr="00B6793F" w:rsidRDefault="00601C10" w:rsidP="00601C10">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sociale</w:t>
            </w:r>
          </w:p>
        </w:tc>
      </w:tr>
    </w:tbl>
    <w:p w14:paraId="740805E2" w14:textId="2B4CFCEF" w:rsidR="008679C7" w:rsidRPr="00B6793F" w:rsidRDefault="008679C7" w:rsidP="00AC5BDD">
      <w:pPr>
        <w:spacing w:after="0" w:line="240" w:lineRule="auto"/>
        <w:ind w:firstLine="284"/>
        <w:jc w:val="center"/>
        <w:rPr>
          <w:rFonts w:ascii="Garamond" w:hAnsi="Garamond"/>
          <w:b/>
          <w:sz w:val="24"/>
        </w:rPr>
      </w:pPr>
    </w:p>
    <w:p w14:paraId="43902D26" w14:textId="0D20D9DC" w:rsidR="00DE4A77" w:rsidRPr="00B6793F" w:rsidRDefault="00DE4A77" w:rsidP="00AC5BDD">
      <w:pPr>
        <w:spacing w:after="0" w:line="240" w:lineRule="auto"/>
        <w:ind w:firstLine="284"/>
        <w:jc w:val="center"/>
        <w:rPr>
          <w:rFonts w:ascii="Garamond" w:hAnsi="Garamond"/>
          <w:b/>
          <w:sz w:val="24"/>
        </w:rPr>
      </w:pPr>
    </w:p>
    <w:p w14:paraId="4052723D" w14:textId="37DC561E" w:rsidR="00DE4A77" w:rsidRPr="00B6793F" w:rsidRDefault="00DE4A77" w:rsidP="00AC5BDD">
      <w:pPr>
        <w:spacing w:after="0" w:line="240" w:lineRule="auto"/>
        <w:ind w:firstLine="284"/>
        <w:jc w:val="center"/>
        <w:rPr>
          <w:rFonts w:ascii="Garamond" w:hAnsi="Garamond"/>
          <w:b/>
          <w:sz w:val="24"/>
        </w:rPr>
      </w:pPr>
    </w:p>
    <w:tbl>
      <w:tblPr>
        <w:tblW w:w="5261" w:type="pct"/>
        <w:jc w:val="center"/>
        <w:tblLook w:val="04A0" w:firstRow="1" w:lastRow="0" w:firstColumn="1" w:lastColumn="0" w:noHBand="0" w:noVBand="1"/>
      </w:tblPr>
      <w:tblGrid>
        <w:gridCol w:w="477"/>
        <w:gridCol w:w="1289"/>
        <w:gridCol w:w="1045"/>
        <w:gridCol w:w="898"/>
        <w:gridCol w:w="960"/>
        <w:gridCol w:w="1324"/>
        <w:gridCol w:w="1371"/>
        <w:gridCol w:w="986"/>
        <w:gridCol w:w="1195"/>
        <w:gridCol w:w="895"/>
        <w:gridCol w:w="1380"/>
        <w:gridCol w:w="2835"/>
        <w:gridCol w:w="21"/>
      </w:tblGrid>
      <w:tr w:rsidR="00260EFF" w:rsidRPr="00B6793F" w14:paraId="6C10792C" w14:textId="77777777" w:rsidTr="00260EFF">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1B356FD8" w14:textId="5E11F1BA" w:rsidR="00260EFF" w:rsidRPr="00B6793F" w:rsidRDefault="00260EFF" w:rsidP="00260EFF">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PROGRAMI I PËRGJITHSHËM ANALITIK I PROJEKTAKTEVE PËR VITIN 2026</w:t>
            </w:r>
          </w:p>
        </w:tc>
      </w:tr>
      <w:tr w:rsidR="00260EFF" w:rsidRPr="00B6793F" w14:paraId="474EDB13" w14:textId="77777777" w:rsidTr="00260EFF">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220C275D" w14:textId="13700334" w:rsidR="00260EFF" w:rsidRPr="00B6793F" w:rsidRDefault="00260EFF" w:rsidP="00260EFF">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DREJTËSISË</w:t>
            </w:r>
          </w:p>
        </w:tc>
      </w:tr>
      <w:tr w:rsidR="00260EFF" w:rsidRPr="00B6793F" w14:paraId="05D762FE" w14:textId="77777777" w:rsidTr="00260EFF">
        <w:trPr>
          <w:gridAfter w:val="1"/>
          <w:wAfter w:w="6" w:type="pct"/>
          <w:trHeight w:val="180"/>
          <w:jc w:val="center"/>
        </w:trPr>
        <w:tc>
          <w:tcPr>
            <w:tcW w:w="163" w:type="pct"/>
            <w:tcBorders>
              <w:top w:val="single" w:sz="4" w:space="0" w:color="auto"/>
              <w:left w:val="single" w:sz="4" w:space="0" w:color="auto"/>
              <w:bottom w:val="nil"/>
              <w:right w:val="single" w:sz="4" w:space="0" w:color="auto"/>
            </w:tcBorders>
            <w:shd w:val="clear" w:color="000000" w:fill="C00000"/>
            <w:vAlign w:val="center"/>
            <w:hideMark/>
          </w:tcPr>
          <w:p w14:paraId="37373BE6"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439" w:type="pct"/>
            <w:tcBorders>
              <w:top w:val="single" w:sz="4" w:space="0" w:color="auto"/>
              <w:left w:val="nil"/>
              <w:bottom w:val="nil"/>
              <w:right w:val="single" w:sz="4" w:space="0" w:color="auto"/>
            </w:tcBorders>
            <w:shd w:val="clear" w:color="000000" w:fill="C00000"/>
            <w:vAlign w:val="center"/>
            <w:hideMark/>
          </w:tcPr>
          <w:p w14:paraId="5D01B1C8"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56" w:type="pct"/>
            <w:tcBorders>
              <w:top w:val="single" w:sz="4" w:space="0" w:color="auto"/>
              <w:left w:val="nil"/>
              <w:bottom w:val="single" w:sz="4" w:space="0" w:color="auto"/>
              <w:right w:val="single" w:sz="4" w:space="0" w:color="auto"/>
            </w:tcBorders>
            <w:shd w:val="clear" w:color="C00000" w:fill="C00000"/>
            <w:vAlign w:val="center"/>
            <w:hideMark/>
          </w:tcPr>
          <w:p w14:paraId="250E2D95"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06" w:type="pct"/>
            <w:tcBorders>
              <w:top w:val="single" w:sz="4" w:space="0" w:color="auto"/>
              <w:left w:val="nil"/>
              <w:bottom w:val="nil"/>
              <w:right w:val="single" w:sz="4" w:space="0" w:color="auto"/>
            </w:tcBorders>
            <w:shd w:val="clear" w:color="000000" w:fill="C00000"/>
            <w:vAlign w:val="center"/>
            <w:hideMark/>
          </w:tcPr>
          <w:p w14:paraId="2BF7847F"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327" w:type="pct"/>
            <w:tcBorders>
              <w:top w:val="single" w:sz="4" w:space="0" w:color="auto"/>
              <w:left w:val="nil"/>
              <w:bottom w:val="nil"/>
              <w:right w:val="single" w:sz="4" w:space="0" w:color="auto"/>
            </w:tcBorders>
            <w:shd w:val="clear" w:color="000000" w:fill="C00000"/>
            <w:vAlign w:val="center"/>
            <w:hideMark/>
          </w:tcPr>
          <w:p w14:paraId="51A2CE08"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451" w:type="pct"/>
            <w:tcBorders>
              <w:top w:val="single" w:sz="4" w:space="0" w:color="auto"/>
              <w:left w:val="nil"/>
              <w:bottom w:val="nil"/>
              <w:right w:val="single" w:sz="4" w:space="0" w:color="auto"/>
            </w:tcBorders>
            <w:shd w:val="clear" w:color="000000" w:fill="C00000"/>
            <w:vAlign w:val="center"/>
            <w:hideMark/>
          </w:tcPr>
          <w:p w14:paraId="6DC6F733"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467" w:type="pct"/>
            <w:tcBorders>
              <w:top w:val="single" w:sz="4" w:space="0" w:color="auto"/>
              <w:left w:val="nil"/>
              <w:bottom w:val="nil"/>
              <w:right w:val="single" w:sz="4" w:space="0" w:color="auto"/>
            </w:tcBorders>
            <w:shd w:val="clear" w:color="000000" w:fill="C00000"/>
            <w:vAlign w:val="center"/>
            <w:hideMark/>
          </w:tcPr>
          <w:p w14:paraId="050647C2"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336" w:type="pct"/>
            <w:tcBorders>
              <w:top w:val="single" w:sz="4" w:space="0" w:color="auto"/>
              <w:left w:val="nil"/>
              <w:bottom w:val="nil"/>
              <w:right w:val="single" w:sz="4" w:space="0" w:color="auto"/>
            </w:tcBorders>
            <w:shd w:val="clear" w:color="000000" w:fill="C00000"/>
            <w:vAlign w:val="center"/>
            <w:hideMark/>
          </w:tcPr>
          <w:p w14:paraId="5CFB8410"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407" w:type="pct"/>
            <w:tcBorders>
              <w:top w:val="single" w:sz="4" w:space="0" w:color="auto"/>
              <w:left w:val="nil"/>
              <w:bottom w:val="nil"/>
              <w:right w:val="single" w:sz="4" w:space="0" w:color="auto"/>
            </w:tcBorders>
            <w:shd w:val="clear" w:color="000000" w:fill="C00000"/>
            <w:vAlign w:val="center"/>
            <w:hideMark/>
          </w:tcPr>
          <w:p w14:paraId="3806488F"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305" w:type="pct"/>
            <w:tcBorders>
              <w:top w:val="single" w:sz="4" w:space="0" w:color="auto"/>
              <w:left w:val="nil"/>
              <w:bottom w:val="nil"/>
              <w:right w:val="single" w:sz="4" w:space="0" w:color="auto"/>
            </w:tcBorders>
            <w:shd w:val="clear" w:color="000000" w:fill="C00000"/>
            <w:vAlign w:val="center"/>
            <w:hideMark/>
          </w:tcPr>
          <w:p w14:paraId="641A5B42"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470" w:type="pct"/>
            <w:tcBorders>
              <w:top w:val="single" w:sz="4" w:space="0" w:color="auto"/>
              <w:left w:val="nil"/>
              <w:bottom w:val="nil"/>
              <w:right w:val="single" w:sz="4" w:space="0" w:color="auto"/>
            </w:tcBorders>
            <w:shd w:val="clear" w:color="000000" w:fill="C00000"/>
            <w:vAlign w:val="center"/>
            <w:hideMark/>
          </w:tcPr>
          <w:p w14:paraId="622BCD7D"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966" w:type="pct"/>
            <w:tcBorders>
              <w:top w:val="single" w:sz="4" w:space="0" w:color="auto"/>
              <w:left w:val="nil"/>
              <w:bottom w:val="nil"/>
              <w:right w:val="single" w:sz="4" w:space="0" w:color="auto"/>
            </w:tcBorders>
            <w:shd w:val="clear" w:color="000000" w:fill="C00000"/>
            <w:vAlign w:val="center"/>
            <w:hideMark/>
          </w:tcPr>
          <w:p w14:paraId="45771E6F" w14:textId="77777777" w:rsidR="00260EFF" w:rsidRPr="00B6793F" w:rsidRDefault="00260EFF" w:rsidP="00260EFF">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260EFF" w:rsidRPr="00B6793F" w14:paraId="324BE74E" w14:textId="77777777" w:rsidTr="00260EFF">
        <w:trPr>
          <w:gridAfter w:val="1"/>
          <w:wAfter w:w="6" w:type="pct"/>
          <w:trHeight w:val="180"/>
          <w:jc w:val="center"/>
        </w:trPr>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FD558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3BC62EA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rekomandimeve prioritare për Prokurorin e Përgjithshëm, në luftën kundër kriminalitetit, për vitin 2026."</w:t>
            </w:r>
          </w:p>
        </w:tc>
        <w:tc>
          <w:tcPr>
            <w:tcW w:w="356" w:type="pct"/>
            <w:tcBorders>
              <w:top w:val="nil"/>
              <w:left w:val="nil"/>
              <w:bottom w:val="single" w:sz="4" w:space="0" w:color="auto"/>
              <w:right w:val="single" w:sz="4" w:space="0" w:color="auto"/>
            </w:tcBorders>
            <w:shd w:val="clear" w:color="auto" w:fill="auto"/>
            <w:vAlign w:val="center"/>
            <w:hideMark/>
          </w:tcPr>
          <w:p w14:paraId="3CF868A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20D39A0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70C98DD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451" w:type="pct"/>
            <w:tcBorders>
              <w:top w:val="single" w:sz="4" w:space="0" w:color="auto"/>
              <w:left w:val="nil"/>
              <w:bottom w:val="single" w:sz="4" w:space="0" w:color="auto"/>
              <w:right w:val="single" w:sz="4" w:space="0" w:color="auto"/>
            </w:tcBorders>
            <w:shd w:val="clear" w:color="auto" w:fill="auto"/>
            <w:vAlign w:val="center"/>
            <w:hideMark/>
          </w:tcPr>
          <w:p w14:paraId="7F54000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Rekomandimet kanë për qëllim dhe synojnë garantimin e funksionimit efektiv të organit të prokurorisë, parandalimit dhe luftës kundër korrupsionit, krimit të organizuar, dhe respektimin e të drejtave dhe lirive themelore të të drejtave të njeriut. Projektvendimi propozohet bazuar në nenin 103, të ligjit nr.97/2016 "Për organizimin dhe funksionimin e prokurorisë në Republikën e Shqipërisë", të ndryshuar dhe pikën 32, të nenit 6, të ligjit nr.8678, datë 14.05.2001 "Për organizimin dhe funksionimin e Ministrisë së Drejtësisë", të ndryshuar.</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54929F0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Përcaktimin e prioriteteve në luftën kundër korrupsionit dhe krimit të organizuar, në përmbushje të detyrimeve të brendshme ligjore, si dhe rekomandimeve të organizatave ndërkombëtare. Këto rekomandime prioritare i përcillen organit të prokurorisë në ushtrim të përgjegjësisë shtetërore të Këshillit të Ministrave dhe Ministrisë së Drejtësisë, për ndjekjen dhe realizimin e politikës së përgjithshme shtetërore në fushën e drejtësisë dhe në respektim të parimit themelor të kontrollit dhe ekuilibrimit reciprok të pushteteve.</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17EAD0B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2654DC4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2093A90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5BC8101D"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966" w:type="pct"/>
            <w:tcBorders>
              <w:top w:val="single" w:sz="4" w:space="0" w:color="auto"/>
              <w:left w:val="nil"/>
              <w:bottom w:val="single" w:sz="4" w:space="0" w:color="auto"/>
              <w:right w:val="single" w:sz="4" w:space="0" w:color="auto"/>
            </w:tcBorders>
            <w:shd w:val="clear" w:color="auto" w:fill="auto"/>
            <w:vAlign w:val="center"/>
            <w:hideMark/>
          </w:tcPr>
          <w:p w14:paraId="251F069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ndikime sociale</w:t>
            </w:r>
          </w:p>
        </w:tc>
      </w:tr>
      <w:tr w:rsidR="00260EFF" w:rsidRPr="00B6793F" w14:paraId="1C8217B0"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24F5742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39" w:type="pct"/>
            <w:tcBorders>
              <w:top w:val="nil"/>
              <w:left w:val="nil"/>
              <w:bottom w:val="single" w:sz="4" w:space="0" w:color="auto"/>
              <w:right w:val="single" w:sz="4" w:space="0" w:color="auto"/>
            </w:tcBorders>
            <w:shd w:val="clear" w:color="auto" w:fill="auto"/>
            <w:vAlign w:val="center"/>
            <w:hideMark/>
          </w:tcPr>
          <w:p w14:paraId="7774D2D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"Për organizimin dhe funksionimin e Institutit të Mjekësisë Ligjore dhe shërbimeve mjekoligjore në Republikën e Shqipërisë"</w:t>
            </w:r>
          </w:p>
        </w:tc>
        <w:tc>
          <w:tcPr>
            <w:tcW w:w="356" w:type="pct"/>
            <w:tcBorders>
              <w:top w:val="nil"/>
              <w:left w:val="nil"/>
              <w:bottom w:val="single" w:sz="4" w:space="0" w:color="auto"/>
              <w:right w:val="single" w:sz="4" w:space="0" w:color="auto"/>
            </w:tcBorders>
            <w:shd w:val="clear" w:color="auto" w:fill="auto"/>
            <w:vAlign w:val="center"/>
            <w:hideMark/>
          </w:tcPr>
          <w:p w14:paraId="57C8FBB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546E4AB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26352C2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60EB3CDD"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Arsyeja e propozimit të këtij projektakti është reformimi i shërbimit të Mjekësisë Ligjore në Republikën e Shqipërisë</w:t>
            </w:r>
          </w:p>
        </w:tc>
        <w:tc>
          <w:tcPr>
            <w:tcW w:w="467" w:type="pct"/>
            <w:tcBorders>
              <w:top w:val="nil"/>
              <w:left w:val="nil"/>
              <w:bottom w:val="single" w:sz="4" w:space="0" w:color="auto"/>
              <w:right w:val="single" w:sz="4" w:space="0" w:color="auto"/>
            </w:tcBorders>
            <w:shd w:val="clear" w:color="auto" w:fill="auto"/>
            <w:vAlign w:val="center"/>
            <w:hideMark/>
          </w:tcPr>
          <w:p w14:paraId="3B8AD7AE"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Licencimin e ekspertëve mjekoligjorë dhe trajnimin e tyre vazhdues. Procesin e kryerjes së ekspertimeve mjeko-ligjore. Shpërblimin për kryerjen e ekspertimeve mjeko-ligjore</w:t>
            </w:r>
          </w:p>
        </w:tc>
        <w:tc>
          <w:tcPr>
            <w:tcW w:w="336" w:type="pct"/>
            <w:tcBorders>
              <w:top w:val="nil"/>
              <w:left w:val="nil"/>
              <w:bottom w:val="single" w:sz="4" w:space="0" w:color="auto"/>
              <w:right w:val="single" w:sz="4" w:space="0" w:color="auto"/>
            </w:tcBorders>
            <w:shd w:val="clear" w:color="auto" w:fill="auto"/>
            <w:vAlign w:val="center"/>
            <w:hideMark/>
          </w:tcPr>
          <w:p w14:paraId="58810F8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7" w:type="pct"/>
            <w:tcBorders>
              <w:top w:val="nil"/>
              <w:left w:val="nil"/>
              <w:bottom w:val="single" w:sz="4" w:space="0" w:color="auto"/>
              <w:right w:val="single" w:sz="4" w:space="0" w:color="auto"/>
            </w:tcBorders>
            <w:shd w:val="clear" w:color="auto" w:fill="auto"/>
            <w:vAlign w:val="center"/>
            <w:hideMark/>
          </w:tcPr>
          <w:p w14:paraId="6A3E1F7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nil"/>
              <w:bottom w:val="single" w:sz="4" w:space="0" w:color="auto"/>
              <w:right w:val="single" w:sz="4" w:space="0" w:color="auto"/>
            </w:tcBorders>
            <w:shd w:val="clear" w:color="auto" w:fill="auto"/>
            <w:vAlign w:val="center"/>
            <w:hideMark/>
          </w:tcPr>
          <w:p w14:paraId="6C49D52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0" w:type="pct"/>
            <w:tcBorders>
              <w:top w:val="nil"/>
              <w:left w:val="nil"/>
              <w:bottom w:val="single" w:sz="4" w:space="0" w:color="auto"/>
              <w:right w:val="single" w:sz="4" w:space="0" w:color="auto"/>
            </w:tcBorders>
            <w:shd w:val="clear" w:color="auto" w:fill="auto"/>
            <w:vAlign w:val="center"/>
            <w:hideMark/>
          </w:tcPr>
          <w:p w14:paraId="6782E02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966" w:type="pct"/>
            <w:tcBorders>
              <w:top w:val="nil"/>
              <w:left w:val="nil"/>
              <w:bottom w:val="single" w:sz="4" w:space="0" w:color="auto"/>
              <w:right w:val="single" w:sz="4" w:space="0" w:color="auto"/>
            </w:tcBorders>
            <w:shd w:val="clear" w:color="auto" w:fill="auto"/>
            <w:vAlign w:val="center"/>
            <w:hideMark/>
          </w:tcPr>
          <w:p w14:paraId="22DD3D3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260EFF" w:rsidRPr="00B6793F" w14:paraId="2EFA92ED"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45D370F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39" w:type="pct"/>
            <w:tcBorders>
              <w:top w:val="nil"/>
              <w:left w:val="nil"/>
              <w:bottom w:val="single" w:sz="4" w:space="0" w:color="auto"/>
              <w:right w:val="single" w:sz="4" w:space="0" w:color="auto"/>
            </w:tcBorders>
            <w:shd w:val="clear" w:color="auto" w:fill="auto"/>
            <w:vAlign w:val="center"/>
            <w:hideMark/>
          </w:tcPr>
          <w:p w14:paraId="5BA165C8"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nr.111/2017 "Për ndihmën juridike të garantuar nga shteti"</w:t>
            </w:r>
          </w:p>
        </w:tc>
        <w:tc>
          <w:tcPr>
            <w:tcW w:w="356" w:type="pct"/>
            <w:tcBorders>
              <w:top w:val="nil"/>
              <w:left w:val="nil"/>
              <w:bottom w:val="single" w:sz="4" w:space="0" w:color="auto"/>
              <w:right w:val="single" w:sz="4" w:space="0" w:color="auto"/>
            </w:tcBorders>
            <w:shd w:val="clear" w:color="auto" w:fill="auto"/>
            <w:vAlign w:val="center"/>
            <w:hideMark/>
          </w:tcPr>
          <w:p w14:paraId="59CA906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4B11DA90"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06FAB3C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5ACFE7F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Arsyeja e propozimit të këtij projektakti lidhet me përmirësimin e kuadrit ligjor aktual, si dhe harmonizimin e ligjit aktual me legjislacionin e Bashkimit Evropian.</w:t>
            </w:r>
          </w:p>
        </w:tc>
        <w:tc>
          <w:tcPr>
            <w:tcW w:w="467" w:type="pct"/>
            <w:tcBorders>
              <w:top w:val="nil"/>
              <w:left w:val="nil"/>
              <w:bottom w:val="single" w:sz="4" w:space="0" w:color="auto"/>
              <w:right w:val="single" w:sz="4" w:space="0" w:color="auto"/>
            </w:tcBorders>
            <w:shd w:val="clear" w:color="auto" w:fill="auto"/>
            <w:vAlign w:val="center"/>
            <w:hideMark/>
          </w:tcPr>
          <w:p w14:paraId="750275D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synon garantimin e aksesit efektiv dhe të barabartë në drejtësi për të gjithë përfituesit e ndihmës juridike falas, në çdo fazë të procesit gjyqësor, si dhe përafrimin e legjislacionit kombëtar me atë të Bashkimit Evropian </w:t>
            </w:r>
          </w:p>
        </w:tc>
        <w:tc>
          <w:tcPr>
            <w:tcW w:w="336" w:type="pct"/>
            <w:tcBorders>
              <w:top w:val="nil"/>
              <w:left w:val="nil"/>
              <w:bottom w:val="single" w:sz="4" w:space="0" w:color="auto"/>
              <w:right w:val="single" w:sz="4" w:space="0" w:color="auto"/>
            </w:tcBorders>
            <w:shd w:val="clear" w:color="auto" w:fill="auto"/>
            <w:vAlign w:val="center"/>
            <w:hideMark/>
          </w:tcPr>
          <w:p w14:paraId="7A6FE97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23.</w:t>
            </w:r>
          </w:p>
        </w:tc>
        <w:tc>
          <w:tcPr>
            <w:tcW w:w="407" w:type="pct"/>
            <w:tcBorders>
              <w:top w:val="nil"/>
              <w:left w:val="nil"/>
              <w:bottom w:val="single" w:sz="4" w:space="0" w:color="auto"/>
              <w:right w:val="single" w:sz="4" w:space="0" w:color="auto"/>
            </w:tcBorders>
            <w:shd w:val="clear" w:color="auto" w:fill="auto"/>
            <w:vAlign w:val="center"/>
            <w:hideMark/>
          </w:tcPr>
          <w:p w14:paraId="325D2A5E"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Jo </w:t>
            </w:r>
          </w:p>
        </w:tc>
        <w:tc>
          <w:tcPr>
            <w:tcW w:w="305" w:type="pct"/>
            <w:tcBorders>
              <w:top w:val="nil"/>
              <w:left w:val="nil"/>
              <w:bottom w:val="single" w:sz="4" w:space="0" w:color="auto"/>
              <w:right w:val="single" w:sz="4" w:space="0" w:color="auto"/>
            </w:tcBorders>
            <w:shd w:val="clear" w:color="auto" w:fill="auto"/>
            <w:vAlign w:val="center"/>
            <w:hideMark/>
          </w:tcPr>
          <w:p w14:paraId="3B2F166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w:t>
            </w:r>
          </w:p>
        </w:tc>
        <w:tc>
          <w:tcPr>
            <w:tcW w:w="470" w:type="pct"/>
            <w:tcBorders>
              <w:top w:val="nil"/>
              <w:left w:val="nil"/>
              <w:bottom w:val="single" w:sz="4" w:space="0" w:color="auto"/>
              <w:right w:val="single" w:sz="4" w:space="0" w:color="auto"/>
            </w:tcBorders>
            <w:shd w:val="clear" w:color="auto" w:fill="auto"/>
            <w:vAlign w:val="center"/>
            <w:hideMark/>
          </w:tcPr>
          <w:p w14:paraId="187BB82D"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Strategjia ndërsektoriale e drejtësisë 2024–2030                           2. Strategjia ndërsektoriale për mbrojtjen e</w:t>
            </w:r>
            <w:r w:rsidRPr="00B6793F">
              <w:rPr>
                <w:rFonts w:ascii="Arial" w:eastAsia="Times New Roman" w:hAnsi="Arial" w:cs="Arial"/>
                <w:color w:val="000000"/>
                <w:sz w:val="8"/>
                <w:szCs w:val="8"/>
                <w:lang w:eastAsia="sq-AL"/>
              </w:rPr>
              <w:br/>
              <w:t xml:space="preserve">viktimave të krimit 2024–2030  </w:t>
            </w:r>
          </w:p>
        </w:tc>
        <w:tc>
          <w:tcPr>
            <w:tcW w:w="966" w:type="pct"/>
            <w:tcBorders>
              <w:top w:val="nil"/>
              <w:left w:val="nil"/>
              <w:bottom w:val="single" w:sz="4" w:space="0" w:color="auto"/>
              <w:right w:val="single" w:sz="4" w:space="0" w:color="auto"/>
            </w:tcBorders>
            <w:shd w:val="clear" w:color="auto" w:fill="auto"/>
            <w:vAlign w:val="center"/>
            <w:hideMark/>
          </w:tcPr>
          <w:p w14:paraId="5D555DC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ndikime sociale</w:t>
            </w:r>
          </w:p>
        </w:tc>
      </w:tr>
      <w:tr w:rsidR="00260EFF" w:rsidRPr="00B6793F" w14:paraId="0F1E7F29"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5DE3517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39" w:type="pct"/>
            <w:tcBorders>
              <w:top w:val="nil"/>
              <w:left w:val="nil"/>
              <w:bottom w:val="single" w:sz="4" w:space="0" w:color="auto"/>
              <w:right w:val="single" w:sz="4" w:space="0" w:color="auto"/>
            </w:tcBorders>
            <w:shd w:val="clear" w:color="auto" w:fill="auto"/>
            <w:vAlign w:val="center"/>
            <w:hideMark/>
          </w:tcPr>
          <w:p w14:paraId="74B8DAA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ndryshime në ligjin nr.80/2020 "Për policinë e burgjeve"</w:t>
            </w:r>
          </w:p>
        </w:tc>
        <w:tc>
          <w:tcPr>
            <w:tcW w:w="356" w:type="pct"/>
            <w:tcBorders>
              <w:top w:val="nil"/>
              <w:left w:val="nil"/>
              <w:bottom w:val="single" w:sz="4" w:space="0" w:color="auto"/>
              <w:right w:val="single" w:sz="4" w:space="0" w:color="auto"/>
            </w:tcBorders>
            <w:shd w:val="clear" w:color="auto" w:fill="auto"/>
            <w:vAlign w:val="center"/>
            <w:hideMark/>
          </w:tcPr>
          <w:p w14:paraId="72A9411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6233C688"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775436E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74CA500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Ndryshimet e theksuara në kompensimin që i jepet personelit të Policisë së Burgjeve dhe personelit të Forcave të tjera të armatosura.</w:t>
            </w:r>
          </w:p>
        </w:tc>
        <w:tc>
          <w:tcPr>
            <w:tcW w:w="467" w:type="pct"/>
            <w:tcBorders>
              <w:top w:val="nil"/>
              <w:left w:val="nil"/>
              <w:bottom w:val="single" w:sz="4" w:space="0" w:color="auto"/>
              <w:right w:val="single" w:sz="4" w:space="0" w:color="auto"/>
            </w:tcBorders>
            <w:shd w:val="clear" w:color="auto" w:fill="auto"/>
            <w:vAlign w:val="center"/>
            <w:hideMark/>
          </w:tcPr>
          <w:p w14:paraId="106CBA7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Përmirësimi i trajtimit financiar të punonjësve të Policisë së Burgjeve për shkak të privacioneve që i vijnë si pasojë e pozicionit të punës duke i njësuar me trajtimin e personelit në forca të tjera të armatosura.</w:t>
            </w:r>
          </w:p>
        </w:tc>
        <w:tc>
          <w:tcPr>
            <w:tcW w:w="336" w:type="pct"/>
            <w:tcBorders>
              <w:top w:val="nil"/>
              <w:left w:val="nil"/>
              <w:bottom w:val="single" w:sz="4" w:space="0" w:color="auto"/>
              <w:right w:val="single" w:sz="4" w:space="0" w:color="auto"/>
            </w:tcBorders>
            <w:shd w:val="clear" w:color="auto" w:fill="auto"/>
            <w:vAlign w:val="center"/>
            <w:hideMark/>
          </w:tcPr>
          <w:p w14:paraId="363946CF"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7" w:type="pct"/>
            <w:tcBorders>
              <w:top w:val="nil"/>
              <w:left w:val="nil"/>
              <w:bottom w:val="single" w:sz="4" w:space="0" w:color="auto"/>
              <w:right w:val="single" w:sz="4" w:space="0" w:color="auto"/>
            </w:tcBorders>
            <w:shd w:val="clear" w:color="auto" w:fill="auto"/>
            <w:vAlign w:val="center"/>
            <w:hideMark/>
          </w:tcPr>
          <w:p w14:paraId="4E5E512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nil"/>
              <w:bottom w:val="single" w:sz="4" w:space="0" w:color="auto"/>
              <w:right w:val="single" w:sz="4" w:space="0" w:color="auto"/>
            </w:tcBorders>
            <w:shd w:val="clear" w:color="auto" w:fill="auto"/>
            <w:vAlign w:val="center"/>
            <w:hideMark/>
          </w:tcPr>
          <w:p w14:paraId="135C633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70" w:type="pct"/>
            <w:tcBorders>
              <w:top w:val="nil"/>
              <w:left w:val="nil"/>
              <w:bottom w:val="single" w:sz="4" w:space="0" w:color="auto"/>
              <w:right w:val="single" w:sz="4" w:space="0" w:color="auto"/>
            </w:tcBorders>
            <w:shd w:val="clear" w:color="auto" w:fill="auto"/>
            <w:vAlign w:val="center"/>
            <w:hideMark/>
          </w:tcPr>
          <w:p w14:paraId="5A562BB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966" w:type="pct"/>
            <w:tcBorders>
              <w:top w:val="nil"/>
              <w:left w:val="nil"/>
              <w:bottom w:val="single" w:sz="4" w:space="0" w:color="auto"/>
              <w:right w:val="single" w:sz="4" w:space="0" w:color="auto"/>
            </w:tcBorders>
            <w:shd w:val="clear" w:color="auto" w:fill="auto"/>
            <w:vAlign w:val="center"/>
            <w:hideMark/>
          </w:tcPr>
          <w:p w14:paraId="36D7C7F3"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260EFF" w:rsidRPr="00B6793F" w14:paraId="127B42B9"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2000FF1E"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39" w:type="pct"/>
            <w:tcBorders>
              <w:top w:val="nil"/>
              <w:left w:val="nil"/>
              <w:bottom w:val="single" w:sz="4" w:space="0" w:color="auto"/>
              <w:right w:val="single" w:sz="4" w:space="0" w:color="auto"/>
            </w:tcBorders>
            <w:shd w:val="clear" w:color="auto" w:fill="auto"/>
            <w:vAlign w:val="center"/>
            <w:hideMark/>
          </w:tcPr>
          <w:p w14:paraId="6147F6B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 10193, date 3.12.2009 “Për marrëdhëniet juridiksionale me autoritetet e huaja në çështjet penale”</w:t>
            </w:r>
          </w:p>
        </w:tc>
        <w:tc>
          <w:tcPr>
            <w:tcW w:w="356" w:type="pct"/>
            <w:tcBorders>
              <w:top w:val="nil"/>
              <w:left w:val="nil"/>
              <w:bottom w:val="single" w:sz="4" w:space="0" w:color="auto"/>
              <w:right w:val="single" w:sz="4" w:space="0" w:color="auto"/>
            </w:tcBorders>
            <w:shd w:val="clear" w:color="auto" w:fill="auto"/>
            <w:vAlign w:val="center"/>
            <w:hideMark/>
          </w:tcPr>
          <w:p w14:paraId="20D0BC00"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02C9069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750ED0B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5469814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Arsyeja e propozimit është përafrimi i mëtejshëm i legjislacionit për marrëdhëniet juridiksionale me autoritetet e huaja në çështjet penale me aktet e Bashkimit Evropian.</w:t>
            </w:r>
          </w:p>
        </w:tc>
        <w:tc>
          <w:tcPr>
            <w:tcW w:w="467" w:type="pct"/>
            <w:tcBorders>
              <w:top w:val="nil"/>
              <w:left w:val="nil"/>
              <w:bottom w:val="single" w:sz="4" w:space="0" w:color="auto"/>
              <w:right w:val="single" w:sz="4" w:space="0" w:color="auto"/>
            </w:tcBorders>
            <w:shd w:val="clear" w:color="auto" w:fill="auto"/>
            <w:vAlign w:val="center"/>
            <w:hideMark/>
          </w:tcPr>
          <w:p w14:paraId="6E91635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synon përafrimin e dispozitave që lidhen me të drejtat procedurale në procedurat e urdhrit të arrestit evropian.</w:t>
            </w:r>
          </w:p>
        </w:tc>
        <w:tc>
          <w:tcPr>
            <w:tcW w:w="336" w:type="pct"/>
            <w:tcBorders>
              <w:top w:val="nil"/>
              <w:left w:val="nil"/>
              <w:bottom w:val="single" w:sz="4" w:space="0" w:color="auto"/>
              <w:right w:val="single" w:sz="4" w:space="0" w:color="auto"/>
            </w:tcBorders>
            <w:shd w:val="clear" w:color="auto" w:fill="auto"/>
            <w:vAlign w:val="center"/>
            <w:hideMark/>
          </w:tcPr>
          <w:p w14:paraId="5A9C3B8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23.</w:t>
            </w:r>
          </w:p>
        </w:tc>
        <w:tc>
          <w:tcPr>
            <w:tcW w:w="407" w:type="pct"/>
            <w:tcBorders>
              <w:top w:val="nil"/>
              <w:left w:val="nil"/>
              <w:bottom w:val="single" w:sz="4" w:space="0" w:color="auto"/>
              <w:right w:val="single" w:sz="4" w:space="0" w:color="auto"/>
            </w:tcBorders>
            <w:shd w:val="clear" w:color="auto" w:fill="auto"/>
            <w:vAlign w:val="center"/>
            <w:hideMark/>
          </w:tcPr>
          <w:p w14:paraId="36A44B8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Jo </w:t>
            </w:r>
          </w:p>
        </w:tc>
        <w:tc>
          <w:tcPr>
            <w:tcW w:w="305" w:type="pct"/>
            <w:tcBorders>
              <w:top w:val="nil"/>
              <w:left w:val="nil"/>
              <w:bottom w:val="single" w:sz="4" w:space="0" w:color="auto"/>
              <w:right w:val="single" w:sz="4" w:space="0" w:color="auto"/>
            </w:tcBorders>
            <w:shd w:val="clear" w:color="auto" w:fill="auto"/>
            <w:vAlign w:val="center"/>
            <w:hideMark/>
          </w:tcPr>
          <w:p w14:paraId="57F2A80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w:t>
            </w:r>
          </w:p>
        </w:tc>
        <w:tc>
          <w:tcPr>
            <w:tcW w:w="470" w:type="pct"/>
            <w:tcBorders>
              <w:top w:val="nil"/>
              <w:left w:val="nil"/>
              <w:bottom w:val="single" w:sz="4" w:space="0" w:color="auto"/>
              <w:right w:val="single" w:sz="4" w:space="0" w:color="auto"/>
            </w:tcBorders>
            <w:shd w:val="clear" w:color="auto" w:fill="auto"/>
            <w:vAlign w:val="center"/>
            <w:hideMark/>
          </w:tcPr>
          <w:p w14:paraId="1324E58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ndërsektoriale e drejtësisë 2024-2030</w:t>
            </w:r>
          </w:p>
        </w:tc>
        <w:tc>
          <w:tcPr>
            <w:tcW w:w="966" w:type="pct"/>
            <w:tcBorders>
              <w:top w:val="nil"/>
              <w:left w:val="nil"/>
              <w:bottom w:val="single" w:sz="4" w:space="0" w:color="auto"/>
              <w:right w:val="single" w:sz="4" w:space="0" w:color="auto"/>
            </w:tcBorders>
            <w:shd w:val="clear" w:color="auto" w:fill="auto"/>
            <w:vAlign w:val="center"/>
            <w:hideMark/>
          </w:tcPr>
          <w:p w14:paraId="0986C68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260EFF" w:rsidRPr="00B6793F" w14:paraId="46416725"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1DBB7B9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39" w:type="pct"/>
            <w:tcBorders>
              <w:top w:val="nil"/>
              <w:left w:val="nil"/>
              <w:bottom w:val="single" w:sz="4" w:space="0" w:color="auto"/>
              <w:right w:val="single" w:sz="4" w:space="0" w:color="auto"/>
            </w:tcBorders>
            <w:shd w:val="clear" w:color="auto" w:fill="auto"/>
            <w:vAlign w:val="center"/>
            <w:hideMark/>
          </w:tcPr>
          <w:p w14:paraId="3C81152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 7905, datë 21.3.1995  "Kodi Procedurës Penale të Republikës së Shqipërisë”</w:t>
            </w:r>
          </w:p>
        </w:tc>
        <w:tc>
          <w:tcPr>
            <w:tcW w:w="356" w:type="pct"/>
            <w:tcBorders>
              <w:top w:val="nil"/>
              <w:left w:val="nil"/>
              <w:bottom w:val="single" w:sz="4" w:space="0" w:color="auto"/>
              <w:right w:val="single" w:sz="4" w:space="0" w:color="auto"/>
            </w:tcBorders>
            <w:shd w:val="clear" w:color="auto" w:fill="auto"/>
            <w:vAlign w:val="center"/>
            <w:hideMark/>
          </w:tcPr>
          <w:p w14:paraId="3F15C6C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41775D9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1B4E448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24A773E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e propozimit të këtij projektakti lidhet me garantimin e të drejtave procedurale gjatë gjykimit penal, si dhe me harmonizimin e legjislacionit kombëtar me acquis e Bashkimit Evropian. </w:t>
            </w:r>
          </w:p>
        </w:tc>
        <w:tc>
          <w:tcPr>
            <w:tcW w:w="467" w:type="pct"/>
            <w:tcBorders>
              <w:top w:val="nil"/>
              <w:left w:val="nil"/>
              <w:bottom w:val="single" w:sz="4" w:space="0" w:color="auto"/>
              <w:right w:val="single" w:sz="4" w:space="0" w:color="auto"/>
            </w:tcBorders>
            <w:shd w:val="clear" w:color="auto" w:fill="auto"/>
            <w:vAlign w:val="center"/>
            <w:hideMark/>
          </w:tcPr>
          <w:p w14:paraId="4716AA6E"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synon garantimin e të drejtave procedurale gjatë procedimit penal që nga marrja në pyetje dhe deri te gjykimi</w:t>
            </w:r>
          </w:p>
        </w:tc>
        <w:tc>
          <w:tcPr>
            <w:tcW w:w="336" w:type="pct"/>
            <w:tcBorders>
              <w:top w:val="nil"/>
              <w:left w:val="nil"/>
              <w:bottom w:val="single" w:sz="4" w:space="0" w:color="auto"/>
              <w:right w:val="single" w:sz="4" w:space="0" w:color="auto"/>
            </w:tcBorders>
            <w:shd w:val="clear" w:color="auto" w:fill="auto"/>
            <w:vAlign w:val="center"/>
            <w:hideMark/>
          </w:tcPr>
          <w:p w14:paraId="4B95104F"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23.</w:t>
            </w:r>
          </w:p>
        </w:tc>
        <w:tc>
          <w:tcPr>
            <w:tcW w:w="407" w:type="pct"/>
            <w:tcBorders>
              <w:top w:val="nil"/>
              <w:left w:val="nil"/>
              <w:bottom w:val="nil"/>
              <w:right w:val="nil"/>
            </w:tcBorders>
            <w:shd w:val="clear" w:color="auto" w:fill="auto"/>
            <w:vAlign w:val="center"/>
            <w:hideMark/>
          </w:tcPr>
          <w:p w14:paraId="309F721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single" w:sz="4" w:space="0" w:color="auto"/>
              <w:bottom w:val="single" w:sz="4" w:space="0" w:color="auto"/>
              <w:right w:val="single" w:sz="4" w:space="0" w:color="auto"/>
            </w:tcBorders>
            <w:shd w:val="clear" w:color="auto" w:fill="auto"/>
            <w:vAlign w:val="center"/>
            <w:hideMark/>
          </w:tcPr>
          <w:p w14:paraId="6FE838C3"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w:t>
            </w:r>
          </w:p>
        </w:tc>
        <w:tc>
          <w:tcPr>
            <w:tcW w:w="470" w:type="pct"/>
            <w:tcBorders>
              <w:top w:val="nil"/>
              <w:left w:val="nil"/>
              <w:bottom w:val="single" w:sz="4" w:space="0" w:color="auto"/>
              <w:right w:val="single" w:sz="4" w:space="0" w:color="auto"/>
            </w:tcBorders>
            <w:shd w:val="clear" w:color="auto" w:fill="auto"/>
            <w:vAlign w:val="center"/>
            <w:hideMark/>
          </w:tcPr>
          <w:p w14:paraId="3AD6865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ndërsektoriale e drejtësisë 2024-2030</w:t>
            </w:r>
          </w:p>
        </w:tc>
        <w:tc>
          <w:tcPr>
            <w:tcW w:w="966" w:type="pct"/>
            <w:tcBorders>
              <w:top w:val="nil"/>
              <w:left w:val="nil"/>
              <w:bottom w:val="single" w:sz="4" w:space="0" w:color="auto"/>
              <w:right w:val="single" w:sz="4" w:space="0" w:color="auto"/>
            </w:tcBorders>
            <w:shd w:val="clear" w:color="auto" w:fill="auto"/>
            <w:vAlign w:val="center"/>
            <w:hideMark/>
          </w:tcPr>
          <w:p w14:paraId="52EC172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ndikime sociale</w:t>
            </w:r>
          </w:p>
        </w:tc>
      </w:tr>
      <w:tr w:rsidR="00260EFF" w:rsidRPr="00B6793F" w14:paraId="5866BAA5"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561EDBD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39" w:type="pct"/>
            <w:tcBorders>
              <w:top w:val="nil"/>
              <w:left w:val="nil"/>
              <w:bottom w:val="single" w:sz="4" w:space="0" w:color="auto"/>
              <w:right w:val="single" w:sz="4" w:space="0" w:color="auto"/>
            </w:tcBorders>
            <w:shd w:val="clear" w:color="auto" w:fill="auto"/>
            <w:vAlign w:val="center"/>
            <w:hideMark/>
          </w:tcPr>
          <w:p w14:paraId="78E3D7E9"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ligjin nr. 49/2012 "Për organizimin dhe funksionimin e gjykatave administrative dhe gjykimin e mosmarrëveshjeve administrative", të ndryshuar.</w:t>
            </w:r>
          </w:p>
        </w:tc>
        <w:tc>
          <w:tcPr>
            <w:tcW w:w="356" w:type="pct"/>
            <w:tcBorders>
              <w:top w:val="nil"/>
              <w:left w:val="nil"/>
              <w:bottom w:val="single" w:sz="4" w:space="0" w:color="auto"/>
              <w:right w:val="single" w:sz="4" w:space="0" w:color="auto"/>
            </w:tcBorders>
            <w:shd w:val="clear" w:color="auto" w:fill="auto"/>
            <w:vAlign w:val="center"/>
            <w:hideMark/>
          </w:tcPr>
          <w:p w14:paraId="57DEF09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06" w:type="pct"/>
            <w:tcBorders>
              <w:top w:val="nil"/>
              <w:left w:val="nil"/>
              <w:bottom w:val="single" w:sz="4" w:space="0" w:color="auto"/>
              <w:right w:val="single" w:sz="4" w:space="0" w:color="auto"/>
            </w:tcBorders>
            <w:shd w:val="clear" w:color="auto" w:fill="auto"/>
            <w:vAlign w:val="center"/>
            <w:hideMark/>
          </w:tcPr>
          <w:p w14:paraId="1EBFCC4F"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3F0DC02D"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0D925126"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e propozimit të këtij projektakti lidhet garantimin e të drejtave procedurale gjatë gjykimit administrativ, si dhe me harmonizimin e legjislacionit kombëtar me acquis e Bashkimit Evropian. </w:t>
            </w:r>
          </w:p>
        </w:tc>
        <w:tc>
          <w:tcPr>
            <w:tcW w:w="467" w:type="pct"/>
            <w:tcBorders>
              <w:top w:val="nil"/>
              <w:left w:val="nil"/>
              <w:bottom w:val="single" w:sz="4" w:space="0" w:color="auto"/>
              <w:right w:val="single" w:sz="4" w:space="0" w:color="auto"/>
            </w:tcBorders>
            <w:shd w:val="clear" w:color="auto" w:fill="auto"/>
            <w:vAlign w:val="center"/>
            <w:hideMark/>
          </w:tcPr>
          <w:p w14:paraId="413FC74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Projektakti synon garantimin e të drejtave procedurale gjatë gjykimit administrativ.</w:t>
            </w:r>
          </w:p>
        </w:tc>
        <w:tc>
          <w:tcPr>
            <w:tcW w:w="336" w:type="pct"/>
            <w:tcBorders>
              <w:top w:val="nil"/>
              <w:left w:val="nil"/>
              <w:bottom w:val="single" w:sz="4" w:space="0" w:color="auto"/>
              <w:right w:val="single" w:sz="4" w:space="0" w:color="auto"/>
            </w:tcBorders>
            <w:shd w:val="clear" w:color="auto" w:fill="auto"/>
            <w:vAlign w:val="center"/>
            <w:hideMark/>
          </w:tcPr>
          <w:p w14:paraId="46CC58D7"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23.</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2879017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Jo </w:t>
            </w:r>
          </w:p>
        </w:tc>
        <w:tc>
          <w:tcPr>
            <w:tcW w:w="305" w:type="pct"/>
            <w:tcBorders>
              <w:top w:val="nil"/>
              <w:left w:val="nil"/>
              <w:bottom w:val="single" w:sz="4" w:space="0" w:color="auto"/>
              <w:right w:val="single" w:sz="4" w:space="0" w:color="auto"/>
            </w:tcBorders>
            <w:shd w:val="clear" w:color="auto" w:fill="auto"/>
            <w:vAlign w:val="center"/>
            <w:hideMark/>
          </w:tcPr>
          <w:p w14:paraId="453A8933"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w:t>
            </w:r>
          </w:p>
        </w:tc>
        <w:tc>
          <w:tcPr>
            <w:tcW w:w="470" w:type="pct"/>
            <w:tcBorders>
              <w:top w:val="nil"/>
              <w:left w:val="nil"/>
              <w:bottom w:val="single" w:sz="4" w:space="0" w:color="auto"/>
              <w:right w:val="single" w:sz="4" w:space="0" w:color="auto"/>
            </w:tcBorders>
            <w:shd w:val="clear" w:color="auto" w:fill="auto"/>
            <w:vAlign w:val="center"/>
            <w:hideMark/>
          </w:tcPr>
          <w:p w14:paraId="71AE483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Strategjia ndërsektoriale e drejtësisë 2024–2030,   2. Agjenda Kombëtare e Reformave 2024–2027”, në kuadër të instrumentit të Bashkimit Evropian “faciliteti për reforma dhe rritje për ballkanin perëndimor”.</w:t>
            </w:r>
          </w:p>
        </w:tc>
        <w:tc>
          <w:tcPr>
            <w:tcW w:w="966" w:type="pct"/>
            <w:tcBorders>
              <w:top w:val="nil"/>
              <w:left w:val="nil"/>
              <w:bottom w:val="single" w:sz="4" w:space="0" w:color="auto"/>
              <w:right w:val="single" w:sz="4" w:space="0" w:color="auto"/>
            </w:tcBorders>
            <w:shd w:val="clear" w:color="auto" w:fill="auto"/>
            <w:vAlign w:val="center"/>
            <w:hideMark/>
          </w:tcPr>
          <w:p w14:paraId="4616166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ndikime sociale </w:t>
            </w:r>
          </w:p>
        </w:tc>
      </w:tr>
      <w:tr w:rsidR="00260EFF" w:rsidRPr="00B6793F" w14:paraId="40EF48B1"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7813397C"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39" w:type="pct"/>
            <w:tcBorders>
              <w:top w:val="nil"/>
              <w:left w:val="nil"/>
              <w:bottom w:val="single" w:sz="4" w:space="0" w:color="auto"/>
              <w:right w:val="single" w:sz="4" w:space="0" w:color="auto"/>
            </w:tcBorders>
            <w:shd w:val="clear" w:color="auto" w:fill="auto"/>
            <w:vAlign w:val="center"/>
            <w:hideMark/>
          </w:tcPr>
          <w:p w14:paraId="1491395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"Kodi Penal i Republikës së Shqipërisë"</w:t>
            </w:r>
          </w:p>
        </w:tc>
        <w:tc>
          <w:tcPr>
            <w:tcW w:w="356" w:type="pct"/>
            <w:tcBorders>
              <w:top w:val="nil"/>
              <w:left w:val="nil"/>
              <w:bottom w:val="single" w:sz="4" w:space="0" w:color="auto"/>
              <w:right w:val="single" w:sz="4" w:space="0" w:color="auto"/>
            </w:tcBorders>
            <w:shd w:val="clear" w:color="auto" w:fill="auto"/>
            <w:vAlign w:val="center"/>
            <w:hideMark/>
          </w:tcPr>
          <w:p w14:paraId="2250A83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Projektligj </w:t>
            </w:r>
          </w:p>
        </w:tc>
        <w:tc>
          <w:tcPr>
            <w:tcW w:w="306" w:type="pct"/>
            <w:tcBorders>
              <w:top w:val="nil"/>
              <w:left w:val="nil"/>
              <w:bottom w:val="single" w:sz="4" w:space="0" w:color="auto"/>
              <w:right w:val="single" w:sz="4" w:space="0" w:color="auto"/>
            </w:tcBorders>
            <w:shd w:val="clear" w:color="auto" w:fill="auto"/>
            <w:vAlign w:val="center"/>
            <w:hideMark/>
          </w:tcPr>
          <w:p w14:paraId="0B527DB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76AD4AE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711FDBC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Arsyeja e propozimit është përafrimi me aquis cummunitaire të legjislacionit penal të Republikës së Shqipërisë </w:t>
            </w:r>
          </w:p>
        </w:tc>
        <w:tc>
          <w:tcPr>
            <w:tcW w:w="467" w:type="pct"/>
            <w:tcBorders>
              <w:top w:val="nil"/>
              <w:left w:val="nil"/>
              <w:bottom w:val="single" w:sz="4" w:space="0" w:color="auto"/>
              <w:right w:val="single" w:sz="4" w:space="0" w:color="auto"/>
            </w:tcBorders>
            <w:shd w:val="clear" w:color="auto" w:fill="auto"/>
            <w:vAlign w:val="center"/>
            <w:hideMark/>
          </w:tcPr>
          <w:p w14:paraId="6E3E78E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Projektakti synon përafrimin e legjislacionit penal të detyrueshëm për vendet anëtare të bashkimit Evropian. </w:t>
            </w:r>
          </w:p>
        </w:tc>
        <w:tc>
          <w:tcPr>
            <w:tcW w:w="336" w:type="pct"/>
            <w:tcBorders>
              <w:top w:val="nil"/>
              <w:left w:val="nil"/>
              <w:bottom w:val="single" w:sz="4" w:space="0" w:color="auto"/>
              <w:right w:val="single" w:sz="4" w:space="0" w:color="auto"/>
            </w:tcBorders>
            <w:shd w:val="clear" w:color="auto" w:fill="auto"/>
            <w:vAlign w:val="center"/>
            <w:hideMark/>
          </w:tcPr>
          <w:p w14:paraId="6DB1A84F"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23.</w:t>
            </w:r>
          </w:p>
        </w:tc>
        <w:tc>
          <w:tcPr>
            <w:tcW w:w="407" w:type="pct"/>
            <w:tcBorders>
              <w:top w:val="nil"/>
              <w:left w:val="nil"/>
              <w:bottom w:val="single" w:sz="4" w:space="0" w:color="auto"/>
              <w:right w:val="single" w:sz="4" w:space="0" w:color="auto"/>
            </w:tcBorders>
            <w:shd w:val="clear" w:color="auto" w:fill="auto"/>
            <w:vAlign w:val="center"/>
            <w:hideMark/>
          </w:tcPr>
          <w:p w14:paraId="5392CFEA"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Shtylla 1 "Shqipëria Evropiane, në kapitullin 1.1 Anëtarësimi në Bashkimin Evropian".</w:t>
            </w:r>
          </w:p>
        </w:tc>
        <w:tc>
          <w:tcPr>
            <w:tcW w:w="305" w:type="pct"/>
            <w:tcBorders>
              <w:top w:val="nil"/>
              <w:left w:val="nil"/>
              <w:bottom w:val="single" w:sz="4" w:space="0" w:color="auto"/>
              <w:right w:val="single" w:sz="4" w:space="0" w:color="auto"/>
            </w:tcBorders>
            <w:shd w:val="clear" w:color="auto" w:fill="auto"/>
            <w:vAlign w:val="center"/>
            <w:hideMark/>
          </w:tcPr>
          <w:p w14:paraId="423F2F88"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70" w:type="pct"/>
            <w:tcBorders>
              <w:top w:val="nil"/>
              <w:left w:val="nil"/>
              <w:bottom w:val="single" w:sz="4" w:space="0" w:color="auto"/>
              <w:right w:val="single" w:sz="4" w:space="0" w:color="auto"/>
            </w:tcBorders>
            <w:shd w:val="clear" w:color="auto" w:fill="auto"/>
            <w:vAlign w:val="center"/>
            <w:hideMark/>
          </w:tcPr>
          <w:p w14:paraId="0D0F40FD"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Strategjia ndërsektoriale e drejtësisë 2024–2030,   </w:t>
            </w:r>
          </w:p>
        </w:tc>
        <w:tc>
          <w:tcPr>
            <w:tcW w:w="966" w:type="pct"/>
            <w:tcBorders>
              <w:top w:val="nil"/>
              <w:left w:val="nil"/>
              <w:bottom w:val="single" w:sz="4" w:space="0" w:color="auto"/>
              <w:right w:val="single" w:sz="4" w:space="0" w:color="auto"/>
            </w:tcBorders>
            <w:shd w:val="clear" w:color="auto" w:fill="auto"/>
            <w:vAlign w:val="center"/>
            <w:hideMark/>
          </w:tcPr>
          <w:p w14:paraId="1D3CCF74"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 ndikim social</w:t>
            </w:r>
          </w:p>
        </w:tc>
      </w:tr>
      <w:tr w:rsidR="00260EFF" w:rsidRPr="00B6793F" w14:paraId="14277580" w14:textId="77777777" w:rsidTr="00260EFF">
        <w:trPr>
          <w:gridAfter w:val="1"/>
          <w:wAfter w:w="6" w:type="pct"/>
          <w:trHeight w:val="180"/>
          <w:jc w:val="center"/>
        </w:trPr>
        <w:tc>
          <w:tcPr>
            <w:tcW w:w="163" w:type="pct"/>
            <w:tcBorders>
              <w:top w:val="nil"/>
              <w:left w:val="single" w:sz="4" w:space="0" w:color="auto"/>
              <w:bottom w:val="single" w:sz="4" w:space="0" w:color="auto"/>
              <w:right w:val="single" w:sz="4" w:space="0" w:color="auto"/>
            </w:tcBorders>
            <w:shd w:val="clear" w:color="auto" w:fill="auto"/>
            <w:vAlign w:val="center"/>
            <w:hideMark/>
          </w:tcPr>
          <w:p w14:paraId="36C486F1"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439" w:type="pct"/>
            <w:tcBorders>
              <w:top w:val="nil"/>
              <w:left w:val="nil"/>
              <w:bottom w:val="single" w:sz="4" w:space="0" w:color="auto"/>
              <w:right w:val="single" w:sz="4" w:space="0" w:color="auto"/>
            </w:tcBorders>
            <w:shd w:val="clear" w:color="auto" w:fill="auto"/>
            <w:vAlign w:val="center"/>
            <w:hideMark/>
          </w:tcPr>
          <w:p w14:paraId="2C79A0D2"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Strategjisë Ndërsektoriale të Drejtësisë për të Mitur 2026-2030, planit të veprimit dhe të pasaportës së indikatorëve</w:t>
            </w:r>
          </w:p>
        </w:tc>
        <w:tc>
          <w:tcPr>
            <w:tcW w:w="356" w:type="pct"/>
            <w:tcBorders>
              <w:top w:val="nil"/>
              <w:left w:val="nil"/>
              <w:bottom w:val="single" w:sz="4" w:space="0" w:color="auto"/>
              <w:right w:val="single" w:sz="4" w:space="0" w:color="auto"/>
            </w:tcBorders>
            <w:shd w:val="clear" w:color="auto" w:fill="auto"/>
            <w:vAlign w:val="center"/>
            <w:hideMark/>
          </w:tcPr>
          <w:p w14:paraId="511B66E3"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06" w:type="pct"/>
            <w:tcBorders>
              <w:top w:val="nil"/>
              <w:left w:val="nil"/>
              <w:bottom w:val="single" w:sz="4" w:space="0" w:color="auto"/>
              <w:right w:val="single" w:sz="4" w:space="0" w:color="auto"/>
            </w:tcBorders>
            <w:shd w:val="clear" w:color="auto" w:fill="auto"/>
            <w:vAlign w:val="center"/>
            <w:hideMark/>
          </w:tcPr>
          <w:p w14:paraId="23470110"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Drejtësisë</w:t>
            </w:r>
          </w:p>
        </w:tc>
        <w:tc>
          <w:tcPr>
            <w:tcW w:w="327" w:type="pct"/>
            <w:tcBorders>
              <w:top w:val="nil"/>
              <w:left w:val="nil"/>
              <w:bottom w:val="single" w:sz="4" w:space="0" w:color="auto"/>
              <w:right w:val="single" w:sz="4" w:space="0" w:color="auto"/>
            </w:tcBorders>
            <w:shd w:val="clear" w:color="auto" w:fill="auto"/>
            <w:vAlign w:val="center"/>
            <w:hideMark/>
          </w:tcPr>
          <w:p w14:paraId="76007A2E"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451" w:type="pct"/>
            <w:tcBorders>
              <w:top w:val="nil"/>
              <w:left w:val="nil"/>
              <w:bottom w:val="single" w:sz="4" w:space="0" w:color="auto"/>
              <w:right w:val="single" w:sz="4" w:space="0" w:color="auto"/>
            </w:tcBorders>
            <w:shd w:val="clear" w:color="auto" w:fill="auto"/>
            <w:vAlign w:val="center"/>
            <w:hideMark/>
          </w:tcPr>
          <w:p w14:paraId="0B5C3FD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Hartimi i një strategjie të re sektoriale të drejtësisë për të mitur e cila është në përputhje me udhërrëfyesin për shtetin e së drejtës dhe vizionin e Republikës së Shqipërisë për integrimin evropian në fushën e drejtësisë për të miturit. Strategjitë janë politika që bazohen në nenin 100 të Kushtetutës.</w:t>
            </w:r>
          </w:p>
        </w:tc>
        <w:tc>
          <w:tcPr>
            <w:tcW w:w="467" w:type="pct"/>
            <w:tcBorders>
              <w:top w:val="nil"/>
              <w:left w:val="nil"/>
              <w:bottom w:val="single" w:sz="4" w:space="0" w:color="auto"/>
              <w:right w:val="single" w:sz="4" w:space="0" w:color="auto"/>
            </w:tcBorders>
            <w:shd w:val="clear" w:color="auto" w:fill="auto"/>
            <w:vAlign w:val="center"/>
            <w:hideMark/>
          </w:tcPr>
          <w:p w14:paraId="6D099170"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adresimin e politikave të sistemit të drejtësisë për të miturit të bazuara sipas masave strategjike të parashikuara në dokumentet strategjike për integrimin europuan në lidhje me Kapitullin 23 “Gjyqësori dhe të drejtat themelore”.</w:t>
            </w:r>
          </w:p>
        </w:tc>
        <w:tc>
          <w:tcPr>
            <w:tcW w:w="336" w:type="pct"/>
            <w:tcBorders>
              <w:top w:val="nil"/>
              <w:left w:val="nil"/>
              <w:bottom w:val="single" w:sz="4" w:space="0" w:color="auto"/>
              <w:right w:val="single" w:sz="4" w:space="0" w:color="auto"/>
            </w:tcBorders>
            <w:shd w:val="clear" w:color="auto" w:fill="auto"/>
            <w:vAlign w:val="center"/>
            <w:hideMark/>
          </w:tcPr>
          <w:p w14:paraId="231D655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07" w:type="pct"/>
            <w:tcBorders>
              <w:top w:val="nil"/>
              <w:left w:val="nil"/>
              <w:bottom w:val="single" w:sz="4" w:space="0" w:color="auto"/>
              <w:right w:val="single" w:sz="4" w:space="0" w:color="auto"/>
            </w:tcBorders>
            <w:shd w:val="clear" w:color="auto" w:fill="auto"/>
            <w:vAlign w:val="center"/>
            <w:hideMark/>
          </w:tcPr>
          <w:p w14:paraId="39C53A3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05" w:type="pct"/>
            <w:tcBorders>
              <w:top w:val="nil"/>
              <w:left w:val="nil"/>
              <w:bottom w:val="single" w:sz="4" w:space="0" w:color="auto"/>
              <w:right w:val="single" w:sz="4" w:space="0" w:color="auto"/>
            </w:tcBorders>
            <w:shd w:val="clear" w:color="auto" w:fill="auto"/>
            <w:vAlign w:val="center"/>
            <w:hideMark/>
          </w:tcPr>
          <w:p w14:paraId="5E57C6CB"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w:t>
            </w:r>
          </w:p>
        </w:tc>
        <w:tc>
          <w:tcPr>
            <w:tcW w:w="470" w:type="pct"/>
            <w:tcBorders>
              <w:top w:val="nil"/>
              <w:left w:val="nil"/>
              <w:bottom w:val="single" w:sz="4" w:space="0" w:color="auto"/>
              <w:right w:val="single" w:sz="4" w:space="0" w:color="auto"/>
            </w:tcBorders>
            <w:shd w:val="clear" w:color="auto" w:fill="auto"/>
            <w:vAlign w:val="center"/>
            <w:hideMark/>
          </w:tcPr>
          <w:p w14:paraId="68724005"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Po/Udhërrëfyesi për Shtetin e së Drejtës – Kapitullin 23 “Gjyqësori dhe të drejtat themelore</w:t>
            </w:r>
          </w:p>
        </w:tc>
        <w:tc>
          <w:tcPr>
            <w:tcW w:w="966" w:type="pct"/>
            <w:tcBorders>
              <w:top w:val="nil"/>
              <w:left w:val="nil"/>
              <w:bottom w:val="single" w:sz="4" w:space="0" w:color="auto"/>
              <w:right w:val="single" w:sz="4" w:space="0" w:color="auto"/>
            </w:tcBorders>
            <w:shd w:val="clear" w:color="auto" w:fill="auto"/>
            <w:vAlign w:val="center"/>
            <w:hideMark/>
          </w:tcPr>
          <w:p w14:paraId="020EFDB3" w14:textId="77777777" w:rsidR="00260EFF" w:rsidRPr="00B6793F" w:rsidRDefault="00260EFF" w:rsidP="00260EFF">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 ndikim social </w:t>
            </w:r>
          </w:p>
        </w:tc>
      </w:tr>
    </w:tbl>
    <w:p w14:paraId="1AE09504" w14:textId="4B37979D" w:rsidR="00D34058" w:rsidRPr="00B6793F" w:rsidRDefault="00D34058" w:rsidP="00AC5BDD">
      <w:pPr>
        <w:spacing w:after="0" w:line="240" w:lineRule="auto"/>
        <w:ind w:firstLine="284"/>
        <w:jc w:val="center"/>
        <w:rPr>
          <w:rFonts w:ascii="Garamond" w:hAnsi="Garamond"/>
          <w:b/>
          <w:sz w:val="24"/>
        </w:rPr>
      </w:pPr>
    </w:p>
    <w:p w14:paraId="2EC044F1" w14:textId="2121A267" w:rsidR="00260EFF" w:rsidRPr="00B6793F" w:rsidRDefault="00260EFF" w:rsidP="00AC5BDD">
      <w:pPr>
        <w:spacing w:after="0" w:line="240" w:lineRule="auto"/>
        <w:ind w:firstLine="284"/>
        <w:jc w:val="center"/>
        <w:rPr>
          <w:rFonts w:ascii="Garamond" w:hAnsi="Garamond"/>
          <w:b/>
          <w:sz w:val="24"/>
        </w:rPr>
      </w:pPr>
    </w:p>
    <w:tbl>
      <w:tblPr>
        <w:tblW w:w="5085" w:type="pct"/>
        <w:jc w:val="center"/>
        <w:tblLook w:val="04A0" w:firstRow="1" w:lastRow="0" w:firstColumn="1" w:lastColumn="0" w:noHBand="0" w:noVBand="1"/>
      </w:tblPr>
      <w:tblGrid>
        <w:gridCol w:w="507"/>
        <w:gridCol w:w="1365"/>
        <w:gridCol w:w="1118"/>
        <w:gridCol w:w="959"/>
        <w:gridCol w:w="1030"/>
        <w:gridCol w:w="1697"/>
        <w:gridCol w:w="1356"/>
        <w:gridCol w:w="1058"/>
        <w:gridCol w:w="1279"/>
        <w:gridCol w:w="953"/>
        <w:gridCol w:w="1399"/>
        <w:gridCol w:w="1464"/>
      </w:tblGrid>
      <w:tr w:rsidR="00350C6B" w:rsidRPr="00B6793F" w14:paraId="130888BB" w14:textId="77777777" w:rsidTr="00350C6B">
        <w:trPr>
          <w:trHeight w:val="180"/>
          <w:jc w:val="center"/>
        </w:trPr>
        <w:tc>
          <w:tcPr>
            <w:tcW w:w="4483"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177E62D9" w14:textId="77777777" w:rsidR="00350C6B" w:rsidRPr="00B6793F" w:rsidRDefault="00350C6B" w:rsidP="00350C6B">
            <w:pPr>
              <w:spacing w:after="0" w:line="240" w:lineRule="auto"/>
              <w:jc w:val="center"/>
              <w:rPr>
                <w:rFonts w:ascii="Arial" w:eastAsia="Times New Roman" w:hAnsi="Arial" w:cs="Arial"/>
                <w:b/>
                <w:bCs/>
                <w:sz w:val="12"/>
                <w:szCs w:val="8"/>
                <w:lang w:eastAsia="sq-AL"/>
              </w:rPr>
            </w:pPr>
            <w:bookmarkStart w:id="6" w:name="RANGE!A1:L28"/>
            <w:r w:rsidRPr="00B6793F">
              <w:rPr>
                <w:rFonts w:ascii="Arial" w:eastAsia="Times New Roman" w:hAnsi="Arial" w:cs="Arial"/>
                <w:b/>
                <w:bCs/>
                <w:sz w:val="12"/>
                <w:szCs w:val="8"/>
                <w:lang w:eastAsia="sq-AL"/>
              </w:rPr>
              <w:t>PROGRAMI I PËRGJITHSHËM ANALITIK I PROJEKTAKTEVE PËR VITIN 2026</w:t>
            </w:r>
            <w:bookmarkEnd w:id="6"/>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66A2EA6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w:t>
            </w:r>
          </w:p>
        </w:tc>
      </w:tr>
      <w:tr w:rsidR="00350C6B" w:rsidRPr="00B6793F" w14:paraId="1D8EAF03" w14:textId="77777777" w:rsidTr="00350C6B">
        <w:trPr>
          <w:trHeight w:val="180"/>
          <w:jc w:val="center"/>
        </w:trPr>
        <w:tc>
          <w:tcPr>
            <w:tcW w:w="4483"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497230B2" w14:textId="77777777" w:rsidR="00350C6B" w:rsidRPr="00B6793F" w:rsidRDefault="00350C6B" w:rsidP="00350C6B">
            <w:pPr>
              <w:spacing w:after="0" w:line="240" w:lineRule="auto"/>
              <w:jc w:val="center"/>
              <w:rPr>
                <w:rFonts w:ascii="Arial" w:eastAsia="Times New Roman" w:hAnsi="Arial" w:cs="Arial"/>
                <w:b/>
                <w:bCs/>
                <w:sz w:val="12"/>
                <w:szCs w:val="8"/>
                <w:lang w:eastAsia="sq-AL"/>
              </w:rPr>
            </w:pPr>
            <w:r w:rsidRPr="00B6793F">
              <w:rPr>
                <w:rFonts w:ascii="Arial" w:eastAsia="Times New Roman" w:hAnsi="Arial" w:cs="Arial"/>
                <w:b/>
                <w:bCs/>
                <w:sz w:val="12"/>
                <w:szCs w:val="8"/>
                <w:lang w:eastAsia="sq-AL"/>
              </w:rPr>
              <w:t>MINISTRIA E MBROJTJES</w:t>
            </w:r>
          </w:p>
        </w:tc>
        <w:tc>
          <w:tcPr>
            <w:tcW w:w="517" w:type="pct"/>
            <w:tcBorders>
              <w:top w:val="nil"/>
              <w:left w:val="nil"/>
              <w:bottom w:val="single" w:sz="4" w:space="0" w:color="auto"/>
              <w:right w:val="single" w:sz="4" w:space="0" w:color="auto"/>
            </w:tcBorders>
            <w:shd w:val="clear" w:color="auto" w:fill="auto"/>
            <w:vAlign w:val="center"/>
            <w:hideMark/>
          </w:tcPr>
          <w:p w14:paraId="3CC2F06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w:t>
            </w:r>
          </w:p>
        </w:tc>
      </w:tr>
      <w:tr w:rsidR="00350C6B" w:rsidRPr="00B6793F" w14:paraId="1CAD0D15"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000000" w:fill="C00000"/>
            <w:vAlign w:val="center"/>
            <w:hideMark/>
          </w:tcPr>
          <w:p w14:paraId="05DCD405"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Nr.</w:t>
            </w:r>
          </w:p>
        </w:tc>
        <w:tc>
          <w:tcPr>
            <w:tcW w:w="481" w:type="pct"/>
            <w:tcBorders>
              <w:top w:val="nil"/>
              <w:left w:val="nil"/>
              <w:bottom w:val="single" w:sz="4" w:space="0" w:color="auto"/>
              <w:right w:val="single" w:sz="4" w:space="0" w:color="auto"/>
            </w:tcBorders>
            <w:shd w:val="clear" w:color="000000" w:fill="C00000"/>
            <w:vAlign w:val="center"/>
            <w:hideMark/>
          </w:tcPr>
          <w:p w14:paraId="03BE73B3"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Titulli i projektaktit</w:t>
            </w:r>
          </w:p>
        </w:tc>
        <w:tc>
          <w:tcPr>
            <w:tcW w:w="394" w:type="pct"/>
            <w:tcBorders>
              <w:top w:val="nil"/>
              <w:left w:val="nil"/>
              <w:bottom w:val="single" w:sz="4" w:space="0" w:color="auto"/>
              <w:right w:val="single" w:sz="4" w:space="0" w:color="auto"/>
            </w:tcBorders>
            <w:shd w:val="clear" w:color="000000" w:fill="C00000"/>
            <w:vAlign w:val="center"/>
            <w:hideMark/>
          </w:tcPr>
          <w:p w14:paraId="3C695020"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Lloji i projektaktit</w:t>
            </w:r>
          </w:p>
        </w:tc>
        <w:tc>
          <w:tcPr>
            <w:tcW w:w="338" w:type="pct"/>
            <w:tcBorders>
              <w:top w:val="nil"/>
              <w:left w:val="nil"/>
              <w:bottom w:val="single" w:sz="4" w:space="0" w:color="auto"/>
              <w:right w:val="single" w:sz="4" w:space="0" w:color="auto"/>
            </w:tcBorders>
            <w:shd w:val="clear" w:color="000000" w:fill="C00000"/>
            <w:vAlign w:val="center"/>
            <w:hideMark/>
          </w:tcPr>
          <w:p w14:paraId="2F33BB03"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Ministri propozues</w:t>
            </w:r>
          </w:p>
        </w:tc>
        <w:tc>
          <w:tcPr>
            <w:tcW w:w="363" w:type="pct"/>
            <w:tcBorders>
              <w:top w:val="nil"/>
              <w:left w:val="nil"/>
              <w:bottom w:val="single" w:sz="4" w:space="0" w:color="auto"/>
              <w:right w:val="single" w:sz="4" w:space="0" w:color="auto"/>
            </w:tcBorders>
            <w:shd w:val="clear" w:color="000000" w:fill="C00000"/>
            <w:vAlign w:val="center"/>
            <w:hideMark/>
          </w:tcPr>
          <w:p w14:paraId="6E9A1E54"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Katërmujori</w:t>
            </w:r>
          </w:p>
        </w:tc>
        <w:tc>
          <w:tcPr>
            <w:tcW w:w="598" w:type="pct"/>
            <w:tcBorders>
              <w:top w:val="nil"/>
              <w:left w:val="nil"/>
              <w:bottom w:val="single" w:sz="4" w:space="0" w:color="auto"/>
              <w:right w:val="single" w:sz="4" w:space="0" w:color="auto"/>
            </w:tcBorders>
            <w:shd w:val="clear" w:color="000000" w:fill="C00000"/>
            <w:vAlign w:val="center"/>
            <w:hideMark/>
          </w:tcPr>
          <w:p w14:paraId="298A7E38"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Arsyet kryesore për propozimin e projektaktit</w:t>
            </w:r>
          </w:p>
        </w:tc>
        <w:tc>
          <w:tcPr>
            <w:tcW w:w="478" w:type="pct"/>
            <w:tcBorders>
              <w:top w:val="nil"/>
              <w:left w:val="nil"/>
              <w:bottom w:val="single" w:sz="4" w:space="0" w:color="auto"/>
              <w:right w:val="single" w:sz="4" w:space="0" w:color="auto"/>
            </w:tcBorders>
            <w:shd w:val="clear" w:color="000000" w:fill="C00000"/>
            <w:vAlign w:val="center"/>
            <w:hideMark/>
          </w:tcPr>
          <w:p w14:paraId="4118EE01"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 xml:space="preserve">Çështjet kryesore që parashikon të rregullojë projektakti </w:t>
            </w:r>
          </w:p>
        </w:tc>
        <w:tc>
          <w:tcPr>
            <w:tcW w:w="373" w:type="pct"/>
            <w:tcBorders>
              <w:top w:val="nil"/>
              <w:left w:val="nil"/>
              <w:bottom w:val="single" w:sz="4" w:space="0" w:color="auto"/>
              <w:right w:val="single" w:sz="4" w:space="0" w:color="auto"/>
            </w:tcBorders>
            <w:shd w:val="clear" w:color="000000" w:fill="C00000"/>
            <w:vAlign w:val="center"/>
            <w:hideMark/>
          </w:tcPr>
          <w:p w14:paraId="746F7706"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parashikuar projektakti në PKIE?</w:t>
            </w:r>
            <w:r w:rsidRPr="00B6793F">
              <w:rPr>
                <w:rFonts w:ascii="Arial" w:eastAsia="Times New Roman" w:hAnsi="Arial" w:cs="Arial"/>
                <w:b/>
                <w:bCs/>
                <w:sz w:val="8"/>
                <w:szCs w:val="8"/>
                <w:lang w:eastAsia="sq-AL"/>
              </w:rPr>
              <w:br/>
              <w:t>Nëse po, të specifikohet kapitulli përkatës</w:t>
            </w:r>
          </w:p>
        </w:tc>
        <w:tc>
          <w:tcPr>
            <w:tcW w:w="451" w:type="pct"/>
            <w:tcBorders>
              <w:top w:val="nil"/>
              <w:left w:val="nil"/>
              <w:bottom w:val="single" w:sz="4" w:space="0" w:color="auto"/>
              <w:right w:val="single" w:sz="4" w:space="0" w:color="auto"/>
            </w:tcBorders>
            <w:shd w:val="clear" w:color="000000" w:fill="C00000"/>
            <w:vAlign w:val="center"/>
            <w:hideMark/>
          </w:tcPr>
          <w:p w14:paraId="73361923"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Përputhshmëria e projektaktit me programin politik qeverisës 2025-2029</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përputhet, të jepet  referenca e saktë në progam</w:t>
            </w:r>
          </w:p>
        </w:tc>
        <w:tc>
          <w:tcPr>
            <w:tcW w:w="336" w:type="pct"/>
            <w:tcBorders>
              <w:top w:val="nil"/>
              <w:left w:val="nil"/>
              <w:bottom w:val="single" w:sz="4" w:space="0" w:color="auto"/>
              <w:right w:val="single" w:sz="4" w:space="0" w:color="auto"/>
            </w:tcBorders>
            <w:shd w:val="clear" w:color="000000" w:fill="C00000"/>
            <w:vAlign w:val="center"/>
            <w:hideMark/>
          </w:tcPr>
          <w:p w14:paraId="7D6F4C92"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akt i një rëndësie të veçantë e prioritare?</w:t>
            </w:r>
          </w:p>
        </w:tc>
        <w:tc>
          <w:tcPr>
            <w:tcW w:w="493" w:type="pct"/>
            <w:tcBorders>
              <w:top w:val="nil"/>
              <w:left w:val="nil"/>
              <w:bottom w:val="single" w:sz="4" w:space="0" w:color="auto"/>
              <w:right w:val="single" w:sz="4" w:space="0" w:color="auto"/>
            </w:tcBorders>
            <w:shd w:val="clear" w:color="000000" w:fill="C00000"/>
            <w:vAlign w:val="center"/>
            <w:hideMark/>
          </w:tcPr>
          <w:p w14:paraId="31D97CCB"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Lidhja e projektaktit me strategjitë kombëtare dhe sektoriale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lidhet, të specifikohen strategjitë</w:t>
            </w:r>
          </w:p>
        </w:tc>
        <w:tc>
          <w:tcPr>
            <w:tcW w:w="517" w:type="pct"/>
            <w:tcBorders>
              <w:top w:val="nil"/>
              <w:left w:val="nil"/>
              <w:bottom w:val="single" w:sz="4" w:space="0" w:color="auto"/>
              <w:right w:val="single" w:sz="4" w:space="0" w:color="auto"/>
            </w:tcBorders>
            <w:shd w:val="clear" w:color="000000" w:fill="C00000"/>
            <w:vAlign w:val="center"/>
            <w:hideMark/>
          </w:tcPr>
          <w:p w14:paraId="7F95460B"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Ndikimet e mundshme ekonomike, financiare, sociale dhe mjedisore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 xml:space="preserve">Përgjigjuni me Po/Jo për ndikimet përkatëse </w:t>
            </w:r>
          </w:p>
        </w:tc>
      </w:tr>
      <w:tr w:rsidR="00350C6B" w:rsidRPr="00B6793F" w14:paraId="0FD7FB92"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35DBA67C"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w:t>
            </w:r>
          </w:p>
        </w:tc>
        <w:tc>
          <w:tcPr>
            <w:tcW w:w="481" w:type="pct"/>
            <w:tcBorders>
              <w:top w:val="nil"/>
              <w:left w:val="nil"/>
              <w:bottom w:val="single" w:sz="4" w:space="0" w:color="auto"/>
              <w:right w:val="single" w:sz="4" w:space="0" w:color="auto"/>
            </w:tcBorders>
            <w:shd w:val="clear" w:color="000000" w:fill="FFFFFF"/>
            <w:vAlign w:val="center"/>
            <w:hideMark/>
          </w:tcPr>
          <w:p w14:paraId="468EC44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ligjin nr. 9210, datë 23.3.2004, “Për statusin e ushtarakut të Forcave të Armatosura të Republikës së Shqipërisë”, i ndryshuar</w:t>
            </w:r>
          </w:p>
        </w:tc>
        <w:tc>
          <w:tcPr>
            <w:tcW w:w="394" w:type="pct"/>
            <w:tcBorders>
              <w:top w:val="nil"/>
              <w:left w:val="nil"/>
              <w:bottom w:val="single" w:sz="4" w:space="0" w:color="auto"/>
              <w:right w:val="single" w:sz="4" w:space="0" w:color="auto"/>
            </w:tcBorders>
            <w:shd w:val="clear" w:color="000000" w:fill="FFFFFF"/>
            <w:vAlign w:val="center"/>
            <w:hideMark/>
          </w:tcPr>
          <w:p w14:paraId="6E0DB55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38" w:type="pct"/>
            <w:tcBorders>
              <w:top w:val="nil"/>
              <w:left w:val="nil"/>
              <w:bottom w:val="single" w:sz="4" w:space="0" w:color="auto"/>
              <w:right w:val="single" w:sz="4" w:space="0" w:color="auto"/>
            </w:tcBorders>
            <w:shd w:val="clear" w:color="000000" w:fill="FFFFFF"/>
            <w:vAlign w:val="center"/>
            <w:hideMark/>
          </w:tcPr>
          <w:p w14:paraId="1EF2654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5424481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0EEF228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  Nenet 78 dhe 83, pika 1, të Kushtetutës të Republik së Shqipërisë.</w:t>
            </w:r>
            <w:r w:rsidRPr="00B6793F">
              <w:rPr>
                <w:rFonts w:ascii="Arial" w:eastAsia="Times New Roman" w:hAnsi="Arial" w:cs="Arial"/>
                <w:sz w:val="8"/>
                <w:szCs w:val="8"/>
                <w:lang w:eastAsia="sq-AL"/>
              </w:rPr>
              <w:br/>
              <w:t>•Rishikimi në tërësi i tij duke bërë harmoznizimin me ligjet e tjera të cilat kanë pësuar ndryshime.</w:t>
            </w:r>
          </w:p>
        </w:tc>
        <w:tc>
          <w:tcPr>
            <w:tcW w:w="478" w:type="pct"/>
            <w:tcBorders>
              <w:top w:val="nil"/>
              <w:left w:val="nil"/>
              <w:bottom w:val="single" w:sz="4" w:space="0" w:color="auto"/>
              <w:right w:val="single" w:sz="4" w:space="0" w:color="auto"/>
            </w:tcBorders>
            <w:shd w:val="clear" w:color="000000" w:fill="FFFFFF"/>
            <w:vAlign w:val="center"/>
            <w:hideMark/>
          </w:tcPr>
          <w:p w14:paraId="070D66E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Prodhimin e kartës së ushtarakut aktiv, në rezervë, në pension dhe studentit ushtarak.</w:t>
            </w:r>
            <w:r w:rsidRPr="00B6793F">
              <w:rPr>
                <w:rFonts w:ascii="Arial" w:eastAsia="Times New Roman" w:hAnsi="Arial" w:cs="Arial"/>
                <w:sz w:val="8"/>
                <w:szCs w:val="8"/>
                <w:lang w:eastAsia="sq-AL"/>
              </w:rPr>
              <w:br/>
              <w:t>• Përfitimin e trajtimit financiar për vjetërsi shërbimi.</w:t>
            </w:r>
            <w:r w:rsidRPr="00B6793F">
              <w:rPr>
                <w:rFonts w:ascii="Arial" w:eastAsia="Times New Roman" w:hAnsi="Arial" w:cs="Arial"/>
                <w:sz w:val="8"/>
                <w:szCs w:val="8"/>
                <w:lang w:eastAsia="sq-AL"/>
              </w:rPr>
              <w:br/>
              <w:t>• Përfitimin e trajtimit financiar në rastet e largimit nga FA-ja, sipas kritereve ligjore.</w:t>
            </w:r>
            <w:r w:rsidRPr="00B6793F">
              <w:rPr>
                <w:rFonts w:ascii="Arial" w:eastAsia="Times New Roman" w:hAnsi="Arial" w:cs="Arial"/>
                <w:sz w:val="8"/>
                <w:szCs w:val="8"/>
                <w:lang w:eastAsia="sq-AL"/>
              </w:rPr>
              <w:br/>
              <w:t xml:space="preserve">• Efektet për personelin që humbin jetën. </w:t>
            </w:r>
            <w:r w:rsidRPr="00B6793F">
              <w:rPr>
                <w:rFonts w:ascii="Arial" w:eastAsia="Times New Roman" w:hAnsi="Arial" w:cs="Arial"/>
                <w:sz w:val="8"/>
                <w:szCs w:val="8"/>
                <w:lang w:eastAsia="sq-AL"/>
              </w:rPr>
              <w:br/>
              <w:t>• Stërvitje, trajnime e kurse afatshkurtra.</w:t>
            </w:r>
          </w:p>
        </w:tc>
        <w:tc>
          <w:tcPr>
            <w:tcW w:w="373" w:type="pct"/>
            <w:tcBorders>
              <w:top w:val="nil"/>
              <w:left w:val="nil"/>
              <w:bottom w:val="single" w:sz="4" w:space="0" w:color="auto"/>
              <w:right w:val="single" w:sz="4" w:space="0" w:color="auto"/>
            </w:tcBorders>
            <w:shd w:val="clear" w:color="000000" w:fill="FFFFFF"/>
            <w:vAlign w:val="center"/>
            <w:hideMark/>
          </w:tcPr>
          <w:p w14:paraId="283139B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037F986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w:t>
            </w:r>
          </w:p>
        </w:tc>
        <w:tc>
          <w:tcPr>
            <w:tcW w:w="336" w:type="pct"/>
            <w:tcBorders>
              <w:top w:val="nil"/>
              <w:left w:val="nil"/>
              <w:bottom w:val="single" w:sz="4" w:space="0" w:color="auto"/>
              <w:right w:val="single" w:sz="4" w:space="0" w:color="auto"/>
            </w:tcBorders>
            <w:shd w:val="clear" w:color="000000" w:fill="FFFFFF"/>
            <w:vAlign w:val="center"/>
            <w:hideMark/>
          </w:tcPr>
          <w:p w14:paraId="5106F52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12F86A9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Ushtarake</w:t>
            </w:r>
          </w:p>
        </w:tc>
        <w:tc>
          <w:tcPr>
            <w:tcW w:w="517" w:type="pct"/>
            <w:tcBorders>
              <w:top w:val="nil"/>
              <w:left w:val="nil"/>
              <w:bottom w:val="single" w:sz="4" w:space="0" w:color="auto"/>
              <w:right w:val="single" w:sz="4" w:space="0" w:color="auto"/>
            </w:tcBorders>
            <w:shd w:val="clear" w:color="000000" w:fill="FFFFFF"/>
            <w:vAlign w:val="center"/>
            <w:hideMark/>
          </w:tcPr>
          <w:p w14:paraId="5F1DA88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Financiar, Social</w:t>
            </w:r>
            <w:r w:rsidRPr="00B6793F">
              <w:rPr>
                <w:rFonts w:ascii="Arial" w:eastAsia="Times New Roman" w:hAnsi="Arial" w:cs="Arial"/>
                <w:sz w:val="8"/>
                <w:szCs w:val="8"/>
                <w:lang w:eastAsia="sq-AL"/>
              </w:rPr>
              <w:br/>
              <w:t>•Ndryshimet e propozuara shoqërohen me efekt financiar, vlera e të cilit është 166.787.900 lekë në vit. Efekti financiar është i përfshirë në PBA për vitin 2026-2028, në Programin Buxhetor "Forcat e Luftimit".</w:t>
            </w:r>
            <w:r w:rsidRPr="00B6793F">
              <w:rPr>
                <w:rFonts w:ascii="Arial" w:eastAsia="Times New Roman" w:hAnsi="Arial" w:cs="Arial"/>
                <w:sz w:val="8"/>
                <w:szCs w:val="8"/>
                <w:lang w:eastAsia="sq-AL"/>
              </w:rPr>
              <w:br/>
              <w:t>•Përmirësim i përfitimeve të ushtarakëve</w:t>
            </w:r>
          </w:p>
        </w:tc>
      </w:tr>
      <w:tr w:rsidR="00350C6B" w:rsidRPr="00B6793F" w14:paraId="52A2ED86"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BDADB6A"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w:t>
            </w:r>
          </w:p>
        </w:tc>
        <w:tc>
          <w:tcPr>
            <w:tcW w:w="481" w:type="pct"/>
            <w:tcBorders>
              <w:top w:val="nil"/>
              <w:left w:val="nil"/>
              <w:bottom w:val="single" w:sz="4" w:space="0" w:color="auto"/>
              <w:right w:val="single" w:sz="4" w:space="0" w:color="auto"/>
            </w:tcBorders>
            <w:shd w:val="clear" w:color="000000" w:fill="FFFFFF"/>
            <w:vAlign w:val="center"/>
            <w:hideMark/>
          </w:tcPr>
          <w:p w14:paraId="4620675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ligjin nr.173/2014 "Për disiplinën në Forcat e Armatosura të Republikës së Shqipërisë" i ndryshuar</w:t>
            </w:r>
          </w:p>
        </w:tc>
        <w:tc>
          <w:tcPr>
            <w:tcW w:w="394" w:type="pct"/>
            <w:tcBorders>
              <w:top w:val="nil"/>
              <w:left w:val="nil"/>
              <w:bottom w:val="single" w:sz="4" w:space="0" w:color="auto"/>
              <w:right w:val="single" w:sz="4" w:space="0" w:color="auto"/>
            </w:tcBorders>
            <w:shd w:val="clear" w:color="000000" w:fill="FFFFFF"/>
            <w:vAlign w:val="center"/>
            <w:hideMark/>
          </w:tcPr>
          <w:p w14:paraId="642A76B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38" w:type="pct"/>
            <w:tcBorders>
              <w:top w:val="nil"/>
              <w:left w:val="nil"/>
              <w:bottom w:val="single" w:sz="4" w:space="0" w:color="auto"/>
              <w:right w:val="single" w:sz="4" w:space="0" w:color="auto"/>
            </w:tcBorders>
            <w:shd w:val="clear" w:color="000000" w:fill="FFFFFF"/>
            <w:vAlign w:val="center"/>
            <w:hideMark/>
          </w:tcPr>
          <w:p w14:paraId="4C18FDB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75CAD21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00E9959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  Nenet 78 dhe 83, pika 1, të Kushtetutës të Republik së Shqipërisë.</w:t>
            </w:r>
            <w:r w:rsidRPr="00B6793F">
              <w:rPr>
                <w:rFonts w:ascii="Arial" w:eastAsia="Times New Roman" w:hAnsi="Arial" w:cs="Arial"/>
                <w:sz w:val="8"/>
                <w:szCs w:val="8"/>
                <w:lang w:eastAsia="sq-AL"/>
              </w:rPr>
              <w:br/>
              <w:t>•Ky projektligj vjen si nevojë e zgjidhjes së problematikave të reja, të patrajtuara nga ligji aktual, i cili kërkon ndërhyrje për shkak të implementimit të strukturës së re. Dinamika të reja, të cilat kanë penguar realizimin e përforcimit të disiplinës në Forcat e Armatosura, sipas ligjit nr.173/2014, adresohen nga ky projektligj që njëkohësisht shton klasifikimin e masave disiplinore kur shkelja kryhet ne misione jashtë vendit</w:t>
            </w:r>
          </w:p>
        </w:tc>
        <w:tc>
          <w:tcPr>
            <w:tcW w:w="478" w:type="pct"/>
            <w:tcBorders>
              <w:top w:val="nil"/>
              <w:left w:val="nil"/>
              <w:bottom w:val="single" w:sz="4" w:space="0" w:color="auto"/>
              <w:right w:val="single" w:sz="4" w:space="0" w:color="auto"/>
            </w:tcBorders>
            <w:shd w:val="clear" w:color="000000" w:fill="FFFFFF"/>
            <w:vAlign w:val="center"/>
            <w:hideMark/>
          </w:tcPr>
          <w:p w14:paraId="1C1BA8E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•Arsyet e rishikimit të këtij ligji lidhen më së shumti me rregullime teknike dhe harmonizim me teknologji me ligjet e tjera që normojnë aktivitetin e FARSH</w:t>
            </w:r>
          </w:p>
        </w:tc>
        <w:tc>
          <w:tcPr>
            <w:tcW w:w="373" w:type="pct"/>
            <w:tcBorders>
              <w:top w:val="nil"/>
              <w:left w:val="nil"/>
              <w:bottom w:val="single" w:sz="4" w:space="0" w:color="auto"/>
              <w:right w:val="single" w:sz="4" w:space="0" w:color="auto"/>
            </w:tcBorders>
            <w:shd w:val="clear" w:color="000000" w:fill="FFFFFF"/>
            <w:vAlign w:val="center"/>
            <w:hideMark/>
          </w:tcPr>
          <w:p w14:paraId="6C2C705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7FDF136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2BF7816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512B139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7C9A9DC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01E1255A"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4F7F039F"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3</w:t>
            </w:r>
          </w:p>
        </w:tc>
        <w:tc>
          <w:tcPr>
            <w:tcW w:w="481" w:type="pct"/>
            <w:tcBorders>
              <w:top w:val="nil"/>
              <w:left w:val="nil"/>
              <w:bottom w:val="single" w:sz="4" w:space="0" w:color="auto"/>
              <w:right w:val="single" w:sz="4" w:space="0" w:color="auto"/>
            </w:tcBorders>
            <w:shd w:val="clear" w:color="000000" w:fill="FFFFFF"/>
            <w:vAlign w:val="center"/>
            <w:hideMark/>
          </w:tcPr>
          <w:p w14:paraId="56BAD1B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nr.742, datë 16.10.2012“Për organizimin dhe funksionimin e Qendrës Kombëtare të Kërkim-Shpëtimit”</w:t>
            </w:r>
          </w:p>
        </w:tc>
        <w:tc>
          <w:tcPr>
            <w:tcW w:w="394" w:type="pct"/>
            <w:tcBorders>
              <w:top w:val="nil"/>
              <w:left w:val="nil"/>
              <w:bottom w:val="single" w:sz="4" w:space="0" w:color="auto"/>
              <w:right w:val="single" w:sz="4" w:space="0" w:color="auto"/>
            </w:tcBorders>
            <w:shd w:val="clear" w:color="000000" w:fill="FFFFFF"/>
            <w:vAlign w:val="center"/>
            <w:hideMark/>
          </w:tcPr>
          <w:p w14:paraId="580C22F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64A6FEA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7584361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6C1BFFF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•Në zbatim të pikës 2 të nenit 5 e të pikës 2 të nenit  7 të ligjit nr. 10  435,  datë  23.6.2011  “Për shërbimin  e  kërkim-shpëtimit në Republikën e Shqipërisë ”, të ndryshuar</w:t>
            </w:r>
          </w:p>
        </w:tc>
        <w:tc>
          <w:tcPr>
            <w:tcW w:w="478" w:type="pct"/>
            <w:tcBorders>
              <w:top w:val="nil"/>
              <w:left w:val="nil"/>
              <w:bottom w:val="single" w:sz="4" w:space="0" w:color="auto"/>
              <w:right w:val="single" w:sz="4" w:space="0" w:color="auto"/>
            </w:tcBorders>
            <w:shd w:val="clear" w:color="000000" w:fill="FFFFFF"/>
            <w:vAlign w:val="center"/>
            <w:hideMark/>
          </w:tcPr>
          <w:p w14:paraId="0938CC5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•Me ndryshimet e ligjit lind nevoja dhe per organizimin dhe funksionimin e QKKSH.</w:t>
            </w:r>
          </w:p>
        </w:tc>
        <w:tc>
          <w:tcPr>
            <w:tcW w:w="373" w:type="pct"/>
            <w:tcBorders>
              <w:top w:val="nil"/>
              <w:left w:val="nil"/>
              <w:bottom w:val="single" w:sz="4" w:space="0" w:color="auto"/>
              <w:right w:val="single" w:sz="4" w:space="0" w:color="auto"/>
            </w:tcBorders>
            <w:shd w:val="clear" w:color="000000" w:fill="FFFFFF"/>
            <w:vAlign w:val="center"/>
            <w:hideMark/>
          </w:tcPr>
          <w:p w14:paraId="6304762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3D34BD3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2B4C7A3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2FF88A0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6CD3514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02257FC"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35628F30"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4</w:t>
            </w:r>
          </w:p>
        </w:tc>
        <w:tc>
          <w:tcPr>
            <w:tcW w:w="481" w:type="pct"/>
            <w:tcBorders>
              <w:top w:val="nil"/>
              <w:left w:val="nil"/>
              <w:bottom w:val="single" w:sz="4" w:space="0" w:color="auto"/>
              <w:right w:val="single" w:sz="4" w:space="0" w:color="auto"/>
            </w:tcBorders>
            <w:shd w:val="clear" w:color="000000" w:fill="FFFFFF"/>
            <w:vAlign w:val="center"/>
            <w:hideMark/>
          </w:tcPr>
          <w:p w14:paraId="211C05B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detyrimin e subjekteve të licencuara, për sigurimin e një rezerve të caktuar armatimesh dhe pajisjesh teknologjike, për Forcat e Armatosura të Republikës së Shqipërisë"</w:t>
            </w:r>
          </w:p>
        </w:tc>
        <w:tc>
          <w:tcPr>
            <w:tcW w:w="394" w:type="pct"/>
            <w:tcBorders>
              <w:top w:val="nil"/>
              <w:left w:val="nil"/>
              <w:bottom w:val="single" w:sz="4" w:space="0" w:color="auto"/>
              <w:right w:val="single" w:sz="4" w:space="0" w:color="auto"/>
            </w:tcBorders>
            <w:shd w:val="clear" w:color="000000" w:fill="FFFFFF"/>
            <w:vAlign w:val="center"/>
            <w:hideMark/>
          </w:tcPr>
          <w:p w14:paraId="4B1365A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4230091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47D9AB7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0494EF7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•Në zbatim të pikës 2, të nenit 9, të ligjit 87/2024 "Për rregullimin e prodhimit, tregtimit, kërkimit dhe zhvillimit të armëve, municioneve, pajisjeve dhe teknologjive ushtarake"</w:t>
            </w:r>
          </w:p>
        </w:tc>
        <w:tc>
          <w:tcPr>
            <w:tcW w:w="478" w:type="pct"/>
            <w:tcBorders>
              <w:top w:val="nil"/>
              <w:left w:val="nil"/>
              <w:bottom w:val="single" w:sz="4" w:space="0" w:color="auto"/>
              <w:right w:val="single" w:sz="4" w:space="0" w:color="auto"/>
            </w:tcBorders>
            <w:shd w:val="clear" w:color="000000" w:fill="FFFFFF"/>
            <w:vAlign w:val="center"/>
            <w:hideMark/>
          </w:tcPr>
          <w:p w14:paraId="60B2A6C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•Në rastin e gjendjes së luftës ose në kushtet e një rreziku të afërt dhe konkret të një agresioni ushtarak ndaj Republikës së Shqipërisë ose aleatëve të saj strategjikë, subjektet e licencuara kanë detyrimin që të sigurojnë një rezervë të caktuar armatimesh dhe pajisjesh teknologjike për Forcat e Armatosura të Republikës së Shqipërisë.</w:t>
            </w:r>
          </w:p>
        </w:tc>
        <w:tc>
          <w:tcPr>
            <w:tcW w:w="373" w:type="pct"/>
            <w:tcBorders>
              <w:top w:val="nil"/>
              <w:left w:val="nil"/>
              <w:bottom w:val="single" w:sz="4" w:space="0" w:color="auto"/>
              <w:right w:val="single" w:sz="4" w:space="0" w:color="auto"/>
            </w:tcBorders>
            <w:shd w:val="clear" w:color="000000" w:fill="FFFFFF"/>
            <w:vAlign w:val="center"/>
            <w:hideMark/>
          </w:tcPr>
          <w:p w14:paraId="40B418B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5826410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4E99D47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7E784C5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e Sigurisë Kombëtare</w:t>
            </w:r>
          </w:p>
        </w:tc>
        <w:tc>
          <w:tcPr>
            <w:tcW w:w="517" w:type="pct"/>
            <w:tcBorders>
              <w:top w:val="nil"/>
              <w:left w:val="nil"/>
              <w:bottom w:val="single" w:sz="4" w:space="0" w:color="auto"/>
              <w:right w:val="single" w:sz="4" w:space="0" w:color="auto"/>
            </w:tcBorders>
            <w:shd w:val="clear" w:color="000000" w:fill="FFFFFF"/>
            <w:vAlign w:val="center"/>
            <w:hideMark/>
          </w:tcPr>
          <w:p w14:paraId="68159C8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76065D8D"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09624D4"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5</w:t>
            </w:r>
          </w:p>
        </w:tc>
        <w:tc>
          <w:tcPr>
            <w:tcW w:w="481" w:type="pct"/>
            <w:tcBorders>
              <w:top w:val="nil"/>
              <w:left w:val="nil"/>
              <w:bottom w:val="single" w:sz="4" w:space="0" w:color="auto"/>
              <w:right w:val="single" w:sz="4" w:space="0" w:color="auto"/>
            </w:tcBorders>
            <w:shd w:val="clear" w:color="000000" w:fill="FFFFFF"/>
            <w:vAlign w:val="center"/>
            <w:hideMark/>
          </w:tcPr>
          <w:p w14:paraId="7B0FC16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miratimin e listës së mallrave të përjashtuara nga taksat doganore, të cilat shërbejnë drejtpërdrejt për prodhimin e armatimit ushtarak"</w:t>
            </w:r>
          </w:p>
        </w:tc>
        <w:tc>
          <w:tcPr>
            <w:tcW w:w="394" w:type="pct"/>
            <w:tcBorders>
              <w:top w:val="nil"/>
              <w:left w:val="nil"/>
              <w:bottom w:val="single" w:sz="4" w:space="0" w:color="auto"/>
              <w:right w:val="single" w:sz="4" w:space="0" w:color="auto"/>
            </w:tcBorders>
            <w:shd w:val="clear" w:color="000000" w:fill="FFFFFF"/>
            <w:vAlign w:val="center"/>
            <w:hideMark/>
          </w:tcPr>
          <w:p w14:paraId="267AF42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55F4E89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2F8C993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3FDEA61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•Në zbatim të shkronjës "c", të pikës 1, të nenit 26, të ligjit 87/2024 "Për rregullimin e prodhimit, tregtimit, kërkimit dhe zhvillimit të armëve, municioneve, pajisjeve dhe teknologjive ushtarake"</w:t>
            </w:r>
          </w:p>
        </w:tc>
        <w:tc>
          <w:tcPr>
            <w:tcW w:w="478" w:type="pct"/>
            <w:tcBorders>
              <w:top w:val="nil"/>
              <w:left w:val="nil"/>
              <w:bottom w:val="single" w:sz="4" w:space="0" w:color="auto"/>
              <w:right w:val="single" w:sz="4" w:space="0" w:color="auto"/>
            </w:tcBorders>
            <w:shd w:val="clear" w:color="000000" w:fill="FFFFFF"/>
            <w:vAlign w:val="center"/>
            <w:hideMark/>
          </w:tcPr>
          <w:p w14:paraId="5B96119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•Përcaktimi dhe miratimi i listës së mallrave të përjashtuara </w:t>
            </w:r>
            <w:r w:rsidRPr="00B6793F">
              <w:rPr>
                <w:rFonts w:ascii="Arial" w:eastAsia="Times New Roman" w:hAnsi="Arial" w:cs="Arial"/>
                <w:sz w:val="8"/>
                <w:szCs w:val="8"/>
                <w:lang w:eastAsia="sq-AL"/>
              </w:rPr>
              <w:br/>
              <w:t xml:space="preserve">•Lehtesimi fiskal për indrustrinë e mbrojtjes </w:t>
            </w:r>
            <w:r w:rsidRPr="00B6793F">
              <w:rPr>
                <w:rFonts w:ascii="Arial" w:eastAsia="Times New Roman" w:hAnsi="Arial" w:cs="Arial"/>
                <w:sz w:val="8"/>
                <w:szCs w:val="8"/>
                <w:lang w:eastAsia="sq-AL"/>
              </w:rPr>
              <w:br/>
              <w:t>•Mbeshtetja për zhvillimin e industrisë së mbrojtjes.</w:t>
            </w:r>
          </w:p>
        </w:tc>
        <w:tc>
          <w:tcPr>
            <w:tcW w:w="373" w:type="pct"/>
            <w:tcBorders>
              <w:top w:val="nil"/>
              <w:left w:val="nil"/>
              <w:bottom w:val="single" w:sz="4" w:space="0" w:color="auto"/>
              <w:right w:val="single" w:sz="4" w:space="0" w:color="auto"/>
            </w:tcBorders>
            <w:shd w:val="clear" w:color="000000" w:fill="FFFFFF"/>
            <w:vAlign w:val="center"/>
            <w:hideMark/>
          </w:tcPr>
          <w:p w14:paraId="272E0D9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2CCC797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3B5C2CE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5A34A5D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30CAFAD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153514BE"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D3FDAB0"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6</w:t>
            </w:r>
          </w:p>
        </w:tc>
        <w:tc>
          <w:tcPr>
            <w:tcW w:w="481" w:type="pct"/>
            <w:tcBorders>
              <w:top w:val="nil"/>
              <w:left w:val="nil"/>
              <w:bottom w:val="single" w:sz="4" w:space="0" w:color="auto"/>
              <w:right w:val="single" w:sz="4" w:space="0" w:color="auto"/>
            </w:tcBorders>
            <w:shd w:val="clear" w:color="000000" w:fill="FFFFFF"/>
            <w:vAlign w:val="center"/>
            <w:hideMark/>
          </w:tcPr>
          <w:p w14:paraId="45B5848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kritereve, rregullave, etiketën apo pullën unike të markimit, procedurën dhe mënyrën e markimit dhe të gjurmimit, si dhe autoritetin për realizimin e markimit dhe gjurmueshmërisë"</w:t>
            </w:r>
          </w:p>
        </w:tc>
        <w:tc>
          <w:tcPr>
            <w:tcW w:w="394" w:type="pct"/>
            <w:tcBorders>
              <w:top w:val="nil"/>
              <w:left w:val="nil"/>
              <w:bottom w:val="single" w:sz="4" w:space="0" w:color="auto"/>
              <w:right w:val="single" w:sz="4" w:space="0" w:color="auto"/>
            </w:tcBorders>
            <w:shd w:val="clear" w:color="000000" w:fill="FFFFFF"/>
            <w:vAlign w:val="center"/>
            <w:hideMark/>
          </w:tcPr>
          <w:p w14:paraId="5FA9185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751876E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46969B4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1AD04D3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•Në zbatim të pikës 3, të nenit 16, të ligjit 87/2024 "Për rregullimin e prodhimit, tregtimit, kërkimit dhe zhvillimit të armëve, municioneve, pajisjeve dhe teknologjive ushtarake"</w:t>
            </w:r>
          </w:p>
        </w:tc>
        <w:tc>
          <w:tcPr>
            <w:tcW w:w="478" w:type="pct"/>
            <w:tcBorders>
              <w:top w:val="nil"/>
              <w:left w:val="nil"/>
              <w:bottom w:val="single" w:sz="4" w:space="0" w:color="auto"/>
              <w:right w:val="single" w:sz="4" w:space="0" w:color="auto"/>
            </w:tcBorders>
            <w:shd w:val="clear" w:color="000000" w:fill="FFFFFF"/>
            <w:vAlign w:val="center"/>
            <w:hideMark/>
          </w:tcPr>
          <w:p w14:paraId="442ED69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projektakt synon të rregulloje markimin nëpërmjet shënjës unike në fomë kodi, pulle apo etikete, ose çdo forme tjetër unike identifikimi e individualizimi në armatimin ushtarak, me qëllim identifikimin dhe gjurmimin e tyre.</w:t>
            </w:r>
          </w:p>
        </w:tc>
        <w:tc>
          <w:tcPr>
            <w:tcW w:w="373" w:type="pct"/>
            <w:tcBorders>
              <w:top w:val="nil"/>
              <w:left w:val="nil"/>
              <w:bottom w:val="single" w:sz="4" w:space="0" w:color="auto"/>
              <w:right w:val="single" w:sz="4" w:space="0" w:color="auto"/>
            </w:tcBorders>
            <w:shd w:val="clear" w:color="000000" w:fill="FFFFFF"/>
            <w:vAlign w:val="center"/>
            <w:hideMark/>
          </w:tcPr>
          <w:p w14:paraId="53EB9E7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112A66B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22B3322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4F97DA6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0FA3AD1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FF5B843"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30698362"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7</w:t>
            </w:r>
          </w:p>
        </w:tc>
        <w:tc>
          <w:tcPr>
            <w:tcW w:w="481" w:type="pct"/>
            <w:tcBorders>
              <w:top w:val="nil"/>
              <w:left w:val="nil"/>
              <w:bottom w:val="single" w:sz="4" w:space="0" w:color="auto"/>
              <w:right w:val="single" w:sz="4" w:space="0" w:color="auto"/>
            </w:tcBorders>
            <w:shd w:val="clear" w:color="auto" w:fill="auto"/>
            <w:vAlign w:val="center"/>
            <w:hideMark/>
          </w:tcPr>
          <w:p w14:paraId="5AE20F9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tarifave për lëshimin e dokumenteve ligjore që lidhen me transferimin ndërkombëtar të mallrave ushtarake dhe të artikujve e teknologjive me përdorim të dyfishtë, të cilat lëshohen nga Autoriteti i Kontrollit Shtetëror të Eksporteve "</w:t>
            </w:r>
          </w:p>
        </w:tc>
        <w:tc>
          <w:tcPr>
            <w:tcW w:w="394" w:type="pct"/>
            <w:tcBorders>
              <w:top w:val="nil"/>
              <w:left w:val="nil"/>
              <w:bottom w:val="single" w:sz="4" w:space="0" w:color="auto"/>
              <w:right w:val="single" w:sz="4" w:space="0" w:color="auto"/>
            </w:tcBorders>
            <w:shd w:val="clear" w:color="auto" w:fill="auto"/>
            <w:vAlign w:val="center"/>
            <w:hideMark/>
          </w:tcPr>
          <w:p w14:paraId="2D7C9DD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Projektvendim </w:t>
            </w:r>
          </w:p>
        </w:tc>
        <w:tc>
          <w:tcPr>
            <w:tcW w:w="338" w:type="pct"/>
            <w:tcBorders>
              <w:top w:val="nil"/>
              <w:left w:val="nil"/>
              <w:bottom w:val="single" w:sz="4" w:space="0" w:color="auto"/>
              <w:right w:val="single" w:sz="4" w:space="0" w:color="auto"/>
            </w:tcBorders>
            <w:shd w:val="clear" w:color="auto" w:fill="auto"/>
            <w:vAlign w:val="center"/>
            <w:hideMark/>
          </w:tcPr>
          <w:p w14:paraId="20BF613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6900A82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auto" w:fill="auto"/>
            <w:vAlign w:val="center"/>
            <w:hideMark/>
          </w:tcPr>
          <w:p w14:paraId="5940F7E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1, e nenit 46, të ligjit nr. 46/2018,“Për kontrollin shtetëror të transferimeve ndërkombëtare të mallrave ushtarake dhe të artikujve eteknologjive me përdorim të dyfishtë"</w:t>
            </w:r>
            <w:r w:rsidRPr="00B6793F">
              <w:rPr>
                <w:rFonts w:ascii="Arial" w:eastAsia="Times New Roman" w:hAnsi="Arial" w:cs="Arial"/>
                <w:sz w:val="8"/>
                <w:szCs w:val="8"/>
                <w:lang w:eastAsia="sq-AL"/>
              </w:rPr>
              <w:br/>
              <w:t>•Harmonizimi me vendimin e Këshillit të Ministrave nr. 248, datë 30.04.2025, “Për përcaktimin e llojeve të licencave/certifikatave dhe autorizimeve, të dokumentacionit të aplikimit, formateve të kërkesave të aplikimeve, si dhe të formateve të licencave, autorizimeve dhe certifikatave për transferimet ndërkombëtare të mallrave ushtarake dhe të artikujve e teknologjive me përdorim të dyfishtë, që lëshohen nga Autoriteti i Kontrollit Shtetëror të Eksporteve”</w:t>
            </w:r>
          </w:p>
        </w:tc>
        <w:tc>
          <w:tcPr>
            <w:tcW w:w="478" w:type="pct"/>
            <w:tcBorders>
              <w:top w:val="nil"/>
              <w:left w:val="nil"/>
              <w:bottom w:val="single" w:sz="4" w:space="0" w:color="auto"/>
              <w:right w:val="single" w:sz="4" w:space="0" w:color="auto"/>
            </w:tcBorders>
            <w:shd w:val="clear" w:color="auto" w:fill="auto"/>
            <w:vAlign w:val="center"/>
            <w:hideMark/>
          </w:tcPr>
          <w:p w14:paraId="2C742BA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•Llojet e shërbimeve të ofruara nga AKSHE, në përputhje me VKM nr. 248, datë 30.04.2025.</w:t>
            </w:r>
            <w:r w:rsidRPr="00B6793F">
              <w:rPr>
                <w:rFonts w:ascii="Arial" w:eastAsia="Times New Roman" w:hAnsi="Arial" w:cs="Arial"/>
                <w:sz w:val="8"/>
                <w:szCs w:val="8"/>
                <w:lang w:eastAsia="sq-AL"/>
              </w:rPr>
              <w:br/>
              <w:t>•Vlera e tarifave të aplikimit për secilin shërbim.</w:t>
            </w:r>
          </w:p>
        </w:tc>
        <w:tc>
          <w:tcPr>
            <w:tcW w:w="373" w:type="pct"/>
            <w:tcBorders>
              <w:top w:val="nil"/>
              <w:left w:val="nil"/>
              <w:bottom w:val="single" w:sz="4" w:space="0" w:color="auto"/>
              <w:right w:val="single" w:sz="4" w:space="0" w:color="auto"/>
            </w:tcBorders>
            <w:shd w:val="clear" w:color="auto" w:fill="auto"/>
            <w:vAlign w:val="center"/>
            <w:hideMark/>
          </w:tcPr>
          <w:p w14:paraId="7FBC208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6F38B9F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w:t>
            </w:r>
          </w:p>
        </w:tc>
        <w:tc>
          <w:tcPr>
            <w:tcW w:w="336" w:type="pct"/>
            <w:tcBorders>
              <w:top w:val="nil"/>
              <w:left w:val="nil"/>
              <w:bottom w:val="single" w:sz="4" w:space="0" w:color="auto"/>
              <w:right w:val="single" w:sz="4" w:space="0" w:color="auto"/>
            </w:tcBorders>
            <w:shd w:val="clear" w:color="auto" w:fill="auto"/>
            <w:vAlign w:val="center"/>
            <w:hideMark/>
          </w:tcPr>
          <w:p w14:paraId="6E438B0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303A6CD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për Mospërhapjen e Armëve të dëmtimit në Masë MADM 2025</w:t>
            </w:r>
          </w:p>
        </w:tc>
        <w:tc>
          <w:tcPr>
            <w:tcW w:w="517" w:type="pct"/>
            <w:tcBorders>
              <w:top w:val="nil"/>
              <w:left w:val="nil"/>
              <w:bottom w:val="single" w:sz="4" w:space="0" w:color="auto"/>
              <w:right w:val="single" w:sz="4" w:space="0" w:color="auto"/>
            </w:tcBorders>
            <w:shd w:val="clear" w:color="auto" w:fill="auto"/>
            <w:vAlign w:val="center"/>
            <w:hideMark/>
          </w:tcPr>
          <w:p w14:paraId="4C6DEBA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•Po, Ndikim Ekonomik </w:t>
            </w:r>
            <w:r w:rsidRPr="00B6793F">
              <w:rPr>
                <w:rFonts w:ascii="Arial" w:eastAsia="Times New Roman" w:hAnsi="Arial" w:cs="Arial"/>
                <w:sz w:val="8"/>
                <w:szCs w:val="8"/>
                <w:lang w:eastAsia="sq-AL"/>
              </w:rPr>
              <w:br/>
              <w:t>•Rritje e të ardhurave nga pagesa e tarifave për aplikim.</w:t>
            </w:r>
          </w:p>
        </w:tc>
      </w:tr>
      <w:tr w:rsidR="00350C6B" w:rsidRPr="00B6793F" w14:paraId="15C26F16"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0AAB956"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8</w:t>
            </w:r>
          </w:p>
        </w:tc>
        <w:tc>
          <w:tcPr>
            <w:tcW w:w="481" w:type="pct"/>
            <w:tcBorders>
              <w:top w:val="nil"/>
              <w:left w:val="nil"/>
              <w:bottom w:val="single" w:sz="4" w:space="0" w:color="auto"/>
              <w:right w:val="single" w:sz="4" w:space="0" w:color="auto"/>
            </w:tcBorders>
            <w:shd w:val="clear" w:color="auto" w:fill="auto"/>
            <w:vAlign w:val="center"/>
            <w:hideMark/>
          </w:tcPr>
          <w:p w14:paraId="3094C74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vendimin nr. 181, datë 29.03.2023 të Këshillit të Ministrave “Për pjesëmarrjen e personelit të Forcave të Armatosura të Rapublikës së Shqipërisë në shtabin e kualicionit FOB UNION III, në operacionin ushtarak të NATO-s në Irak (NMI). </w:t>
            </w:r>
          </w:p>
        </w:tc>
        <w:tc>
          <w:tcPr>
            <w:tcW w:w="394" w:type="pct"/>
            <w:tcBorders>
              <w:top w:val="nil"/>
              <w:left w:val="nil"/>
              <w:bottom w:val="single" w:sz="4" w:space="0" w:color="auto"/>
              <w:right w:val="single" w:sz="4" w:space="0" w:color="auto"/>
            </w:tcBorders>
            <w:shd w:val="clear" w:color="auto" w:fill="auto"/>
            <w:vAlign w:val="center"/>
            <w:hideMark/>
          </w:tcPr>
          <w:p w14:paraId="56AE8B2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011CFC4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5007B65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auto" w:fill="auto"/>
            <w:vAlign w:val="center"/>
            <w:hideMark/>
          </w:tcPr>
          <w:p w14:paraId="52EB136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1, e nenit 7, të ligjit nr. 9363, datë24.3.2005, “Për dërgimin e Forcave të Armatosura të Republikës së Shqipërisë jashtë vendit, sidhe për mënyrën e procedurat e vendosjes dhe kalimit të forcave ushtarake të huaja në territorine Republikës së Shqipërisë”, të ndryshuar, dhe shkronja “ç”, e nenit 11, të ligjit nr. 64/2014,“Për pushtetet dhe autoritetet e drejtimit e të komandimit të Forcave të Armatosura tëRepublikës së Shqipërisë”, të ndryshuar.</w:t>
            </w:r>
            <w:r w:rsidRPr="00B6793F">
              <w:rPr>
                <w:rFonts w:ascii="Arial" w:eastAsia="Times New Roman" w:hAnsi="Arial" w:cs="Arial"/>
                <w:sz w:val="8"/>
                <w:szCs w:val="8"/>
                <w:lang w:eastAsia="sq-AL"/>
              </w:rPr>
              <w:br/>
              <w:t xml:space="preserve"> •Mbaron afati i zbatimit në datën 13.04.2026.</w:t>
            </w:r>
          </w:p>
        </w:tc>
        <w:tc>
          <w:tcPr>
            <w:tcW w:w="478" w:type="pct"/>
            <w:tcBorders>
              <w:top w:val="nil"/>
              <w:left w:val="nil"/>
              <w:bottom w:val="single" w:sz="4" w:space="0" w:color="auto"/>
              <w:right w:val="single" w:sz="4" w:space="0" w:color="auto"/>
            </w:tcBorders>
            <w:shd w:val="clear" w:color="auto" w:fill="auto"/>
            <w:vAlign w:val="center"/>
            <w:hideMark/>
          </w:tcPr>
          <w:p w14:paraId="1F55308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Plotësimi me kuader ligjor për pjesëmarrjen e personelit të Forcave të Armatosura të Republikës së Shqipërisë në shtabin e kualicionit FOB UNION III, në operacionin ushtarak të NATO-s në Irak (NMI).</w:t>
            </w:r>
          </w:p>
        </w:tc>
        <w:tc>
          <w:tcPr>
            <w:tcW w:w="373" w:type="pct"/>
            <w:tcBorders>
              <w:top w:val="nil"/>
              <w:left w:val="nil"/>
              <w:bottom w:val="single" w:sz="4" w:space="0" w:color="auto"/>
              <w:right w:val="single" w:sz="4" w:space="0" w:color="auto"/>
            </w:tcBorders>
            <w:shd w:val="clear" w:color="auto" w:fill="auto"/>
            <w:vAlign w:val="center"/>
            <w:hideMark/>
          </w:tcPr>
          <w:p w14:paraId="2232EB5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167BCCC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266B325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7977748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Ushtarake</w:t>
            </w:r>
          </w:p>
        </w:tc>
        <w:tc>
          <w:tcPr>
            <w:tcW w:w="517" w:type="pct"/>
            <w:tcBorders>
              <w:top w:val="nil"/>
              <w:left w:val="nil"/>
              <w:bottom w:val="single" w:sz="4" w:space="0" w:color="auto"/>
              <w:right w:val="single" w:sz="4" w:space="0" w:color="auto"/>
            </w:tcBorders>
            <w:shd w:val="clear" w:color="auto" w:fill="auto"/>
            <w:vAlign w:val="center"/>
            <w:hideMark/>
          </w:tcPr>
          <w:p w14:paraId="76BEEE2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8FA7352"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000000" w:fill="FFFFFF"/>
            <w:noWrap/>
            <w:vAlign w:val="center"/>
            <w:hideMark/>
          </w:tcPr>
          <w:p w14:paraId="5F2C65A6"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9</w:t>
            </w:r>
          </w:p>
        </w:tc>
        <w:tc>
          <w:tcPr>
            <w:tcW w:w="481" w:type="pct"/>
            <w:tcBorders>
              <w:top w:val="nil"/>
              <w:left w:val="nil"/>
              <w:bottom w:val="single" w:sz="4" w:space="0" w:color="auto"/>
              <w:right w:val="single" w:sz="4" w:space="0" w:color="auto"/>
            </w:tcBorders>
            <w:shd w:val="clear" w:color="000000" w:fill="FFFFFF"/>
            <w:vAlign w:val="center"/>
            <w:hideMark/>
          </w:tcPr>
          <w:p w14:paraId="4544762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 628, datë 25.9.2019 "Për miratimin e dokumentit të Rishikimit të Strategjisë së Mbrojtjes së Republikës së Shqipërisë"</w:t>
            </w:r>
          </w:p>
        </w:tc>
        <w:tc>
          <w:tcPr>
            <w:tcW w:w="394" w:type="pct"/>
            <w:tcBorders>
              <w:top w:val="nil"/>
              <w:left w:val="nil"/>
              <w:bottom w:val="single" w:sz="4" w:space="0" w:color="auto"/>
              <w:right w:val="single" w:sz="4" w:space="0" w:color="auto"/>
            </w:tcBorders>
            <w:shd w:val="clear" w:color="000000" w:fill="FFFFFF"/>
            <w:noWrap/>
            <w:vAlign w:val="center"/>
            <w:hideMark/>
          </w:tcPr>
          <w:p w14:paraId="6E75C91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37B0CBD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1489492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71C7562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Shkronja “a”, e pikës 2, të nenit 13, të ligjit nr. 64/2014, “Për pushtetet dhe autoritetet e drejtimit e të komandimit të Forcave të Armatosuratë Republikës së Shqipërisë”, të ndryshuar</w:t>
            </w:r>
            <w:r w:rsidRPr="00B6793F">
              <w:rPr>
                <w:rFonts w:ascii="Arial" w:eastAsia="Times New Roman" w:hAnsi="Arial" w:cs="Arial"/>
                <w:sz w:val="8"/>
                <w:szCs w:val="8"/>
                <w:lang w:eastAsia="sq-AL"/>
              </w:rPr>
              <w:br/>
              <w:t>•Rishikimi i këtij dokumenti bëhet për një periudhë 5 vjeçare duke u bazuar në Strategjinë e Sigurisë Kombëtare.                                                                                                                  • Interesat strategjike kombëtare dhe politikat e mbrojtjes të Republikës së Shqipërisë,  rëndësinë e koordinimit dhe bashkëpunimit ndërmjet institucioneve të sigurisë.</w:t>
            </w:r>
          </w:p>
        </w:tc>
        <w:tc>
          <w:tcPr>
            <w:tcW w:w="478" w:type="pct"/>
            <w:tcBorders>
              <w:top w:val="nil"/>
              <w:left w:val="nil"/>
              <w:bottom w:val="single" w:sz="4" w:space="0" w:color="auto"/>
              <w:right w:val="single" w:sz="4" w:space="0" w:color="auto"/>
            </w:tcBorders>
            <w:shd w:val="clear" w:color="000000" w:fill="FFFFFF"/>
            <w:vAlign w:val="center"/>
            <w:hideMark/>
          </w:tcPr>
          <w:p w14:paraId="0740BD8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•RSM përshkruan interesat strategjike kombëtare dhe politikat e mbrojtjes të Republikës së Shqipërisë, cilësinë e kapaciteteve dhe mjedisin e ri të sigurisë.</w:t>
            </w:r>
          </w:p>
        </w:tc>
        <w:tc>
          <w:tcPr>
            <w:tcW w:w="373" w:type="pct"/>
            <w:tcBorders>
              <w:top w:val="nil"/>
              <w:left w:val="nil"/>
              <w:bottom w:val="single" w:sz="4" w:space="0" w:color="auto"/>
              <w:right w:val="single" w:sz="4" w:space="0" w:color="auto"/>
            </w:tcBorders>
            <w:shd w:val="clear" w:color="000000" w:fill="FFFFFF"/>
            <w:vAlign w:val="center"/>
            <w:hideMark/>
          </w:tcPr>
          <w:p w14:paraId="59B2E5A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3F208E0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5EF4BCD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6DFE57D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e Sigurisë Kombëtare/ Strategjia Ushtarake</w:t>
            </w:r>
          </w:p>
        </w:tc>
        <w:tc>
          <w:tcPr>
            <w:tcW w:w="517" w:type="pct"/>
            <w:tcBorders>
              <w:top w:val="nil"/>
              <w:left w:val="nil"/>
              <w:bottom w:val="single" w:sz="4" w:space="0" w:color="auto"/>
              <w:right w:val="single" w:sz="4" w:space="0" w:color="auto"/>
            </w:tcBorders>
            <w:shd w:val="clear" w:color="000000" w:fill="FFFFFF"/>
            <w:noWrap/>
            <w:vAlign w:val="center"/>
            <w:hideMark/>
          </w:tcPr>
          <w:p w14:paraId="517C4F4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0A46370"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2B26D56D"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10</w:t>
            </w:r>
          </w:p>
        </w:tc>
        <w:tc>
          <w:tcPr>
            <w:tcW w:w="481" w:type="pct"/>
            <w:tcBorders>
              <w:top w:val="nil"/>
              <w:left w:val="nil"/>
              <w:bottom w:val="single" w:sz="4" w:space="0" w:color="auto"/>
              <w:right w:val="single" w:sz="4" w:space="0" w:color="auto"/>
            </w:tcBorders>
            <w:shd w:val="clear" w:color="000000" w:fill="FFFFFF"/>
            <w:vAlign w:val="center"/>
            <w:hideMark/>
          </w:tcPr>
          <w:p w14:paraId="0BD678C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njësimin e gradave ushtarake me funksionet organike në Forcat e Armatosura të Republikës së Shqipërisë”.</w:t>
            </w:r>
          </w:p>
        </w:tc>
        <w:tc>
          <w:tcPr>
            <w:tcW w:w="394" w:type="pct"/>
            <w:tcBorders>
              <w:top w:val="nil"/>
              <w:left w:val="nil"/>
              <w:bottom w:val="single" w:sz="4" w:space="0" w:color="auto"/>
              <w:right w:val="single" w:sz="4" w:space="0" w:color="auto"/>
            </w:tcBorders>
            <w:shd w:val="clear" w:color="000000" w:fill="FFFFFF"/>
            <w:vAlign w:val="center"/>
            <w:hideMark/>
          </w:tcPr>
          <w:p w14:paraId="3DE3933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5E93EF5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6C528DB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3613718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•Neni 23, i ligjit nr. 59/2014, “Për karrierën ushtarake në  Forcate Armatosura të Republikës së Shqipërisë", të ndryshuar.</w:t>
            </w:r>
            <w:r w:rsidRPr="00B6793F">
              <w:rPr>
                <w:rFonts w:ascii="Arial" w:eastAsia="Times New Roman" w:hAnsi="Arial" w:cs="Arial"/>
                <w:sz w:val="8"/>
                <w:szCs w:val="8"/>
                <w:lang w:eastAsia="sq-AL"/>
              </w:rPr>
              <w:br/>
              <w:t xml:space="preserve"> •Ndryshimet në strukturën organizative gjatë 10 viteve të fundit </w:t>
            </w:r>
            <w:r w:rsidRPr="00B6793F">
              <w:rPr>
                <w:rFonts w:ascii="Arial" w:eastAsia="Times New Roman" w:hAnsi="Arial" w:cs="Arial"/>
                <w:sz w:val="8"/>
                <w:szCs w:val="8"/>
                <w:lang w:eastAsia="sq-AL"/>
              </w:rPr>
              <w:br/>
              <w:t>•Shtimi i strukturave të reja dhe ndryshimi i nivelit dhe funksioneve organike.</w:t>
            </w:r>
            <w:r w:rsidRPr="00B6793F">
              <w:rPr>
                <w:rFonts w:ascii="Arial" w:eastAsia="Times New Roman" w:hAnsi="Arial" w:cs="Arial"/>
                <w:sz w:val="8"/>
                <w:szCs w:val="8"/>
                <w:lang w:eastAsia="sq-AL"/>
              </w:rPr>
              <w:br/>
              <w:t xml:space="preserve"> </w:t>
            </w:r>
          </w:p>
        </w:tc>
        <w:tc>
          <w:tcPr>
            <w:tcW w:w="478" w:type="pct"/>
            <w:tcBorders>
              <w:top w:val="nil"/>
              <w:left w:val="nil"/>
              <w:bottom w:val="single" w:sz="4" w:space="0" w:color="auto"/>
              <w:right w:val="single" w:sz="4" w:space="0" w:color="auto"/>
            </w:tcBorders>
            <w:shd w:val="clear" w:color="000000" w:fill="FFFFFF"/>
            <w:vAlign w:val="center"/>
            <w:hideMark/>
          </w:tcPr>
          <w:p w14:paraId="22F7565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•Njësimin e funksioneve organike në strukturat e Forcave të Armatosura me gradat përkatëse.</w:t>
            </w:r>
          </w:p>
        </w:tc>
        <w:tc>
          <w:tcPr>
            <w:tcW w:w="373" w:type="pct"/>
            <w:tcBorders>
              <w:top w:val="nil"/>
              <w:left w:val="nil"/>
              <w:bottom w:val="single" w:sz="4" w:space="0" w:color="auto"/>
              <w:right w:val="single" w:sz="4" w:space="0" w:color="auto"/>
            </w:tcBorders>
            <w:shd w:val="clear" w:color="000000" w:fill="FFFFFF"/>
            <w:vAlign w:val="center"/>
            <w:hideMark/>
          </w:tcPr>
          <w:p w14:paraId="05B7D24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78098CC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216AC2F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17C5CC8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1A433DB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4C843BF6"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5D87891E"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11</w:t>
            </w:r>
          </w:p>
        </w:tc>
        <w:tc>
          <w:tcPr>
            <w:tcW w:w="481" w:type="pct"/>
            <w:tcBorders>
              <w:top w:val="nil"/>
              <w:left w:val="nil"/>
              <w:bottom w:val="single" w:sz="4" w:space="0" w:color="auto"/>
              <w:right w:val="single" w:sz="4" w:space="0" w:color="auto"/>
            </w:tcBorders>
            <w:shd w:val="clear" w:color="000000" w:fill="FFFFFF"/>
            <w:vAlign w:val="center"/>
            <w:hideMark/>
          </w:tcPr>
          <w:p w14:paraId="33A41E0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krijimin e medaljeve, shenjave dhe distinktivëve të veçantë të nderit, kriteret, procedurat dhe autoritetet përgjegjëse për dhënien e tyre në Forcat e Armatosura të Republikës së Shqipërisë"</w:t>
            </w:r>
          </w:p>
        </w:tc>
        <w:tc>
          <w:tcPr>
            <w:tcW w:w="394" w:type="pct"/>
            <w:tcBorders>
              <w:top w:val="nil"/>
              <w:left w:val="nil"/>
              <w:bottom w:val="single" w:sz="4" w:space="0" w:color="auto"/>
              <w:right w:val="single" w:sz="4" w:space="0" w:color="auto"/>
            </w:tcBorders>
            <w:shd w:val="clear" w:color="000000" w:fill="FFFFFF"/>
            <w:vAlign w:val="center"/>
            <w:hideMark/>
          </w:tcPr>
          <w:p w14:paraId="3A212CD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25C116D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7B95B91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39EAFE7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•Projektvendimi i propozuar ka për qëllim krijimin e medaljeve, shenjave dhe distinktivëve të veçantë të nderit, që i jepen personelit ushtarak dhe civil që shërben në Forcat e Armatosura të Republikës së Shqipërisë, si dhe për ushtarakët e huaj që shquhen për merita dhe kontribute të veçanta për Forcat e Armatosura të Republikës së Shqipërisë si dhe kriteret, procedurat dhe autoritetet përgjegjëse për dhënien e tyre.në zbatim të pikës 2, të nenit 18, të ligjit nr. 93/2022, “Për dekoratat në Republikën e Shqipërisë”.</w:t>
            </w:r>
          </w:p>
        </w:tc>
        <w:tc>
          <w:tcPr>
            <w:tcW w:w="478" w:type="pct"/>
            <w:tcBorders>
              <w:top w:val="nil"/>
              <w:left w:val="nil"/>
              <w:bottom w:val="single" w:sz="4" w:space="0" w:color="auto"/>
              <w:right w:val="single" w:sz="4" w:space="0" w:color="auto"/>
            </w:tcBorders>
            <w:shd w:val="clear" w:color="000000" w:fill="FFFFFF"/>
            <w:vAlign w:val="center"/>
            <w:hideMark/>
          </w:tcPr>
          <w:p w14:paraId="073154A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•Projektvendimi i paraqitur ka si objekt të tij krijimin e medaljeve, shenjave dhe distinktivëve të veçantë të nderit, që i jepen personelit ushtarak dhe civil që shërben në Forcat e Armatosura të Republikës së Shqipërisë, si dhe për ushtarakët e huaj që shquhen për merita dhe kontribute të veçanta për Forcat e Armatosura të Republikës së Shqipërisë si dhe kriteret, procedurat dhe autoritetet përgjegjëse për dhënien e tyre.</w:t>
            </w:r>
            <w:r w:rsidRPr="00B6793F">
              <w:rPr>
                <w:rFonts w:ascii="Arial" w:eastAsia="Times New Roman" w:hAnsi="Arial" w:cs="Arial"/>
                <w:sz w:val="8"/>
                <w:szCs w:val="8"/>
                <w:lang w:eastAsia="sq-AL"/>
              </w:rPr>
              <w:br/>
            </w:r>
            <w:r w:rsidRPr="00B6793F">
              <w:rPr>
                <w:rFonts w:ascii="Arial" w:eastAsia="Times New Roman" w:hAnsi="Arial" w:cs="Arial"/>
                <w:sz w:val="8"/>
                <w:szCs w:val="8"/>
                <w:lang w:eastAsia="sq-AL"/>
              </w:rPr>
              <w:br/>
              <w:t>•Ky vendim do të zbatohet në të gjithë territorin e Republikës së Shqipërisë, si dhe jashtë territorit të saj, ku personeli i Forcave të Armatosura të Republikës së Shqipërisë dërgohet me detyrë, mision, operacion ushtarak apo në ndihmë të popullsisë civile, shërbim, stërvitje të përbashkët ose mision diplomatik</w:t>
            </w:r>
          </w:p>
        </w:tc>
        <w:tc>
          <w:tcPr>
            <w:tcW w:w="373" w:type="pct"/>
            <w:tcBorders>
              <w:top w:val="nil"/>
              <w:left w:val="nil"/>
              <w:bottom w:val="single" w:sz="4" w:space="0" w:color="auto"/>
              <w:right w:val="single" w:sz="4" w:space="0" w:color="auto"/>
            </w:tcBorders>
            <w:shd w:val="clear" w:color="000000" w:fill="FFFFFF"/>
            <w:vAlign w:val="center"/>
            <w:hideMark/>
          </w:tcPr>
          <w:p w14:paraId="0A8A603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79990E7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7FCDD7A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16D81B3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7B998B5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BF90716"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7FD29CE"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12</w:t>
            </w:r>
          </w:p>
        </w:tc>
        <w:tc>
          <w:tcPr>
            <w:tcW w:w="481" w:type="pct"/>
            <w:tcBorders>
              <w:top w:val="nil"/>
              <w:left w:val="nil"/>
              <w:bottom w:val="single" w:sz="4" w:space="0" w:color="auto"/>
              <w:right w:val="single" w:sz="4" w:space="0" w:color="auto"/>
            </w:tcBorders>
            <w:shd w:val="clear" w:color="000000" w:fill="FFFFFF"/>
            <w:vAlign w:val="center"/>
            <w:hideMark/>
          </w:tcPr>
          <w:p w14:paraId="16398AB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përcaktimin e masës së kompensimit të dëmeve, procedurat, afatet, strukturat shtetërore përgjegjëse për vlerësimin e dëmeve, si dhe pasuritë dhe subjektet që kompensohen si pasojë e një fatkeqësie."</w:t>
            </w:r>
          </w:p>
        </w:tc>
        <w:tc>
          <w:tcPr>
            <w:tcW w:w="394" w:type="pct"/>
            <w:tcBorders>
              <w:top w:val="nil"/>
              <w:left w:val="nil"/>
              <w:bottom w:val="single" w:sz="4" w:space="0" w:color="auto"/>
              <w:right w:val="single" w:sz="4" w:space="0" w:color="auto"/>
            </w:tcBorders>
            <w:shd w:val="clear" w:color="000000" w:fill="FFFFFF"/>
            <w:vAlign w:val="center"/>
            <w:hideMark/>
          </w:tcPr>
          <w:p w14:paraId="388B883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5BF66C5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17A834A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2AF9CB9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•Në zbatim të pikës 6, e nenit 41 të ligjit nr. 45/2019 "Për mbrojtjen civile"</w:t>
            </w:r>
          </w:p>
        </w:tc>
        <w:tc>
          <w:tcPr>
            <w:tcW w:w="478" w:type="pct"/>
            <w:tcBorders>
              <w:top w:val="nil"/>
              <w:left w:val="nil"/>
              <w:bottom w:val="single" w:sz="4" w:space="0" w:color="auto"/>
              <w:right w:val="single" w:sz="4" w:space="0" w:color="auto"/>
            </w:tcBorders>
            <w:shd w:val="clear" w:color="000000" w:fill="FFFFFF"/>
            <w:vAlign w:val="center"/>
            <w:hideMark/>
          </w:tcPr>
          <w:p w14:paraId="4C03DAD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projektvendim ka për qëllim përcaktimin e masës së kompensimit të dëmeve, procedurat, afatet, strukturat shtetërore përgjegjëse për vlerësimin e dëmeve, si dhe pasuritë dhe subjektet që kompensohen si pasojë e një fatkeqësie</w:t>
            </w:r>
          </w:p>
        </w:tc>
        <w:tc>
          <w:tcPr>
            <w:tcW w:w="373" w:type="pct"/>
            <w:tcBorders>
              <w:top w:val="nil"/>
              <w:left w:val="nil"/>
              <w:bottom w:val="single" w:sz="4" w:space="0" w:color="auto"/>
              <w:right w:val="single" w:sz="4" w:space="0" w:color="auto"/>
            </w:tcBorders>
            <w:shd w:val="clear" w:color="000000" w:fill="FFFFFF"/>
            <w:vAlign w:val="center"/>
            <w:hideMark/>
          </w:tcPr>
          <w:p w14:paraId="4AEF171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51549A0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35A6CB6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5AD4F5D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Kombëtare  për Zvogëlimin e Riskut për Fatkeqësitë dhe PKEC 2023</w:t>
            </w:r>
          </w:p>
        </w:tc>
        <w:tc>
          <w:tcPr>
            <w:tcW w:w="517" w:type="pct"/>
            <w:tcBorders>
              <w:top w:val="nil"/>
              <w:left w:val="nil"/>
              <w:bottom w:val="single" w:sz="4" w:space="0" w:color="auto"/>
              <w:right w:val="single" w:sz="4" w:space="0" w:color="auto"/>
            </w:tcBorders>
            <w:shd w:val="clear" w:color="000000" w:fill="FFFFFF"/>
            <w:vAlign w:val="center"/>
            <w:hideMark/>
          </w:tcPr>
          <w:p w14:paraId="36E9373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Financiar, Social</w:t>
            </w:r>
            <w:r w:rsidRPr="00B6793F">
              <w:rPr>
                <w:rFonts w:ascii="Arial" w:eastAsia="Times New Roman" w:hAnsi="Arial" w:cs="Arial"/>
                <w:sz w:val="8"/>
                <w:szCs w:val="8"/>
                <w:lang w:eastAsia="sq-AL"/>
              </w:rPr>
              <w:br/>
              <w:t xml:space="preserve">•Efektet financiare të këtij projektvendimi parashikohet të mbulohen nga vetë bashkitë, nëpërmjet fondit të dedikuar për mbrojtjen civile nga buxheti i shtetit.   </w:t>
            </w:r>
            <w:r w:rsidRPr="00B6793F">
              <w:rPr>
                <w:rFonts w:ascii="Arial" w:eastAsia="Times New Roman" w:hAnsi="Arial" w:cs="Arial"/>
                <w:sz w:val="8"/>
                <w:szCs w:val="8"/>
                <w:lang w:eastAsia="sq-AL"/>
              </w:rPr>
              <w:br/>
              <w:t xml:space="preserve">•Kompensim financiar të dëmtuarit në rastet e fatkeqësive natyrore ose fatkeqësi tjetër.   </w:t>
            </w:r>
          </w:p>
        </w:tc>
      </w:tr>
      <w:tr w:rsidR="00350C6B" w:rsidRPr="00B6793F" w14:paraId="57621DAF"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B91AE5D"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13</w:t>
            </w:r>
          </w:p>
        </w:tc>
        <w:tc>
          <w:tcPr>
            <w:tcW w:w="481" w:type="pct"/>
            <w:tcBorders>
              <w:top w:val="nil"/>
              <w:left w:val="nil"/>
              <w:bottom w:val="single" w:sz="4" w:space="0" w:color="auto"/>
              <w:right w:val="single" w:sz="4" w:space="0" w:color="auto"/>
            </w:tcBorders>
            <w:shd w:val="clear" w:color="000000" w:fill="FFFFFF"/>
            <w:vAlign w:val="center"/>
            <w:hideMark/>
          </w:tcPr>
          <w:p w14:paraId="6EDAD15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ngritjen dhe funksionimin e sistemit të numrit të unifikuar të thirrjeve emergjente 112.”</w:t>
            </w:r>
          </w:p>
        </w:tc>
        <w:tc>
          <w:tcPr>
            <w:tcW w:w="394" w:type="pct"/>
            <w:tcBorders>
              <w:top w:val="nil"/>
              <w:left w:val="nil"/>
              <w:bottom w:val="single" w:sz="4" w:space="0" w:color="auto"/>
              <w:right w:val="single" w:sz="4" w:space="0" w:color="auto"/>
            </w:tcBorders>
            <w:shd w:val="clear" w:color="000000" w:fill="FFFFFF"/>
            <w:vAlign w:val="center"/>
            <w:hideMark/>
          </w:tcPr>
          <w:p w14:paraId="5B9CFEB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30E4C11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52CF9C6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01B0764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•Ligji nr. 45/2019 “Për mbrojtjen civile” në nenin 47 parashikon se numri i unifikuar i thirrjeve emergjente 112 siguron komunikim, paralajmërim të hershëm, njoftim, alarm, informim, koordinim, vendimmarrje, aktivizim dhe ndërhyrje të integruar të strukturave operacionale në përballimin e aksidenteve dhe të situatave emergjente që mund të ndodhin në të gjithë vendin.</w:t>
            </w:r>
          </w:p>
        </w:tc>
        <w:tc>
          <w:tcPr>
            <w:tcW w:w="478" w:type="pct"/>
            <w:tcBorders>
              <w:top w:val="nil"/>
              <w:left w:val="nil"/>
              <w:bottom w:val="single" w:sz="4" w:space="0" w:color="auto"/>
              <w:right w:val="single" w:sz="4" w:space="0" w:color="auto"/>
            </w:tcBorders>
            <w:shd w:val="clear" w:color="000000" w:fill="FFFFFF"/>
            <w:vAlign w:val="center"/>
            <w:hideMark/>
          </w:tcPr>
          <w:p w14:paraId="69B697F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•Unifikimin e numrit 112 për cështjet e emergjencës.</w:t>
            </w:r>
          </w:p>
        </w:tc>
        <w:tc>
          <w:tcPr>
            <w:tcW w:w="373" w:type="pct"/>
            <w:tcBorders>
              <w:top w:val="nil"/>
              <w:left w:val="nil"/>
              <w:bottom w:val="single" w:sz="4" w:space="0" w:color="auto"/>
              <w:right w:val="single" w:sz="4" w:space="0" w:color="auto"/>
            </w:tcBorders>
            <w:shd w:val="clear" w:color="000000" w:fill="FFFFFF"/>
            <w:vAlign w:val="center"/>
            <w:hideMark/>
          </w:tcPr>
          <w:p w14:paraId="1CF01F6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42F22A0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5F44414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5889846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Kombëtare  për Zvogëlimin e Riskut për Fatkeqësitë</w:t>
            </w:r>
          </w:p>
        </w:tc>
        <w:tc>
          <w:tcPr>
            <w:tcW w:w="517" w:type="pct"/>
            <w:tcBorders>
              <w:top w:val="nil"/>
              <w:left w:val="nil"/>
              <w:bottom w:val="single" w:sz="4" w:space="0" w:color="auto"/>
              <w:right w:val="single" w:sz="4" w:space="0" w:color="auto"/>
            </w:tcBorders>
            <w:shd w:val="clear" w:color="000000" w:fill="FFFFFF"/>
            <w:vAlign w:val="center"/>
            <w:hideMark/>
          </w:tcPr>
          <w:p w14:paraId="2EAA53E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Financiar</w:t>
            </w:r>
            <w:r w:rsidRPr="00B6793F">
              <w:rPr>
                <w:rFonts w:ascii="Arial" w:eastAsia="Times New Roman" w:hAnsi="Arial" w:cs="Arial"/>
                <w:sz w:val="8"/>
                <w:szCs w:val="8"/>
                <w:lang w:eastAsia="sq-AL"/>
              </w:rPr>
              <w:br/>
              <w:t>•Ngritur grupi ndërinstitucional dhe teknik u punës për përllogaritjen e efekteve financiare me urdhrin e Kryeministrit nr. 146, datë 12.9.2025 .</w:t>
            </w:r>
          </w:p>
        </w:tc>
      </w:tr>
      <w:tr w:rsidR="00350C6B" w:rsidRPr="00B6793F" w14:paraId="5B89A2DC"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A19AF11"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14</w:t>
            </w:r>
          </w:p>
        </w:tc>
        <w:tc>
          <w:tcPr>
            <w:tcW w:w="481" w:type="pct"/>
            <w:tcBorders>
              <w:top w:val="nil"/>
              <w:left w:val="nil"/>
              <w:bottom w:val="single" w:sz="4" w:space="0" w:color="auto"/>
              <w:right w:val="single" w:sz="4" w:space="0" w:color="auto"/>
            </w:tcBorders>
            <w:shd w:val="clear" w:color="000000" w:fill="FFFFFF"/>
            <w:vAlign w:val="center"/>
            <w:hideMark/>
          </w:tcPr>
          <w:p w14:paraId="765E1FF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 729, datë 13.11.2019 "Për rishikimin e Planit Kombëtar të Kërkim Shpëtimit në Republikën e Shqipërisë dhe Planit të Veprimit të tij"</w:t>
            </w:r>
          </w:p>
        </w:tc>
        <w:tc>
          <w:tcPr>
            <w:tcW w:w="394" w:type="pct"/>
            <w:tcBorders>
              <w:top w:val="nil"/>
              <w:left w:val="nil"/>
              <w:bottom w:val="single" w:sz="4" w:space="0" w:color="auto"/>
              <w:right w:val="single" w:sz="4" w:space="0" w:color="auto"/>
            </w:tcBorders>
            <w:shd w:val="clear" w:color="000000" w:fill="FFFFFF"/>
            <w:vAlign w:val="center"/>
            <w:hideMark/>
          </w:tcPr>
          <w:p w14:paraId="13FD9CE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03781C5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31E2E1D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67FF829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•Projektakt i planifikuar në PPAP 2025, i cili vlerësohet që nuk miratohet brenda vitit 2025. </w:t>
            </w:r>
            <w:r w:rsidRPr="00B6793F">
              <w:rPr>
                <w:rFonts w:ascii="Arial" w:eastAsia="Times New Roman" w:hAnsi="Arial" w:cs="Arial"/>
                <w:sz w:val="8"/>
                <w:szCs w:val="8"/>
                <w:lang w:eastAsia="sq-AL"/>
              </w:rPr>
              <w:br/>
              <w:t>•Në zbatim të pikës 1, të nenit 8, të ligjit nr. 10435, datë 23.6.2011, “Për shërbimin e kërkim-shpëtimit në Republikën e Shqipërisë”, i ndryshuar.</w:t>
            </w:r>
          </w:p>
        </w:tc>
        <w:tc>
          <w:tcPr>
            <w:tcW w:w="478" w:type="pct"/>
            <w:tcBorders>
              <w:top w:val="nil"/>
              <w:left w:val="nil"/>
              <w:bottom w:val="single" w:sz="4" w:space="0" w:color="auto"/>
              <w:right w:val="single" w:sz="4" w:space="0" w:color="auto"/>
            </w:tcBorders>
            <w:shd w:val="clear" w:color="000000" w:fill="FFFFFF"/>
            <w:vAlign w:val="center"/>
            <w:hideMark/>
          </w:tcPr>
          <w:p w14:paraId="5042F57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•Ndryshimi i strukturave në FA dhe të strukturave shtetërore, bën të nevojshme rishikimin në procedura dhe kapacitete</w:t>
            </w:r>
          </w:p>
        </w:tc>
        <w:tc>
          <w:tcPr>
            <w:tcW w:w="373" w:type="pct"/>
            <w:tcBorders>
              <w:top w:val="nil"/>
              <w:left w:val="nil"/>
              <w:bottom w:val="single" w:sz="4" w:space="0" w:color="auto"/>
              <w:right w:val="single" w:sz="4" w:space="0" w:color="auto"/>
            </w:tcBorders>
            <w:shd w:val="clear" w:color="000000" w:fill="FFFFFF"/>
            <w:vAlign w:val="center"/>
            <w:hideMark/>
          </w:tcPr>
          <w:p w14:paraId="33CF98B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3E219C9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2A80071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0C9DFCB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Ndërsektoriale për Menaxhimin e Integruar të Kufirit</w:t>
            </w:r>
          </w:p>
        </w:tc>
        <w:tc>
          <w:tcPr>
            <w:tcW w:w="517" w:type="pct"/>
            <w:tcBorders>
              <w:top w:val="nil"/>
              <w:left w:val="nil"/>
              <w:bottom w:val="single" w:sz="4" w:space="0" w:color="auto"/>
              <w:right w:val="single" w:sz="4" w:space="0" w:color="auto"/>
            </w:tcBorders>
            <w:shd w:val="clear" w:color="000000" w:fill="FFFFFF"/>
            <w:vAlign w:val="center"/>
            <w:hideMark/>
          </w:tcPr>
          <w:p w14:paraId="23F3D04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1834F04E"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4A39A9D0"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15</w:t>
            </w:r>
          </w:p>
        </w:tc>
        <w:tc>
          <w:tcPr>
            <w:tcW w:w="481" w:type="pct"/>
            <w:tcBorders>
              <w:top w:val="nil"/>
              <w:left w:val="nil"/>
              <w:bottom w:val="single" w:sz="4" w:space="0" w:color="auto"/>
              <w:right w:val="single" w:sz="4" w:space="0" w:color="auto"/>
            </w:tcBorders>
            <w:shd w:val="clear" w:color="000000" w:fill="FFFFFF"/>
            <w:vAlign w:val="center"/>
            <w:hideMark/>
          </w:tcPr>
          <w:p w14:paraId="21346CE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ligjin nr. 45/2019, "Per mbrojtjen civile"</w:t>
            </w:r>
          </w:p>
        </w:tc>
        <w:tc>
          <w:tcPr>
            <w:tcW w:w="394" w:type="pct"/>
            <w:tcBorders>
              <w:top w:val="nil"/>
              <w:left w:val="nil"/>
              <w:bottom w:val="single" w:sz="4" w:space="0" w:color="auto"/>
              <w:right w:val="single" w:sz="4" w:space="0" w:color="auto"/>
            </w:tcBorders>
            <w:shd w:val="clear" w:color="000000" w:fill="FFFFFF"/>
            <w:vAlign w:val="center"/>
            <w:hideMark/>
          </w:tcPr>
          <w:p w14:paraId="73419ED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Projektligj</w:t>
            </w:r>
          </w:p>
        </w:tc>
        <w:tc>
          <w:tcPr>
            <w:tcW w:w="338" w:type="pct"/>
            <w:tcBorders>
              <w:top w:val="nil"/>
              <w:left w:val="nil"/>
              <w:bottom w:val="single" w:sz="4" w:space="0" w:color="auto"/>
              <w:right w:val="single" w:sz="4" w:space="0" w:color="auto"/>
            </w:tcBorders>
            <w:shd w:val="clear" w:color="000000" w:fill="FFFFFF"/>
            <w:vAlign w:val="center"/>
            <w:hideMark/>
          </w:tcPr>
          <w:p w14:paraId="3776C92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630F1E7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561020B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  Nenet 78 dhe 83, pika 1, të Kushtetutës të Republik së Shqipërisë</w:t>
            </w:r>
            <w:r w:rsidRPr="00B6793F">
              <w:rPr>
                <w:rFonts w:ascii="Arial" w:eastAsia="Times New Roman" w:hAnsi="Arial" w:cs="Arial"/>
                <w:sz w:val="8"/>
                <w:szCs w:val="8"/>
                <w:lang w:eastAsia="sq-AL"/>
              </w:rPr>
              <w:br/>
              <w:t xml:space="preserve">•Përforcimi i sistemit kombëtar të mbrojtjes civile dhe të kapaciteteve të mbrojtjes civile në Republikën e Shqipërisë  </w:t>
            </w:r>
            <w:r w:rsidRPr="00B6793F">
              <w:rPr>
                <w:rFonts w:ascii="Arial" w:eastAsia="Times New Roman" w:hAnsi="Arial" w:cs="Arial"/>
                <w:sz w:val="8"/>
                <w:szCs w:val="8"/>
                <w:lang w:eastAsia="sq-AL"/>
              </w:rPr>
              <w:br/>
              <w:t>•Zvogëlimi i riskut nga fatkeqësitë dhe realizimin e mbrojtjes civile për të garantuar mbrojtjen e jetës së njerëzve, të gjësë së gjallë, të pronës, të trashëgimisë kulturore e të mjedisit.</w:t>
            </w:r>
          </w:p>
        </w:tc>
        <w:tc>
          <w:tcPr>
            <w:tcW w:w="478" w:type="pct"/>
            <w:tcBorders>
              <w:top w:val="nil"/>
              <w:left w:val="nil"/>
              <w:bottom w:val="single" w:sz="4" w:space="0" w:color="auto"/>
              <w:right w:val="single" w:sz="4" w:space="0" w:color="auto"/>
            </w:tcBorders>
            <w:shd w:val="clear" w:color="000000" w:fill="FFFFFF"/>
            <w:vAlign w:val="center"/>
            <w:hideMark/>
          </w:tcPr>
          <w:p w14:paraId="43C38E0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Detyrat e organeve kolegjiale të sistemit kombëtar të mbrojtjes civile dhe koordinimin e strukturave të parashikuara në ligj;</w:t>
            </w:r>
            <w:r w:rsidRPr="00B6793F">
              <w:rPr>
                <w:rFonts w:ascii="Arial" w:eastAsia="Times New Roman" w:hAnsi="Arial" w:cs="Arial"/>
                <w:sz w:val="8"/>
                <w:szCs w:val="8"/>
                <w:lang w:eastAsia="sq-AL"/>
              </w:rPr>
              <w:br/>
              <w:t>• Problematikat me zbatimin në praktikë të parimit të subsidiaritetit në të gjitha fazat e menaxhimit të fatkeqësive dhe të përballimit të emergjencave civile;</w:t>
            </w:r>
            <w:r w:rsidRPr="00B6793F">
              <w:rPr>
                <w:rFonts w:ascii="Arial" w:eastAsia="Times New Roman" w:hAnsi="Arial" w:cs="Arial"/>
                <w:sz w:val="8"/>
                <w:szCs w:val="8"/>
                <w:lang w:eastAsia="sq-AL"/>
              </w:rPr>
              <w:br/>
              <w:t>• Përfshirjen e strukturave operacionale në përballimin e emergjencave, brenda dhe jashtë vendit, si edhe procedurat e angazhimit të tyre në rastet e misioneve në kuadër të Mekanizmit të Mbrojtjes Civile të Bashkimit Evropian (UCPM);</w:t>
            </w:r>
            <w:r w:rsidRPr="00B6793F">
              <w:rPr>
                <w:rFonts w:ascii="Arial" w:eastAsia="Times New Roman" w:hAnsi="Arial" w:cs="Arial"/>
                <w:sz w:val="8"/>
                <w:szCs w:val="8"/>
                <w:lang w:eastAsia="sq-AL"/>
              </w:rPr>
              <w:br/>
              <w:t>• Nevojat për të rregulluar statusin e shërbimit të vullnetarëve të mbrojtjes civile dhe domosdoshmëria e saktësimit të detyrimit të trajnimit dhe formimit profesional në fushën e mbrojtjes civile për të gjithë subjektet e ligjit 45/2019;</w:t>
            </w:r>
            <w:r w:rsidRPr="00B6793F">
              <w:rPr>
                <w:rFonts w:ascii="Arial" w:eastAsia="Times New Roman" w:hAnsi="Arial" w:cs="Arial"/>
                <w:sz w:val="8"/>
                <w:szCs w:val="8"/>
                <w:lang w:eastAsia="sq-AL"/>
              </w:rPr>
              <w:br/>
              <w:t>• Përfshirjen e shtetit në ndihmën për subjektet e dëmtuara nga fatkeqësitë;</w:t>
            </w:r>
            <w:r w:rsidRPr="00B6793F">
              <w:rPr>
                <w:rFonts w:ascii="Arial" w:eastAsia="Times New Roman" w:hAnsi="Arial" w:cs="Arial"/>
                <w:sz w:val="8"/>
                <w:szCs w:val="8"/>
                <w:lang w:eastAsia="sq-AL"/>
              </w:rPr>
              <w:br/>
              <w:t>• Rolin dhe funksionet e AKMC-së në sistemin kombëtar të mbrojtjes civile.</w:t>
            </w:r>
          </w:p>
        </w:tc>
        <w:tc>
          <w:tcPr>
            <w:tcW w:w="373" w:type="pct"/>
            <w:tcBorders>
              <w:top w:val="nil"/>
              <w:left w:val="nil"/>
              <w:bottom w:val="single" w:sz="4" w:space="0" w:color="auto"/>
              <w:right w:val="single" w:sz="4" w:space="0" w:color="auto"/>
            </w:tcBorders>
            <w:shd w:val="clear" w:color="000000" w:fill="FFFFFF"/>
            <w:vAlign w:val="center"/>
            <w:hideMark/>
          </w:tcPr>
          <w:p w14:paraId="402D81C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2CD9AA0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355DBC5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680F4CF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Strategjia Kombëtare  për Zvogëlimin e Riskut për Fatkeqësitë </w:t>
            </w:r>
          </w:p>
        </w:tc>
        <w:tc>
          <w:tcPr>
            <w:tcW w:w="517" w:type="pct"/>
            <w:tcBorders>
              <w:top w:val="nil"/>
              <w:left w:val="nil"/>
              <w:bottom w:val="single" w:sz="4" w:space="0" w:color="auto"/>
              <w:right w:val="single" w:sz="4" w:space="0" w:color="auto"/>
            </w:tcBorders>
            <w:shd w:val="clear" w:color="000000" w:fill="FFFFFF"/>
            <w:vAlign w:val="center"/>
            <w:hideMark/>
          </w:tcPr>
          <w:p w14:paraId="2E08872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49C15D6B"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41F3A8B8"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16</w:t>
            </w:r>
          </w:p>
        </w:tc>
        <w:tc>
          <w:tcPr>
            <w:tcW w:w="481" w:type="pct"/>
            <w:tcBorders>
              <w:top w:val="nil"/>
              <w:left w:val="nil"/>
              <w:bottom w:val="single" w:sz="4" w:space="0" w:color="auto"/>
              <w:right w:val="single" w:sz="4" w:space="0" w:color="auto"/>
            </w:tcBorders>
            <w:shd w:val="clear" w:color="000000" w:fill="FFFFFF"/>
            <w:vAlign w:val="center"/>
            <w:hideMark/>
          </w:tcPr>
          <w:p w14:paraId="3B9C602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përcaktimin e kritereve dhe mënyrës së vlerësimit të parakohshëm të ushtarakëve aktive të Forcave e Armatosura të Republikës së Shqipërisë” </w:t>
            </w:r>
          </w:p>
        </w:tc>
        <w:tc>
          <w:tcPr>
            <w:tcW w:w="394" w:type="pct"/>
            <w:tcBorders>
              <w:top w:val="nil"/>
              <w:left w:val="nil"/>
              <w:bottom w:val="single" w:sz="4" w:space="0" w:color="auto"/>
              <w:right w:val="single" w:sz="4" w:space="0" w:color="auto"/>
            </w:tcBorders>
            <w:shd w:val="clear" w:color="000000" w:fill="FFFFFF"/>
            <w:vAlign w:val="center"/>
            <w:hideMark/>
          </w:tcPr>
          <w:p w14:paraId="792192A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1805073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13F3638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7B3E575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 xml:space="preserve">•Në zbatim të nenit 18/1, të ligjit nr. 59/2014, “Për karrierën ushtarake në Forcat e Armatosura të Republikës së Shqipërisë” i ndryshuar </w:t>
            </w:r>
          </w:p>
        </w:tc>
        <w:tc>
          <w:tcPr>
            <w:tcW w:w="478" w:type="pct"/>
            <w:tcBorders>
              <w:top w:val="nil"/>
              <w:left w:val="nil"/>
              <w:bottom w:val="single" w:sz="4" w:space="0" w:color="auto"/>
              <w:right w:val="single" w:sz="4" w:space="0" w:color="auto"/>
            </w:tcBorders>
            <w:shd w:val="clear" w:color="000000" w:fill="FFFFFF"/>
            <w:vAlign w:val="center"/>
            <w:hideMark/>
          </w:tcPr>
          <w:p w14:paraId="21A94C8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•Përcakton  kriteret dhe mënyrën e vlerësimit të parakohshëm të ushtarakëve aktive të Forcave e Armatosura të Republikës së Shqipërisë. </w:t>
            </w:r>
          </w:p>
        </w:tc>
        <w:tc>
          <w:tcPr>
            <w:tcW w:w="373" w:type="pct"/>
            <w:tcBorders>
              <w:top w:val="nil"/>
              <w:left w:val="nil"/>
              <w:bottom w:val="single" w:sz="4" w:space="0" w:color="auto"/>
              <w:right w:val="single" w:sz="4" w:space="0" w:color="auto"/>
            </w:tcBorders>
            <w:shd w:val="clear" w:color="000000" w:fill="FFFFFF"/>
            <w:vAlign w:val="center"/>
            <w:hideMark/>
          </w:tcPr>
          <w:p w14:paraId="76EA434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1424631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52F986A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49B06C3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1034843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0F18649"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1A299C21"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17</w:t>
            </w:r>
          </w:p>
        </w:tc>
        <w:tc>
          <w:tcPr>
            <w:tcW w:w="481" w:type="pct"/>
            <w:tcBorders>
              <w:top w:val="nil"/>
              <w:left w:val="nil"/>
              <w:bottom w:val="single" w:sz="4" w:space="0" w:color="auto"/>
              <w:right w:val="single" w:sz="4" w:space="0" w:color="auto"/>
            </w:tcBorders>
            <w:shd w:val="clear" w:color="000000" w:fill="FFFFFF"/>
            <w:vAlign w:val="center"/>
            <w:hideMark/>
          </w:tcPr>
          <w:p w14:paraId="495751B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 472, datë 26.7.2023 "Për krijimin, organizimin dhe funksionimin e Qendrës së Inovacionit të Sigurisë dhe Mbrojtjes"</w:t>
            </w:r>
          </w:p>
        </w:tc>
        <w:tc>
          <w:tcPr>
            <w:tcW w:w="394" w:type="pct"/>
            <w:tcBorders>
              <w:top w:val="nil"/>
              <w:left w:val="nil"/>
              <w:bottom w:val="single" w:sz="4" w:space="0" w:color="auto"/>
              <w:right w:val="single" w:sz="4" w:space="0" w:color="auto"/>
            </w:tcBorders>
            <w:shd w:val="clear" w:color="000000" w:fill="FFFFFF"/>
            <w:vAlign w:val="center"/>
            <w:hideMark/>
          </w:tcPr>
          <w:p w14:paraId="35E5B38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000000" w:fill="FFFFFF"/>
            <w:vAlign w:val="center"/>
            <w:hideMark/>
          </w:tcPr>
          <w:p w14:paraId="48249BF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3F80BB8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48A737F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•Projektakt i planifikuar në PPAP 2025, i cili vlerësohet që nuk miratohet brenda vitit 2025.</w:t>
            </w:r>
            <w:r w:rsidRPr="00B6793F">
              <w:rPr>
                <w:rFonts w:ascii="Arial" w:eastAsia="Times New Roman" w:hAnsi="Arial" w:cs="Arial"/>
                <w:sz w:val="8"/>
                <w:szCs w:val="8"/>
                <w:lang w:eastAsia="sq-AL"/>
              </w:rPr>
              <w:br/>
              <w:t xml:space="preserve">•Tek parashikimet e kreut 2 të VKM Nr. 472, datë 26.07.2023 mungon harmonizimi me paketën e re ligjore të industrisë ushtarake dhe konkretisht me nenin 22 të Ligjit 87/2024 "Për rregullimin e prodhimit, tregtimit, kërkimit dhe zhvillimit të armëve, municioneve, pajisjeve dhe teknologjive ushtarake" dhe konkretisht bashkëpunimi i Qendrës me subjekte të licensuara sipas ligjit nr. 87/2024 me objekt projekte të përbashkëta kërkimore, zhvillimin e teknologjive të reja dhe shkëmbimin e njohurive dhe ekspertizës. </w:t>
            </w:r>
          </w:p>
        </w:tc>
        <w:tc>
          <w:tcPr>
            <w:tcW w:w="478" w:type="pct"/>
            <w:tcBorders>
              <w:top w:val="nil"/>
              <w:left w:val="nil"/>
              <w:bottom w:val="single" w:sz="4" w:space="0" w:color="auto"/>
              <w:right w:val="single" w:sz="4" w:space="0" w:color="auto"/>
            </w:tcBorders>
            <w:shd w:val="clear" w:color="000000" w:fill="FFFFFF"/>
            <w:vAlign w:val="center"/>
            <w:hideMark/>
          </w:tcPr>
          <w:p w14:paraId="521A8CE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•Ky shtim i përgjegjësisë funksionale të Qendrës do të mundësonte harmonizimin e plotë të VKM Nr. 472/2023 me Ligjin Nr 87/2024 duke qënë në përputhje me njëra tjetrën dhe në përfshirjen e plotë të përgjegjësive të Qendrës edhe të detyrimit ligjor që rrjedh nga Ligji 87/2024</w:t>
            </w:r>
          </w:p>
        </w:tc>
        <w:tc>
          <w:tcPr>
            <w:tcW w:w="373" w:type="pct"/>
            <w:tcBorders>
              <w:top w:val="nil"/>
              <w:left w:val="nil"/>
              <w:bottom w:val="single" w:sz="4" w:space="0" w:color="auto"/>
              <w:right w:val="single" w:sz="4" w:space="0" w:color="auto"/>
            </w:tcBorders>
            <w:shd w:val="clear" w:color="000000" w:fill="FFFFFF"/>
            <w:vAlign w:val="center"/>
            <w:hideMark/>
          </w:tcPr>
          <w:p w14:paraId="5F9BED5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000000" w:fill="FFFFFF"/>
            <w:vAlign w:val="center"/>
            <w:hideMark/>
          </w:tcPr>
          <w:p w14:paraId="7BEC9BE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000000" w:fill="FFFFFF"/>
            <w:vAlign w:val="center"/>
            <w:hideMark/>
          </w:tcPr>
          <w:p w14:paraId="3F2719A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000000" w:fill="FFFFFF"/>
            <w:vAlign w:val="center"/>
            <w:hideMark/>
          </w:tcPr>
          <w:p w14:paraId="5A10295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000000" w:fill="FFFFFF"/>
            <w:vAlign w:val="center"/>
            <w:hideMark/>
          </w:tcPr>
          <w:p w14:paraId="390F746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Financiar</w:t>
            </w:r>
            <w:r w:rsidRPr="00B6793F">
              <w:rPr>
                <w:rFonts w:ascii="Arial" w:eastAsia="Times New Roman" w:hAnsi="Arial" w:cs="Arial"/>
                <w:sz w:val="8"/>
                <w:szCs w:val="8"/>
                <w:lang w:eastAsia="sq-AL"/>
              </w:rPr>
              <w:br/>
              <w:t>•Efekte buxhetore shtesë në formën e shpenzimeve për programin e akselerimit e cila do ofrojë mbështetje financiare për startup-et në formën e një pagese të kufizuar për anëtarët e grupeve pjesëmarrëse.</w:t>
            </w:r>
            <w:r w:rsidRPr="00B6793F">
              <w:rPr>
                <w:rFonts w:ascii="Arial" w:eastAsia="Times New Roman" w:hAnsi="Arial" w:cs="Arial"/>
                <w:sz w:val="8"/>
                <w:szCs w:val="8"/>
                <w:lang w:eastAsia="sq-AL"/>
              </w:rPr>
              <w:br/>
              <w:t xml:space="preserve">•Shpenzime për  shpërblimin monetar për individin apo ekipin fitues në aktivitetet garuese për sfida të ndryshme të inovacionit në fushën e sigurisë dhe mbrojtjes  </w:t>
            </w:r>
            <w:r w:rsidRPr="00B6793F">
              <w:rPr>
                <w:rFonts w:ascii="Arial" w:eastAsia="Times New Roman" w:hAnsi="Arial" w:cs="Arial"/>
                <w:sz w:val="8"/>
                <w:szCs w:val="8"/>
                <w:lang w:eastAsia="sq-AL"/>
              </w:rPr>
              <w:br/>
              <w:t xml:space="preserve">•Efekt buxhetor shtesë në rast të angazhimit të ekspertëve të jashtëm, vendas ose të huaj me njohuri të specializuara në fusha që lidhen me sigurinë dhe mbrojtjen në raste komplekse ose në mungesë të ekspertizës së brendshme </w:t>
            </w:r>
          </w:p>
        </w:tc>
      </w:tr>
      <w:tr w:rsidR="00350C6B" w:rsidRPr="00B6793F" w14:paraId="309F884F"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CB96373"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18</w:t>
            </w:r>
          </w:p>
        </w:tc>
        <w:tc>
          <w:tcPr>
            <w:tcW w:w="481" w:type="pct"/>
            <w:tcBorders>
              <w:top w:val="nil"/>
              <w:left w:val="nil"/>
              <w:bottom w:val="single" w:sz="4" w:space="0" w:color="auto"/>
              <w:right w:val="single" w:sz="4" w:space="0" w:color="auto"/>
            </w:tcBorders>
            <w:shd w:val="clear" w:color="auto" w:fill="auto"/>
            <w:vAlign w:val="center"/>
            <w:hideMark/>
          </w:tcPr>
          <w:p w14:paraId="1F29372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ndyshime në ligjin nr. 87/2024 "Për rregullimin e prodhimit, tregtimit, kërkimit dhe zhvillimit të armëve, municioneve, pajisjeve dhe teknologjive ushtarake"</w:t>
            </w:r>
          </w:p>
        </w:tc>
        <w:tc>
          <w:tcPr>
            <w:tcW w:w="394" w:type="pct"/>
            <w:tcBorders>
              <w:top w:val="nil"/>
              <w:left w:val="nil"/>
              <w:bottom w:val="single" w:sz="4" w:space="0" w:color="auto"/>
              <w:right w:val="single" w:sz="4" w:space="0" w:color="auto"/>
            </w:tcBorders>
            <w:shd w:val="clear" w:color="auto" w:fill="auto"/>
            <w:vAlign w:val="center"/>
            <w:hideMark/>
          </w:tcPr>
          <w:p w14:paraId="0B3691B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8" w:type="pct"/>
            <w:tcBorders>
              <w:top w:val="nil"/>
              <w:left w:val="nil"/>
              <w:bottom w:val="single" w:sz="4" w:space="0" w:color="auto"/>
              <w:right w:val="single" w:sz="4" w:space="0" w:color="auto"/>
            </w:tcBorders>
            <w:shd w:val="clear" w:color="auto" w:fill="auto"/>
            <w:vAlign w:val="center"/>
            <w:hideMark/>
          </w:tcPr>
          <w:p w14:paraId="477FECB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11A847C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7FD5577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Nenet 78 dhe 83, pika 1, të Kushtetutës të Republik së Shqipërisë</w:t>
            </w:r>
            <w:r w:rsidRPr="00B6793F">
              <w:rPr>
                <w:rFonts w:ascii="Arial" w:eastAsia="Times New Roman" w:hAnsi="Arial" w:cs="Arial"/>
                <w:sz w:val="8"/>
                <w:szCs w:val="8"/>
                <w:lang w:eastAsia="sq-AL"/>
              </w:rPr>
              <w:br/>
              <w:t xml:space="preserve">• Kuadri aktual paraqet një sërë kufizimesh që pengojnë funksionimin efikas të sistemit të kontrollit shtetëror dhe zhvillimin e industrisë ushtarake kombëtare. </w:t>
            </w:r>
            <w:r w:rsidRPr="00B6793F">
              <w:rPr>
                <w:rFonts w:ascii="Arial" w:eastAsia="Times New Roman" w:hAnsi="Arial" w:cs="Arial"/>
                <w:sz w:val="8"/>
                <w:szCs w:val="8"/>
                <w:lang w:eastAsia="sq-AL"/>
              </w:rPr>
              <w:br/>
              <w:t xml:space="preserve">• Nevoja për një listë të plotë e të harmonizuar të armatimit ushtarak në përputhje me kërkesat bashkëkohore të industrisë dhe standardet ndërkombëtare.  </w:t>
            </w:r>
            <w:r w:rsidRPr="00B6793F">
              <w:rPr>
                <w:rFonts w:ascii="Arial" w:eastAsia="Times New Roman" w:hAnsi="Arial" w:cs="Arial"/>
                <w:sz w:val="8"/>
                <w:szCs w:val="8"/>
                <w:lang w:eastAsia="sq-AL"/>
              </w:rPr>
              <w:br/>
              <w:t xml:space="preserve">•Nevoja për fleksibilitet në sistemin e licencimit dhe shmangien e vonesave dhe pasigurive në procedura.  </w:t>
            </w:r>
            <w:r w:rsidRPr="00B6793F">
              <w:rPr>
                <w:rFonts w:ascii="Arial" w:eastAsia="Times New Roman" w:hAnsi="Arial" w:cs="Arial"/>
                <w:sz w:val="8"/>
                <w:szCs w:val="8"/>
                <w:lang w:eastAsia="sq-AL"/>
              </w:rPr>
              <w:br/>
              <w:t xml:space="preserve">•Konfigurimi aktual i Këshillit të Mbrojtjes dhe Sigurisë nuk garanton nivelin e duhur të koordinimit ndërinstitucional, duke ndikuar në mënyrë të drejtpërdrejtë në efikasitetin e vendimmarrjes strategjike. </w:t>
            </w:r>
            <w:r w:rsidRPr="00B6793F">
              <w:rPr>
                <w:rFonts w:ascii="Arial" w:eastAsia="Times New Roman" w:hAnsi="Arial" w:cs="Arial"/>
                <w:sz w:val="8"/>
                <w:szCs w:val="8"/>
                <w:lang w:eastAsia="sq-AL"/>
              </w:rPr>
              <w:br/>
              <w:t xml:space="preserve">• Dispozita ligjore të paqarta ose të pazbatueshme në praktikë, krijojnë boshllëqe normative  </w:t>
            </w:r>
            <w:r w:rsidRPr="00B6793F">
              <w:rPr>
                <w:rFonts w:ascii="Arial" w:eastAsia="Times New Roman" w:hAnsi="Arial" w:cs="Arial"/>
                <w:sz w:val="8"/>
                <w:szCs w:val="8"/>
                <w:lang w:eastAsia="sq-AL"/>
              </w:rPr>
              <w:br/>
              <w:t>•Nevoja për modernizimin dhe harmonizimin e kuadrit ligjor, në përputhje me zhvillimet teknologjike, kërkesat e sigurisë kombëtare dhe praktikat më të mira të Bashkimit Evropian.</w:t>
            </w:r>
          </w:p>
        </w:tc>
        <w:tc>
          <w:tcPr>
            <w:tcW w:w="478" w:type="pct"/>
            <w:tcBorders>
              <w:top w:val="nil"/>
              <w:left w:val="nil"/>
              <w:bottom w:val="single" w:sz="4" w:space="0" w:color="auto"/>
              <w:right w:val="single" w:sz="4" w:space="0" w:color="auto"/>
            </w:tcBorders>
            <w:shd w:val="clear" w:color="auto" w:fill="auto"/>
            <w:vAlign w:val="center"/>
            <w:hideMark/>
          </w:tcPr>
          <w:p w14:paraId="3689F58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br/>
              <w:t>• Krijimi i një liste kombëtare të armatimit ushtarak që do të miratohet në kuadër të Industrisë ushtarake duke përfshirë një gamë më të gjerë mallrash dhe produktesh sipas specifikave të industrisë ushtarake.</w:t>
            </w:r>
            <w:r w:rsidRPr="00B6793F">
              <w:rPr>
                <w:rFonts w:ascii="Arial" w:eastAsia="Times New Roman" w:hAnsi="Arial" w:cs="Arial"/>
                <w:sz w:val="8"/>
                <w:szCs w:val="8"/>
                <w:lang w:eastAsia="sq-AL"/>
              </w:rPr>
              <w:br/>
              <w:t>• Rregullimi i sistemit të licencimit duke përfshirë edhe autorizimet si pjesë e sistemit.</w:t>
            </w:r>
            <w:r w:rsidRPr="00B6793F">
              <w:rPr>
                <w:rFonts w:ascii="Arial" w:eastAsia="Times New Roman" w:hAnsi="Arial" w:cs="Arial"/>
                <w:sz w:val="8"/>
                <w:szCs w:val="8"/>
                <w:lang w:eastAsia="sq-AL"/>
              </w:rPr>
              <w:br/>
              <w:t>•Ndërhyrje në konfigurimin e Këshillit të mbrojtjes dhe sigurisë, me qëllim forcimin e koordinimit ndërinstitucional dhe rritjen e efikasitetit në proceset e vendimmarrjes strategjike.</w:t>
            </w:r>
            <w:r w:rsidRPr="00B6793F">
              <w:rPr>
                <w:rFonts w:ascii="Arial" w:eastAsia="Times New Roman" w:hAnsi="Arial" w:cs="Arial"/>
                <w:sz w:val="8"/>
                <w:szCs w:val="8"/>
                <w:lang w:eastAsia="sq-AL"/>
              </w:rPr>
              <w:br/>
              <w:t>•Ndryshimin e dispozitave ligjore të cilat kanë paqartësi dhe nuk janë të zbatueshme në praktikë.</w:t>
            </w:r>
          </w:p>
        </w:tc>
        <w:tc>
          <w:tcPr>
            <w:tcW w:w="373" w:type="pct"/>
            <w:tcBorders>
              <w:top w:val="nil"/>
              <w:left w:val="nil"/>
              <w:bottom w:val="single" w:sz="4" w:space="0" w:color="auto"/>
              <w:right w:val="single" w:sz="4" w:space="0" w:color="auto"/>
            </w:tcBorders>
            <w:shd w:val="clear" w:color="auto" w:fill="auto"/>
            <w:vAlign w:val="center"/>
            <w:hideMark/>
          </w:tcPr>
          <w:p w14:paraId="659C3E6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361244B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 shkronja "c", fq.19</w:t>
            </w:r>
          </w:p>
        </w:tc>
        <w:tc>
          <w:tcPr>
            <w:tcW w:w="336" w:type="pct"/>
            <w:tcBorders>
              <w:top w:val="nil"/>
              <w:left w:val="nil"/>
              <w:bottom w:val="single" w:sz="4" w:space="0" w:color="auto"/>
              <w:right w:val="single" w:sz="4" w:space="0" w:color="auto"/>
            </w:tcBorders>
            <w:shd w:val="clear" w:color="auto" w:fill="auto"/>
            <w:vAlign w:val="center"/>
            <w:hideMark/>
          </w:tcPr>
          <w:p w14:paraId="75E2F7C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1F4831D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për Mospërhapjen e Armëve të Dëmtimit në Masë MADM 2025</w:t>
            </w:r>
          </w:p>
        </w:tc>
        <w:tc>
          <w:tcPr>
            <w:tcW w:w="517" w:type="pct"/>
            <w:tcBorders>
              <w:top w:val="nil"/>
              <w:left w:val="nil"/>
              <w:bottom w:val="single" w:sz="4" w:space="0" w:color="auto"/>
              <w:right w:val="single" w:sz="4" w:space="0" w:color="auto"/>
            </w:tcBorders>
            <w:shd w:val="clear" w:color="auto" w:fill="auto"/>
            <w:vAlign w:val="center"/>
            <w:hideMark/>
          </w:tcPr>
          <w:p w14:paraId="2FAD90F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6EB2E420"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733D0F18"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19</w:t>
            </w:r>
          </w:p>
        </w:tc>
        <w:tc>
          <w:tcPr>
            <w:tcW w:w="481" w:type="pct"/>
            <w:tcBorders>
              <w:top w:val="nil"/>
              <w:left w:val="nil"/>
              <w:bottom w:val="single" w:sz="4" w:space="0" w:color="auto"/>
              <w:right w:val="single" w:sz="4" w:space="0" w:color="auto"/>
            </w:tcBorders>
            <w:shd w:val="clear" w:color="auto" w:fill="auto"/>
            <w:vAlign w:val="center"/>
            <w:hideMark/>
          </w:tcPr>
          <w:p w14:paraId="0879081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një ndryshim në ligjin nr. 73/2021, “Për hedhjen në treg dhe mbikëqyrjen e artikujve piroteknikë”</w:t>
            </w:r>
          </w:p>
        </w:tc>
        <w:tc>
          <w:tcPr>
            <w:tcW w:w="394" w:type="pct"/>
            <w:tcBorders>
              <w:top w:val="nil"/>
              <w:left w:val="nil"/>
              <w:bottom w:val="single" w:sz="4" w:space="0" w:color="auto"/>
              <w:right w:val="single" w:sz="4" w:space="0" w:color="auto"/>
            </w:tcBorders>
            <w:shd w:val="clear" w:color="auto" w:fill="auto"/>
            <w:vAlign w:val="center"/>
            <w:hideMark/>
          </w:tcPr>
          <w:p w14:paraId="2638950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8" w:type="pct"/>
            <w:tcBorders>
              <w:top w:val="nil"/>
              <w:left w:val="nil"/>
              <w:bottom w:val="single" w:sz="4" w:space="0" w:color="auto"/>
              <w:right w:val="single" w:sz="4" w:space="0" w:color="auto"/>
            </w:tcBorders>
            <w:shd w:val="clear" w:color="auto" w:fill="auto"/>
            <w:vAlign w:val="center"/>
            <w:hideMark/>
          </w:tcPr>
          <w:p w14:paraId="63B90CB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4D2ADCD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0068168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•Nenet 78 dhe 83, pika 1, të Kushtetutës të Republik së Shqipërisë</w:t>
            </w:r>
            <w:r w:rsidRPr="00B6793F">
              <w:rPr>
                <w:rFonts w:ascii="Arial" w:eastAsia="Times New Roman" w:hAnsi="Arial" w:cs="Arial"/>
                <w:sz w:val="8"/>
                <w:szCs w:val="8"/>
                <w:lang w:eastAsia="sq-AL"/>
              </w:rPr>
              <w:br/>
              <w:t>•Nuk janë parashikuar tarifat për aplikim të subjekteve që pajisen me licenca dhe autorizime</w:t>
            </w:r>
          </w:p>
        </w:tc>
        <w:tc>
          <w:tcPr>
            <w:tcW w:w="478" w:type="pct"/>
            <w:tcBorders>
              <w:top w:val="nil"/>
              <w:left w:val="nil"/>
              <w:bottom w:val="single" w:sz="4" w:space="0" w:color="auto"/>
              <w:right w:val="single" w:sz="4" w:space="0" w:color="auto"/>
            </w:tcBorders>
            <w:shd w:val="clear" w:color="auto" w:fill="auto"/>
            <w:vAlign w:val="center"/>
            <w:hideMark/>
          </w:tcPr>
          <w:p w14:paraId="3435FA4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•Synon të regullojë cështjen e parashikimit te tarifave të aplikimit </w:t>
            </w:r>
            <w:r w:rsidRPr="00B6793F">
              <w:rPr>
                <w:rFonts w:ascii="Arial" w:eastAsia="Times New Roman" w:hAnsi="Arial" w:cs="Arial"/>
                <w:sz w:val="8"/>
                <w:szCs w:val="8"/>
                <w:lang w:eastAsia="sq-AL"/>
              </w:rPr>
              <w:br/>
              <w:t xml:space="preserve"> •Nevoja për mbulimin e shpenzimeve administrative dhe të inspektimit</w:t>
            </w:r>
          </w:p>
        </w:tc>
        <w:tc>
          <w:tcPr>
            <w:tcW w:w="373" w:type="pct"/>
            <w:tcBorders>
              <w:top w:val="nil"/>
              <w:left w:val="nil"/>
              <w:bottom w:val="single" w:sz="4" w:space="0" w:color="auto"/>
              <w:right w:val="single" w:sz="4" w:space="0" w:color="auto"/>
            </w:tcBorders>
            <w:shd w:val="clear" w:color="auto" w:fill="auto"/>
            <w:vAlign w:val="center"/>
            <w:hideMark/>
          </w:tcPr>
          <w:p w14:paraId="15CEAA6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346C971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w:t>
            </w:r>
          </w:p>
        </w:tc>
        <w:tc>
          <w:tcPr>
            <w:tcW w:w="336" w:type="pct"/>
            <w:tcBorders>
              <w:top w:val="nil"/>
              <w:left w:val="nil"/>
              <w:bottom w:val="single" w:sz="4" w:space="0" w:color="auto"/>
              <w:right w:val="single" w:sz="4" w:space="0" w:color="auto"/>
            </w:tcBorders>
            <w:shd w:val="clear" w:color="auto" w:fill="auto"/>
            <w:vAlign w:val="center"/>
            <w:hideMark/>
          </w:tcPr>
          <w:p w14:paraId="44EC835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4076F5A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për Mospërhapjen e Armëve të Dëmtimit në Masë MADM 2025</w:t>
            </w:r>
          </w:p>
        </w:tc>
        <w:tc>
          <w:tcPr>
            <w:tcW w:w="517" w:type="pct"/>
            <w:tcBorders>
              <w:top w:val="nil"/>
              <w:left w:val="nil"/>
              <w:bottom w:val="single" w:sz="4" w:space="0" w:color="auto"/>
              <w:right w:val="single" w:sz="4" w:space="0" w:color="auto"/>
            </w:tcBorders>
            <w:shd w:val="clear" w:color="auto" w:fill="auto"/>
            <w:vAlign w:val="center"/>
            <w:hideMark/>
          </w:tcPr>
          <w:p w14:paraId="2EBB9E4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Ekonomik</w:t>
            </w:r>
            <w:r w:rsidRPr="00B6793F">
              <w:rPr>
                <w:rFonts w:ascii="Arial" w:eastAsia="Times New Roman" w:hAnsi="Arial" w:cs="Arial"/>
                <w:sz w:val="8"/>
                <w:szCs w:val="8"/>
                <w:lang w:eastAsia="sq-AL"/>
              </w:rPr>
              <w:br/>
              <w:t>•Vendosja e tarifave krijon një mekanizëm të qartë dhe të ligjshëm për mbledhjen e të ardhurave, si dhe redukton nevojën për mbështetje shtesë nga buxheti i shtetit dhe përmirëson planifikimin buxhetor</w:t>
            </w:r>
          </w:p>
        </w:tc>
      </w:tr>
      <w:tr w:rsidR="00350C6B" w:rsidRPr="00B6793F" w14:paraId="09F7EC1B"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5FE68886"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20</w:t>
            </w:r>
          </w:p>
        </w:tc>
        <w:tc>
          <w:tcPr>
            <w:tcW w:w="481" w:type="pct"/>
            <w:tcBorders>
              <w:top w:val="nil"/>
              <w:left w:val="nil"/>
              <w:bottom w:val="single" w:sz="4" w:space="0" w:color="auto"/>
              <w:right w:val="single" w:sz="4" w:space="0" w:color="auto"/>
            </w:tcBorders>
            <w:shd w:val="clear" w:color="auto" w:fill="auto"/>
            <w:vAlign w:val="center"/>
            <w:hideMark/>
          </w:tcPr>
          <w:p w14:paraId="2A1061E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një ndryshim në ligjin nr. 74/2021, “Për hedhjen në treg dhe mbikëqyrjen e lëndëve plasëse për përdorim civil”</w:t>
            </w:r>
          </w:p>
        </w:tc>
        <w:tc>
          <w:tcPr>
            <w:tcW w:w="394" w:type="pct"/>
            <w:tcBorders>
              <w:top w:val="nil"/>
              <w:left w:val="nil"/>
              <w:bottom w:val="single" w:sz="4" w:space="0" w:color="auto"/>
              <w:right w:val="single" w:sz="4" w:space="0" w:color="auto"/>
            </w:tcBorders>
            <w:shd w:val="clear" w:color="auto" w:fill="auto"/>
            <w:vAlign w:val="center"/>
            <w:hideMark/>
          </w:tcPr>
          <w:p w14:paraId="5188EA5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Projektligj </w:t>
            </w:r>
          </w:p>
        </w:tc>
        <w:tc>
          <w:tcPr>
            <w:tcW w:w="338" w:type="pct"/>
            <w:tcBorders>
              <w:top w:val="nil"/>
              <w:left w:val="nil"/>
              <w:bottom w:val="single" w:sz="4" w:space="0" w:color="auto"/>
              <w:right w:val="single" w:sz="4" w:space="0" w:color="auto"/>
            </w:tcBorders>
            <w:shd w:val="clear" w:color="auto" w:fill="auto"/>
            <w:vAlign w:val="center"/>
            <w:hideMark/>
          </w:tcPr>
          <w:p w14:paraId="0C928BA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6D05730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051A545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•Nenet 78 dhe 83, pika 1, të Kushtetutës të Republik së Shqipërisë</w:t>
            </w:r>
            <w:r w:rsidRPr="00B6793F">
              <w:rPr>
                <w:rFonts w:ascii="Arial" w:eastAsia="Times New Roman" w:hAnsi="Arial" w:cs="Arial"/>
                <w:sz w:val="8"/>
                <w:szCs w:val="8"/>
                <w:lang w:eastAsia="sq-AL"/>
              </w:rPr>
              <w:br/>
              <w:t>•Nuk janë parashikuar tarifat për aplikim të subjekteve që pajisen me licensa dhe autorizime</w:t>
            </w:r>
          </w:p>
        </w:tc>
        <w:tc>
          <w:tcPr>
            <w:tcW w:w="478" w:type="pct"/>
            <w:tcBorders>
              <w:top w:val="nil"/>
              <w:left w:val="nil"/>
              <w:bottom w:val="single" w:sz="4" w:space="0" w:color="auto"/>
              <w:right w:val="single" w:sz="4" w:space="0" w:color="auto"/>
            </w:tcBorders>
            <w:shd w:val="clear" w:color="auto" w:fill="auto"/>
            <w:vAlign w:val="center"/>
            <w:hideMark/>
          </w:tcPr>
          <w:p w14:paraId="5E2373F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•Synon të regullojë cështjen e parashikimit te tarifave të aplikimit </w:t>
            </w:r>
            <w:r w:rsidRPr="00B6793F">
              <w:rPr>
                <w:rFonts w:ascii="Arial" w:eastAsia="Times New Roman" w:hAnsi="Arial" w:cs="Arial"/>
                <w:sz w:val="8"/>
                <w:szCs w:val="8"/>
                <w:lang w:eastAsia="sq-AL"/>
              </w:rPr>
              <w:br/>
              <w:t xml:space="preserve"> •Nevoja për mbulimin e shpenzimeve administrative dhe të inspektimit</w:t>
            </w:r>
          </w:p>
        </w:tc>
        <w:tc>
          <w:tcPr>
            <w:tcW w:w="373" w:type="pct"/>
            <w:tcBorders>
              <w:top w:val="nil"/>
              <w:left w:val="nil"/>
              <w:bottom w:val="single" w:sz="4" w:space="0" w:color="auto"/>
              <w:right w:val="single" w:sz="4" w:space="0" w:color="auto"/>
            </w:tcBorders>
            <w:shd w:val="clear" w:color="auto" w:fill="auto"/>
            <w:vAlign w:val="center"/>
            <w:hideMark/>
          </w:tcPr>
          <w:p w14:paraId="1125829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670F678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w:t>
            </w:r>
          </w:p>
        </w:tc>
        <w:tc>
          <w:tcPr>
            <w:tcW w:w="336" w:type="pct"/>
            <w:tcBorders>
              <w:top w:val="nil"/>
              <w:left w:val="nil"/>
              <w:bottom w:val="single" w:sz="4" w:space="0" w:color="auto"/>
              <w:right w:val="single" w:sz="4" w:space="0" w:color="auto"/>
            </w:tcBorders>
            <w:shd w:val="clear" w:color="auto" w:fill="auto"/>
            <w:vAlign w:val="center"/>
            <w:hideMark/>
          </w:tcPr>
          <w:p w14:paraId="5503278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7510CB3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për Mospërhapjen e Armëve të Dëmtimit në Masë MADM 2025</w:t>
            </w:r>
          </w:p>
        </w:tc>
        <w:tc>
          <w:tcPr>
            <w:tcW w:w="517" w:type="pct"/>
            <w:tcBorders>
              <w:top w:val="nil"/>
              <w:left w:val="nil"/>
              <w:bottom w:val="single" w:sz="4" w:space="0" w:color="auto"/>
              <w:right w:val="single" w:sz="4" w:space="0" w:color="auto"/>
            </w:tcBorders>
            <w:shd w:val="clear" w:color="auto" w:fill="auto"/>
            <w:vAlign w:val="center"/>
            <w:hideMark/>
          </w:tcPr>
          <w:p w14:paraId="2052223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•Po, Ndikim Ekonomik</w:t>
            </w:r>
            <w:r w:rsidRPr="00B6793F">
              <w:rPr>
                <w:rFonts w:ascii="Arial" w:eastAsia="Times New Roman" w:hAnsi="Arial" w:cs="Arial"/>
                <w:sz w:val="8"/>
                <w:szCs w:val="8"/>
                <w:lang w:eastAsia="sq-AL"/>
              </w:rPr>
              <w:br/>
              <w:t>•Vendosja e tarifave krijon një mekanizëm të qartë dhe të ligjshëm për mbledhjen e të ardhurave, si dhe redukton nevojën për mbështetje shtesë nga buxheti i shtetit dhe përmirëson planifikimin buxhetor</w:t>
            </w:r>
          </w:p>
        </w:tc>
      </w:tr>
      <w:tr w:rsidR="00350C6B" w:rsidRPr="00B6793F" w14:paraId="292F00BA"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72983E8"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21</w:t>
            </w:r>
          </w:p>
        </w:tc>
        <w:tc>
          <w:tcPr>
            <w:tcW w:w="481" w:type="pct"/>
            <w:tcBorders>
              <w:top w:val="nil"/>
              <w:left w:val="nil"/>
              <w:bottom w:val="single" w:sz="4" w:space="0" w:color="auto"/>
              <w:right w:val="single" w:sz="4" w:space="0" w:color="auto"/>
            </w:tcBorders>
            <w:shd w:val="clear" w:color="auto" w:fill="auto"/>
            <w:vAlign w:val="center"/>
            <w:hideMark/>
          </w:tcPr>
          <w:p w14:paraId="5EB6025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disa shtesa dhe ndryshime në “Vendimin e Këshillit të Ministrave nr. 793, datë 19.12.2024 Për "Licencat dhe autorizimet e lëshuara nga Agjencia e Industrisë së Mbrojtjes"</w:t>
            </w:r>
          </w:p>
        </w:tc>
        <w:tc>
          <w:tcPr>
            <w:tcW w:w="394" w:type="pct"/>
            <w:tcBorders>
              <w:top w:val="nil"/>
              <w:left w:val="nil"/>
              <w:bottom w:val="single" w:sz="4" w:space="0" w:color="auto"/>
              <w:right w:val="single" w:sz="4" w:space="0" w:color="auto"/>
            </w:tcBorders>
            <w:shd w:val="clear" w:color="auto" w:fill="auto"/>
            <w:vAlign w:val="center"/>
            <w:hideMark/>
          </w:tcPr>
          <w:p w14:paraId="0783CF9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66C0B35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09AD13B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4FDAC1D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5, e nenit 12 dhe pika 3, e nenit 14, të ligjit nr. 87/2024, “Për rregullimin e prodhimit, tregtimit, kërkimit dhe zhvillimit të armëve,municioneve, pajisjeve dhe teknologjive ushtarake"</w:t>
            </w:r>
            <w:r w:rsidRPr="00B6793F">
              <w:rPr>
                <w:rFonts w:ascii="Arial" w:eastAsia="Times New Roman" w:hAnsi="Arial" w:cs="Arial"/>
                <w:sz w:val="8"/>
                <w:szCs w:val="8"/>
                <w:lang w:eastAsia="sq-AL"/>
              </w:rPr>
              <w:br/>
              <w:t>•Zbatimi i Vendimit të Këshillit të Ministrave nr. 793/2024 ka krijuar procedura të mbingarkuara për licencim/autorizim.</w:t>
            </w:r>
            <w:r w:rsidRPr="00B6793F">
              <w:rPr>
                <w:rFonts w:ascii="Arial" w:eastAsia="Times New Roman" w:hAnsi="Arial" w:cs="Arial"/>
                <w:sz w:val="8"/>
                <w:szCs w:val="8"/>
                <w:lang w:eastAsia="sq-AL"/>
              </w:rPr>
              <w:br/>
              <w:t xml:space="preserve">•Dokumentacion i tepërt i përsëritur,  shpesh pa ndikim real në procesin e vlerësimit të sigurisë ose kapaciteteve teknike të aplikuesve. </w:t>
            </w:r>
            <w:r w:rsidRPr="00B6793F">
              <w:rPr>
                <w:rFonts w:ascii="Arial" w:eastAsia="Times New Roman" w:hAnsi="Arial" w:cs="Arial"/>
                <w:sz w:val="8"/>
                <w:szCs w:val="8"/>
                <w:lang w:eastAsia="sq-AL"/>
              </w:rPr>
              <w:br/>
              <w:t>•Vonesa në dhënien e licencave dhe rritje të kostove administrative, si për subjektet private, ashtu edhe për vetë AIM.</w:t>
            </w:r>
            <w:r w:rsidRPr="00B6793F">
              <w:rPr>
                <w:rFonts w:ascii="Arial" w:eastAsia="Times New Roman" w:hAnsi="Arial" w:cs="Arial"/>
                <w:sz w:val="8"/>
                <w:szCs w:val="8"/>
                <w:lang w:eastAsia="sq-AL"/>
              </w:rPr>
              <w:br/>
              <w:t>•Nevojitet ndërhyrje për reduktimin e dokumentacionit të kërkuar dhe lehtësimin e procedurave, duke ruajtur në çdo rast standardet e sigurisë dhe kontrollit shtetëror.</w:t>
            </w:r>
          </w:p>
        </w:tc>
        <w:tc>
          <w:tcPr>
            <w:tcW w:w="478" w:type="pct"/>
            <w:tcBorders>
              <w:top w:val="nil"/>
              <w:left w:val="nil"/>
              <w:bottom w:val="single" w:sz="4" w:space="0" w:color="auto"/>
              <w:right w:val="single" w:sz="4" w:space="0" w:color="auto"/>
            </w:tcBorders>
            <w:shd w:val="clear" w:color="auto" w:fill="auto"/>
            <w:vAlign w:val="center"/>
            <w:hideMark/>
          </w:tcPr>
          <w:p w14:paraId="164AB42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 Thjeshtimi i procedurave burokratike në procesin e licencimit dhe autorizimit.</w:t>
            </w:r>
            <w:r w:rsidRPr="00B6793F">
              <w:rPr>
                <w:rFonts w:ascii="Arial" w:eastAsia="Times New Roman" w:hAnsi="Arial" w:cs="Arial"/>
                <w:sz w:val="8"/>
                <w:szCs w:val="8"/>
                <w:lang w:eastAsia="sq-AL"/>
              </w:rPr>
              <w:br/>
              <w:t>2. Ulja e barrës administrative për subjektet dhe për AIM.</w:t>
            </w:r>
            <w:r w:rsidRPr="00B6793F">
              <w:rPr>
                <w:rFonts w:ascii="Arial" w:eastAsia="Times New Roman" w:hAnsi="Arial" w:cs="Arial"/>
                <w:sz w:val="8"/>
                <w:szCs w:val="8"/>
                <w:lang w:eastAsia="sq-AL"/>
              </w:rPr>
              <w:br/>
              <w:t>3. Standardizimi i dokumenteve bazë dhe dixhitalizimi i shkëmbimit të informacionit.</w:t>
            </w:r>
            <w:r w:rsidRPr="00B6793F">
              <w:rPr>
                <w:rFonts w:ascii="Arial" w:eastAsia="Times New Roman" w:hAnsi="Arial" w:cs="Arial"/>
                <w:sz w:val="8"/>
                <w:szCs w:val="8"/>
                <w:lang w:eastAsia="sq-AL"/>
              </w:rPr>
              <w:br/>
              <w:t>4. Rritja e efikasitetit dhe transparencës në shqyrtimin e aplikimeve.</w:t>
            </w:r>
            <w:r w:rsidRPr="00B6793F">
              <w:rPr>
                <w:rFonts w:ascii="Arial" w:eastAsia="Times New Roman" w:hAnsi="Arial" w:cs="Arial"/>
                <w:sz w:val="8"/>
                <w:szCs w:val="8"/>
                <w:lang w:eastAsia="sq-AL"/>
              </w:rPr>
              <w:br/>
              <w:t>5. Përputhja e procedurave me parimet e menaxhimit modern publik dhe praktikat e BE-së.</w:t>
            </w:r>
          </w:p>
        </w:tc>
        <w:tc>
          <w:tcPr>
            <w:tcW w:w="373" w:type="pct"/>
            <w:tcBorders>
              <w:top w:val="nil"/>
              <w:left w:val="nil"/>
              <w:bottom w:val="single" w:sz="4" w:space="0" w:color="auto"/>
              <w:right w:val="single" w:sz="4" w:space="0" w:color="auto"/>
            </w:tcBorders>
            <w:shd w:val="clear" w:color="auto" w:fill="auto"/>
            <w:vAlign w:val="center"/>
            <w:hideMark/>
          </w:tcPr>
          <w:p w14:paraId="4AED7F8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1443201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Shqipëria 2030    Shtylla I "Shqipëria Evropiane", pika 1.6, shkronja "c", fq.19</w:t>
            </w:r>
          </w:p>
        </w:tc>
        <w:tc>
          <w:tcPr>
            <w:tcW w:w="336" w:type="pct"/>
            <w:tcBorders>
              <w:top w:val="nil"/>
              <w:left w:val="nil"/>
              <w:bottom w:val="single" w:sz="4" w:space="0" w:color="auto"/>
              <w:right w:val="single" w:sz="4" w:space="0" w:color="auto"/>
            </w:tcBorders>
            <w:shd w:val="clear" w:color="auto" w:fill="auto"/>
            <w:vAlign w:val="center"/>
            <w:hideMark/>
          </w:tcPr>
          <w:p w14:paraId="6E32B9F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2B16227C"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517" w:type="pct"/>
            <w:tcBorders>
              <w:top w:val="nil"/>
              <w:left w:val="nil"/>
              <w:bottom w:val="single" w:sz="4" w:space="0" w:color="auto"/>
              <w:right w:val="single" w:sz="4" w:space="0" w:color="auto"/>
            </w:tcBorders>
            <w:shd w:val="clear" w:color="auto" w:fill="auto"/>
            <w:vAlign w:val="center"/>
            <w:hideMark/>
          </w:tcPr>
          <w:p w14:paraId="0B35C76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5E51C3A0"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B3B984B"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22</w:t>
            </w:r>
          </w:p>
        </w:tc>
        <w:tc>
          <w:tcPr>
            <w:tcW w:w="481" w:type="pct"/>
            <w:tcBorders>
              <w:top w:val="nil"/>
              <w:left w:val="nil"/>
              <w:bottom w:val="single" w:sz="4" w:space="0" w:color="auto"/>
              <w:right w:val="single" w:sz="4" w:space="0" w:color="auto"/>
            </w:tcBorders>
            <w:shd w:val="clear" w:color="auto" w:fill="auto"/>
            <w:vAlign w:val="center"/>
            <w:hideMark/>
          </w:tcPr>
          <w:p w14:paraId="084E3BF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"Për disa shtesa dhe ndryshime në vendimin nr. 392, datë 30.06.2021, të Këshillit të Ministrave, “Për përcaktimin e specialiteteve në FA”, i ndryshuar</w:t>
            </w:r>
          </w:p>
        </w:tc>
        <w:tc>
          <w:tcPr>
            <w:tcW w:w="394" w:type="pct"/>
            <w:tcBorders>
              <w:top w:val="nil"/>
              <w:left w:val="nil"/>
              <w:bottom w:val="single" w:sz="4" w:space="0" w:color="auto"/>
              <w:right w:val="single" w:sz="4" w:space="0" w:color="auto"/>
            </w:tcBorders>
            <w:shd w:val="clear" w:color="auto" w:fill="auto"/>
            <w:vAlign w:val="center"/>
            <w:hideMark/>
          </w:tcPr>
          <w:p w14:paraId="3C5FD1A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42FA690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1B9C135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4D9E329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Pika 1/1, e nenit 21, të ligjit nr. 59/2014,“Për karrierën ushtarake në Forcat e Armatosura të Republikës së Shqipërisë”, të ndryshuar</w:t>
            </w:r>
            <w:r w:rsidRPr="00B6793F">
              <w:rPr>
                <w:rFonts w:ascii="Arial" w:eastAsia="Times New Roman" w:hAnsi="Arial" w:cs="Arial"/>
                <w:sz w:val="8"/>
                <w:szCs w:val="8"/>
                <w:lang w:eastAsia="sq-AL"/>
              </w:rPr>
              <w:br/>
              <w:t xml:space="preserve"> •Përfshirja e specialiteteve të tjera të domosdoshme për ruajtjen e kapaciteteve njerëzore dhe profesionale në Forcat e Armatosura</w:t>
            </w:r>
          </w:p>
        </w:tc>
        <w:tc>
          <w:tcPr>
            <w:tcW w:w="478" w:type="pct"/>
            <w:tcBorders>
              <w:top w:val="nil"/>
              <w:left w:val="nil"/>
              <w:bottom w:val="single" w:sz="4" w:space="0" w:color="auto"/>
              <w:right w:val="single" w:sz="4" w:space="0" w:color="auto"/>
            </w:tcBorders>
            <w:shd w:val="clear" w:color="auto" w:fill="auto"/>
            <w:vAlign w:val="center"/>
            <w:hideMark/>
          </w:tcPr>
          <w:p w14:paraId="4906AF3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 •Shtohet spektri i specialiteteve të Forcave të Armatosura që rrezikojnë të humbasin dhe kanë si objektiv kryesor ruajtjen e kapaciteteve njërzore.</w:t>
            </w:r>
          </w:p>
        </w:tc>
        <w:tc>
          <w:tcPr>
            <w:tcW w:w="373" w:type="pct"/>
            <w:tcBorders>
              <w:top w:val="nil"/>
              <w:left w:val="nil"/>
              <w:bottom w:val="single" w:sz="4" w:space="0" w:color="auto"/>
              <w:right w:val="single" w:sz="4" w:space="0" w:color="auto"/>
            </w:tcBorders>
            <w:shd w:val="clear" w:color="auto" w:fill="auto"/>
            <w:vAlign w:val="center"/>
            <w:hideMark/>
          </w:tcPr>
          <w:p w14:paraId="207D3A0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7F2734D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1E222AD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1FD1553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PAZHFA 2024-2033</w:t>
            </w:r>
          </w:p>
        </w:tc>
        <w:tc>
          <w:tcPr>
            <w:tcW w:w="517" w:type="pct"/>
            <w:tcBorders>
              <w:top w:val="nil"/>
              <w:left w:val="nil"/>
              <w:bottom w:val="single" w:sz="4" w:space="0" w:color="auto"/>
              <w:right w:val="single" w:sz="4" w:space="0" w:color="auto"/>
            </w:tcBorders>
            <w:shd w:val="clear" w:color="auto" w:fill="auto"/>
            <w:vAlign w:val="center"/>
            <w:hideMark/>
          </w:tcPr>
          <w:p w14:paraId="3CBDF44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4DCDF697"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01CABDED"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23</w:t>
            </w:r>
          </w:p>
        </w:tc>
        <w:tc>
          <w:tcPr>
            <w:tcW w:w="481" w:type="pct"/>
            <w:tcBorders>
              <w:top w:val="nil"/>
              <w:left w:val="nil"/>
              <w:bottom w:val="single" w:sz="4" w:space="0" w:color="auto"/>
              <w:right w:val="single" w:sz="4" w:space="0" w:color="auto"/>
            </w:tcBorders>
            <w:shd w:val="clear" w:color="auto" w:fill="auto"/>
            <w:vAlign w:val="center"/>
            <w:hideMark/>
          </w:tcPr>
          <w:p w14:paraId="59E4D6A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vendimin nr. 289, datë 17.05.2023 të Këshillit të Ministrave “Për pjesëmarrjen e personelit të Forcave të Armatosura të Rapublikës së Shqipërisë si pjesë e Forcës Shumëkombëshe dhe Vëzhguesve (Multinational Force and Observes MFO), në Sinai, Republika Arabe e Egjiptit”. </w:t>
            </w:r>
          </w:p>
        </w:tc>
        <w:tc>
          <w:tcPr>
            <w:tcW w:w="394" w:type="pct"/>
            <w:tcBorders>
              <w:top w:val="nil"/>
              <w:left w:val="nil"/>
              <w:bottom w:val="single" w:sz="4" w:space="0" w:color="auto"/>
              <w:right w:val="single" w:sz="4" w:space="0" w:color="auto"/>
            </w:tcBorders>
            <w:shd w:val="clear" w:color="auto" w:fill="auto"/>
            <w:vAlign w:val="center"/>
            <w:hideMark/>
          </w:tcPr>
          <w:p w14:paraId="3B0CCA2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74B3E4B9"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345A940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11ECBB8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 2, e nenit 6, të  ligjit nr. 9363, datë 24.3.2005,“Për dërgimin e Forcave të Armatosura të Republikës së Shqipërisë jashtë vendit, si dhe për mënyrëne procedurat e vendosjes dhe kalimit të forcave ushtarake të huaja në territorin e Republikës sëShqipërisë”, të ndryshuar, dhe të shkronja “ç”, të nenit 11, të ligjit nr. 64/2014, “Për pushtetet dhe autoritetet e drejtimit e të komandimit të Forcave të Armatosura të Republikës së Shqipërisë”, të ndryshuar</w:t>
            </w:r>
            <w:r w:rsidRPr="00B6793F">
              <w:rPr>
                <w:rFonts w:ascii="Arial" w:eastAsia="Times New Roman" w:hAnsi="Arial" w:cs="Arial"/>
                <w:sz w:val="8"/>
                <w:szCs w:val="8"/>
                <w:lang w:eastAsia="sq-AL"/>
              </w:rPr>
              <w:br/>
              <w:t xml:space="preserve"> •Mbaron afati i zbatimit në datën 15.06.2026</w:t>
            </w:r>
          </w:p>
        </w:tc>
        <w:tc>
          <w:tcPr>
            <w:tcW w:w="478" w:type="pct"/>
            <w:tcBorders>
              <w:top w:val="nil"/>
              <w:left w:val="nil"/>
              <w:bottom w:val="single" w:sz="4" w:space="0" w:color="auto"/>
              <w:right w:val="single" w:sz="4" w:space="0" w:color="auto"/>
            </w:tcBorders>
            <w:shd w:val="clear" w:color="auto" w:fill="auto"/>
            <w:vAlign w:val="center"/>
            <w:hideMark/>
          </w:tcPr>
          <w:p w14:paraId="41E25F9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br/>
              <w:t>•Plotësimin me kuader ligjor për  pjesëmarrjen e personelit të Forcave të Armatosura të Republikës së Shqipërisë si pjesë e Forcës Shumëkombëshe dhe Vëzhguesve (Multinational Force and Observes MFO), në Sinai, Republika Arabe e Egjiptit,  në kuader të angazhimeve ndërkombetare të vendit tonë.</w:t>
            </w:r>
          </w:p>
        </w:tc>
        <w:tc>
          <w:tcPr>
            <w:tcW w:w="373" w:type="pct"/>
            <w:tcBorders>
              <w:top w:val="nil"/>
              <w:left w:val="nil"/>
              <w:bottom w:val="single" w:sz="4" w:space="0" w:color="auto"/>
              <w:right w:val="single" w:sz="4" w:space="0" w:color="auto"/>
            </w:tcBorders>
            <w:shd w:val="clear" w:color="auto" w:fill="auto"/>
            <w:vAlign w:val="center"/>
            <w:hideMark/>
          </w:tcPr>
          <w:p w14:paraId="2479026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515D591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052FD25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16A57800"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Ushtarake</w:t>
            </w:r>
          </w:p>
        </w:tc>
        <w:tc>
          <w:tcPr>
            <w:tcW w:w="517" w:type="pct"/>
            <w:tcBorders>
              <w:top w:val="nil"/>
              <w:left w:val="nil"/>
              <w:bottom w:val="single" w:sz="4" w:space="0" w:color="auto"/>
              <w:right w:val="single" w:sz="4" w:space="0" w:color="auto"/>
            </w:tcBorders>
            <w:shd w:val="clear" w:color="auto" w:fill="auto"/>
            <w:vAlign w:val="center"/>
            <w:hideMark/>
          </w:tcPr>
          <w:p w14:paraId="64F95F6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29601F09"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7179E894"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24</w:t>
            </w:r>
          </w:p>
        </w:tc>
        <w:tc>
          <w:tcPr>
            <w:tcW w:w="481" w:type="pct"/>
            <w:tcBorders>
              <w:top w:val="nil"/>
              <w:left w:val="nil"/>
              <w:bottom w:val="single" w:sz="4" w:space="0" w:color="auto"/>
              <w:right w:val="single" w:sz="4" w:space="0" w:color="auto"/>
            </w:tcBorders>
            <w:shd w:val="clear" w:color="auto" w:fill="auto"/>
            <w:vAlign w:val="center"/>
            <w:hideMark/>
          </w:tcPr>
          <w:p w14:paraId="6CDC5AE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vendimin nr. 475, datë 08.06.2017 të Këshillit të Ministrave “Për pjesëmarrjen e një toge të Forcave të Armatosura të Rapublikës së Shqipërisë në operacionin ushtarak të NATO-s, në Letoni, i ndryshuar. </w:t>
            </w:r>
          </w:p>
        </w:tc>
        <w:tc>
          <w:tcPr>
            <w:tcW w:w="394" w:type="pct"/>
            <w:tcBorders>
              <w:top w:val="nil"/>
              <w:left w:val="nil"/>
              <w:bottom w:val="single" w:sz="4" w:space="0" w:color="auto"/>
              <w:right w:val="single" w:sz="4" w:space="0" w:color="auto"/>
            </w:tcBorders>
            <w:shd w:val="clear" w:color="auto" w:fill="auto"/>
            <w:vAlign w:val="center"/>
            <w:hideMark/>
          </w:tcPr>
          <w:p w14:paraId="5C98CB9A"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6CC7B1E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43FFE3E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4AD6BC6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•Neni 6, pika 5 dhe neni 7, të ligjit nr. 9363, datë24.3.2005, “Për dërgimin e Forcave të Armatosura të Republikës së Shqipërisë jashtë vendit, si dhepër mënyrën e procedurat e vendosjes dhe të kalimit të forcave ushtarake të huaja në territorin e Republikës së Shqipërisë”, të ndryshuar, dhe shkronja “ç”, të nenit 11, të ligjit nr. 64/2014, “Për pushtetet dhe autoritetet e drejtimit e të komandimit të Forcave të Armatosura të Republikës sëShqipërisë”, të ndryshuar.</w:t>
            </w:r>
            <w:r w:rsidRPr="00B6793F">
              <w:rPr>
                <w:rFonts w:ascii="Arial" w:eastAsia="Times New Roman" w:hAnsi="Arial" w:cs="Arial"/>
                <w:sz w:val="8"/>
                <w:szCs w:val="8"/>
                <w:lang w:eastAsia="sq-AL"/>
              </w:rPr>
              <w:br/>
              <w:t xml:space="preserve">• Mbaron afati i zbatimit.  </w:t>
            </w:r>
          </w:p>
        </w:tc>
        <w:tc>
          <w:tcPr>
            <w:tcW w:w="478" w:type="pct"/>
            <w:tcBorders>
              <w:top w:val="nil"/>
              <w:left w:val="nil"/>
              <w:bottom w:val="single" w:sz="4" w:space="0" w:color="auto"/>
              <w:right w:val="single" w:sz="4" w:space="0" w:color="auto"/>
            </w:tcBorders>
            <w:shd w:val="clear" w:color="auto" w:fill="auto"/>
            <w:vAlign w:val="center"/>
            <w:hideMark/>
          </w:tcPr>
          <w:p w14:paraId="2B06B10F"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•Plotësimi me kuader ligjor për  pjesëmarrjen e një toge të Forcave të Armatosura të Republikës së Shqipërisë në operacionin ushtarak të NATO-s, në Letoni, në kuadër të angazhimeve ndërkombëtare të vendit tonë.</w:t>
            </w:r>
            <w:r w:rsidRPr="00B6793F">
              <w:rPr>
                <w:rFonts w:ascii="Arial" w:eastAsia="Times New Roman" w:hAnsi="Arial" w:cs="Arial"/>
                <w:sz w:val="8"/>
                <w:szCs w:val="8"/>
                <w:lang w:eastAsia="sq-AL"/>
              </w:rPr>
              <w:br/>
              <w:t xml:space="preserve">•Afati deri në 31 dhjetor 2026 </w:t>
            </w:r>
          </w:p>
        </w:tc>
        <w:tc>
          <w:tcPr>
            <w:tcW w:w="373" w:type="pct"/>
            <w:tcBorders>
              <w:top w:val="nil"/>
              <w:left w:val="nil"/>
              <w:bottom w:val="single" w:sz="4" w:space="0" w:color="auto"/>
              <w:right w:val="single" w:sz="4" w:space="0" w:color="auto"/>
            </w:tcBorders>
            <w:shd w:val="clear" w:color="auto" w:fill="auto"/>
            <w:vAlign w:val="center"/>
            <w:hideMark/>
          </w:tcPr>
          <w:p w14:paraId="3AC346AB"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707AED21"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36E7F11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7B19D58D"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Ushtarake</w:t>
            </w:r>
          </w:p>
        </w:tc>
        <w:tc>
          <w:tcPr>
            <w:tcW w:w="517" w:type="pct"/>
            <w:tcBorders>
              <w:top w:val="nil"/>
              <w:left w:val="nil"/>
              <w:bottom w:val="single" w:sz="4" w:space="0" w:color="auto"/>
              <w:right w:val="single" w:sz="4" w:space="0" w:color="auto"/>
            </w:tcBorders>
            <w:shd w:val="clear" w:color="auto" w:fill="auto"/>
            <w:vAlign w:val="center"/>
            <w:hideMark/>
          </w:tcPr>
          <w:p w14:paraId="2922714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r w:rsidR="00350C6B" w:rsidRPr="00B6793F" w14:paraId="496B668E" w14:textId="77777777" w:rsidTr="00350C6B">
        <w:trPr>
          <w:trHeight w:val="180"/>
          <w:jc w:val="center"/>
        </w:trPr>
        <w:tc>
          <w:tcPr>
            <w:tcW w:w="179" w:type="pct"/>
            <w:tcBorders>
              <w:top w:val="nil"/>
              <w:left w:val="single" w:sz="4" w:space="0" w:color="auto"/>
              <w:bottom w:val="single" w:sz="4" w:space="0" w:color="auto"/>
              <w:right w:val="single" w:sz="4" w:space="0" w:color="auto"/>
            </w:tcBorders>
            <w:shd w:val="clear" w:color="auto" w:fill="auto"/>
            <w:noWrap/>
            <w:vAlign w:val="center"/>
            <w:hideMark/>
          </w:tcPr>
          <w:p w14:paraId="6793743C" w14:textId="77777777" w:rsidR="00350C6B" w:rsidRPr="00B6793F" w:rsidRDefault="00350C6B" w:rsidP="00350C6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25</w:t>
            </w:r>
          </w:p>
        </w:tc>
        <w:tc>
          <w:tcPr>
            <w:tcW w:w="481" w:type="pct"/>
            <w:tcBorders>
              <w:top w:val="nil"/>
              <w:left w:val="nil"/>
              <w:bottom w:val="single" w:sz="4" w:space="0" w:color="auto"/>
              <w:right w:val="single" w:sz="4" w:space="0" w:color="auto"/>
            </w:tcBorders>
            <w:shd w:val="clear" w:color="auto" w:fill="auto"/>
            <w:vAlign w:val="center"/>
            <w:hideMark/>
          </w:tcPr>
          <w:p w14:paraId="1EDF0514"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"Për disa ndryshime në vendimin nr. 805, datë 28.12.2023 të Këshillit të Ministrave “Për përcaktimin estatusit, mënyrave të pjesëmarrjes dhe masës së dietës ditore për vështirësi shërbimi të personelit të Forcave të Armatosura të Rapublikës së Shqipërisë në misionin e Kombeve të Bashkuara në UNISFA" </w:t>
            </w:r>
          </w:p>
        </w:tc>
        <w:tc>
          <w:tcPr>
            <w:tcW w:w="394" w:type="pct"/>
            <w:tcBorders>
              <w:top w:val="nil"/>
              <w:left w:val="nil"/>
              <w:bottom w:val="single" w:sz="4" w:space="0" w:color="auto"/>
              <w:right w:val="single" w:sz="4" w:space="0" w:color="auto"/>
            </w:tcBorders>
            <w:shd w:val="clear" w:color="auto" w:fill="auto"/>
            <w:vAlign w:val="center"/>
            <w:hideMark/>
          </w:tcPr>
          <w:p w14:paraId="6CD29D9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38" w:type="pct"/>
            <w:tcBorders>
              <w:top w:val="nil"/>
              <w:left w:val="nil"/>
              <w:bottom w:val="single" w:sz="4" w:space="0" w:color="auto"/>
              <w:right w:val="single" w:sz="4" w:space="0" w:color="auto"/>
            </w:tcBorders>
            <w:shd w:val="clear" w:color="auto" w:fill="auto"/>
            <w:vAlign w:val="center"/>
            <w:hideMark/>
          </w:tcPr>
          <w:p w14:paraId="66F4951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Mbrojtjes</w:t>
            </w:r>
          </w:p>
        </w:tc>
        <w:tc>
          <w:tcPr>
            <w:tcW w:w="363" w:type="pct"/>
            <w:tcBorders>
              <w:top w:val="nil"/>
              <w:left w:val="nil"/>
              <w:bottom w:val="single" w:sz="4" w:space="0" w:color="auto"/>
              <w:right w:val="single" w:sz="4" w:space="0" w:color="auto"/>
            </w:tcBorders>
            <w:shd w:val="clear" w:color="auto" w:fill="auto"/>
            <w:vAlign w:val="center"/>
            <w:hideMark/>
          </w:tcPr>
          <w:p w14:paraId="5007F768"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5CAB3422"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•Pikat 2 dhe 5, të nenit 6, të ligjit nr. 9363, datë24.3.2005, “Për dërgimin e Forcave të Armatosura të Republikës së Shqipërisë jashtë vendit”, sidhe për mënyrën e procedurat e vendosjes dhe kalimit të forcave ushtarake të huaja në territorine Republikës së Shqipërisë”, të ndryshuar, shkronja “ç”, e nenit 11, të ligjit nr. 64/2014, “Përpushtetet dhe autoritetet e drejtimit e të komandimit të Forcave të Armatosura të Republikës së Shqipërisë”, të ndryshuar, dhe shkronja “b”, e nenit 3, të aktit normativ nr. 4, datë 20.6.2023,të Këshillit të Ministrave, “Për pjesëmarrjen e personelit të Forcave të Armatosura të Republikës së Shqipërisë në misionin e Kombeve të Bashkuara në Abyei (UNISFA)”, miratuar me ligjin nr.59/2023.</w:t>
            </w:r>
            <w:r w:rsidRPr="00B6793F">
              <w:rPr>
                <w:rFonts w:ascii="Arial" w:eastAsia="Times New Roman" w:hAnsi="Arial" w:cs="Arial"/>
                <w:sz w:val="8"/>
                <w:szCs w:val="8"/>
                <w:lang w:eastAsia="sq-AL"/>
              </w:rPr>
              <w:br/>
              <w:t xml:space="preserve">•Mbaron afati i zbatimit. </w:t>
            </w:r>
          </w:p>
        </w:tc>
        <w:tc>
          <w:tcPr>
            <w:tcW w:w="478" w:type="pct"/>
            <w:tcBorders>
              <w:top w:val="nil"/>
              <w:left w:val="nil"/>
              <w:bottom w:val="single" w:sz="4" w:space="0" w:color="auto"/>
              <w:right w:val="single" w:sz="4" w:space="0" w:color="auto"/>
            </w:tcBorders>
            <w:shd w:val="clear" w:color="auto" w:fill="auto"/>
            <w:vAlign w:val="center"/>
            <w:hideMark/>
          </w:tcPr>
          <w:p w14:paraId="2EFBF70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Plotësimi me kuader ligjor për pjesëmarrjen  në misionin e Kombeve të Bashkuara në UNISFA) në kuadër të angazhimeve ndërkombëtare të vendit tonë.</w:t>
            </w:r>
          </w:p>
        </w:tc>
        <w:tc>
          <w:tcPr>
            <w:tcW w:w="373" w:type="pct"/>
            <w:tcBorders>
              <w:top w:val="nil"/>
              <w:left w:val="nil"/>
              <w:bottom w:val="single" w:sz="4" w:space="0" w:color="auto"/>
              <w:right w:val="single" w:sz="4" w:space="0" w:color="auto"/>
            </w:tcBorders>
            <w:shd w:val="clear" w:color="auto" w:fill="auto"/>
            <w:vAlign w:val="center"/>
            <w:hideMark/>
          </w:tcPr>
          <w:p w14:paraId="133FEED5"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51" w:type="pct"/>
            <w:tcBorders>
              <w:top w:val="nil"/>
              <w:left w:val="nil"/>
              <w:bottom w:val="single" w:sz="4" w:space="0" w:color="auto"/>
              <w:right w:val="single" w:sz="4" w:space="0" w:color="auto"/>
            </w:tcBorders>
            <w:shd w:val="clear" w:color="auto" w:fill="auto"/>
            <w:vAlign w:val="center"/>
            <w:hideMark/>
          </w:tcPr>
          <w:p w14:paraId="16BA1276"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36" w:type="pct"/>
            <w:tcBorders>
              <w:top w:val="nil"/>
              <w:left w:val="nil"/>
              <w:bottom w:val="single" w:sz="4" w:space="0" w:color="auto"/>
              <w:right w:val="single" w:sz="4" w:space="0" w:color="auto"/>
            </w:tcBorders>
            <w:shd w:val="clear" w:color="auto" w:fill="auto"/>
            <w:vAlign w:val="center"/>
            <w:hideMark/>
          </w:tcPr>
          <w:p w14:paraId="7B62EB5E"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493" w:type="pct"/>
            <w:tcBorders>
              <w:top w:val="nil"/>
              <w:left w:val="nil"/>
              <w:bottom w:val="single" w:sz="4" w:space="0" w:color="auto"/>
              <w:right w:val="single" w:sz="4" w:space="0" w:color="auto"/>
            </w:tcBorders>
            <w:shd w:val="clear" w:color="auto" w:fill="auto"/>
            <w:vAlign w:val="center"/>
            <w:hideMark/>
          </w:tcPr>
          <w:p w14:paraId="1CEC5F53"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Strategjia Ushtarake</w:t>
            </w:r>
          </w:p>
        </w:tc>
        <w:tc>
          <w:tcPr>
            <w:tcW w:w="517" w:type="pct"/>
            <w:tcBorders>
              <w:top w:val="nil"/>
              <w:left w:val="nil"/>
              <w:bottom w:val="single" w:sz="4" w:space="0" w:color="auto"/>
              <w:right w:val="single" w:sz="4" w:space="0" w:color="auto"/>
            </w:tcBorders>
            <w:shd w:val="clear" w:color="auto" w:fill="auto"/>
            <w:vAlign w:val="center"/>
            <w:hideMark/>
          </w:tcPr>
          <w:p w14:paraId="3311B577" w14:textId="77777777" w:rsidR="00350C6B" w:rsidRPr="00B6793F" w:rsidRDefault="00350C6B" w:rsidP="00350C6B">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r>
    </w:tbl>
    <w:p w14:paraId="225FFC85" w14:textId="0FA0BC8E" w:rsidR="00260EFF" w:rsidRPr="00B6793F" w:rsidRDefault="00260EFF" w:rsidP="00AC5BDD">
      <w:pPr>
        <w:spacing w:after="0" w:line="240" w:lineRule="auto"/>
        <w:ind w:firstLine="284"/>
        <w:jc w:val="center"/>
        <w:rPr>
          <w:rFonts w:ascii="Garamond" w:hAnsi="Garamond"/>
          <w:b/>
          <w:sz w:val="24"/>
        </w:rPr>
      </w:pPr>
    </w:p>
    <w:p w14:paraId="246E4664" w14:textId="358F23A6" w:rsidR="00CE3C96" w:rsidRPr="00B6793F" w:rsidRDefault="00CE3C96" w:rsidP="00AC5BDD">
      <w:pPr>
        <w:spacing w:after="0" w:line="240" w:lineRule="auto"/>
        <w:ind w:firstLine="284"/>
        <w:jc w:val="center"/>
        <w:rPr>
          <w:rFonts w:ascii="Garamond" w:hAnsi="Garamond"/>
          <w:b/>
          <w:sz w:val="24"/>
        </w:rPr>
      </w:pPr>
    </w:p>
    <w:p w14:paraId="4F576F6B" w14:textId="685A4D16" w:rsidR="00CE3C96" w:rsidRPr="00B6793F" w:rsidRDefault="00CE3C96" w:rsidP="00AC5BDD">
      <w:pPr>
        <w:spacing w:after="0" w:line="240" w:lineRule="auto"/>
        <w:ind w:firstLine="284"/>
        <w:jc w:val="center"/>
        <w:rPr>
          <w:rFonts w:ascii="Garamond" w:hAnsi="Garamond"/>
          <w:b/>
          <w:sz w:val="24"/>
        </w:rPr>
      </w:pPr>
    </w:p>
    <w:p w14:paraId="6B4C3070" w14:textId="64EB24A8" w:rsidR="00CE3C96" w:rsidRPr="00B6793F" w:rsidRDefault="00CE3C96" w:rsidP="00AC5BDD">
      <w:pPr>
        <w:spacing w:after="0" w:line="240" w:lineRule="auto"/>
        <w:ind w:firstLine="284"/>
        <w:jc w:val="center"/>
        <w:rPr>
          <w:rFonts w:ascii="Garamond" w:hAnsi="Garamond"/>
          <w:b/>
          <w:sz w:val="24"/>
        </w:rPr>
      </w:pPr>
    </w:p>
    <w:p w14:paraId="2BEA377F" w14:textId="5BFC6FB6" w:rsidR="00CE3C96" w:rsidRPr="00B6793F" w:rsidRDefault="00CE3C96" w:rsidP="00AC5BDD">
      <w:pPr>
        <w:spacing w:after="0" w:line="240" w:lineRule="auto"/>
        <w:ind w:firstLine="284"/>
        <w:jc w:val="center"/>
        <w:rPr>
          <w:rFonts w:ascii="Garamond" w:hAnsi="Garamond"/>
          <w:b/>
          <w:sz w:val="24"/>
        </w:rPr>
      </w:pPr>
    </w:p>
    <w:p w14:paraId="7E569306" w14:textId="5A533B53" w:rsidR="006A42A4" w:rsidRPr="00B6793F" w:rsidRDefault="006A42A4" w:rsidP="00AC5BDD">
      <w:pPr>
        <w:spacing w:after="0" w:line="240" w:lineRule="auto"/>
        <w:ind w:firstLine="284"/>
        <w:jc w:val="center"/>
        <w:rPr>
          <w:rFonts w:ascii="Garamond" w:hAnsi="Garamond"/>
          <w:b/>
          <w:sz w:val="24"/>
        </w:rPr>
      </w:pPr>
    </w:p>
    <w:tbl>
      <w:tblPr>
        <w:tblW w:w="5000" w:type="pct"/>
        <w:jc w:val="center"/>
        <w:tblLook w:val="04A0" w:firstRow="1" w:lastRow="0" w:firstColumn="1" w:lastColumn="0" w:noHBand="0" w:noVBand="1"/>
      </w:tblPr>
      <w:tblGrid>
        <w:gridCol w:w="507"/>
        <w:gridCol w:w="1163"/>
        <w:gridCol w:w="1119"/>
        <w:gridCol w:w="960"/>
        <w:gridCol w:w="1029"/>
        <w:gridCol w:w="1777"/>
        <w:gridCol w:w="1473"/>
        <w:gridCol w:w="1057"/>
        <w:gridCol w:w="1278"/>
        <w:gridCol w:w="954"/>
        <w:gridCol w:w="1518"/>
        <w:gridCol w:w="1113"/>
      </w:tblGrid>
      <w:tr w:rsidR="006A42A4" w:rsidRPr="00B6793F" w14:paraId="0805DC90" w14:textId="77777777" w:rsidTr="006A42A4">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bottom"/>
            <w:hideMark/>
          </w:tcPr>
          <w:p w14:paraId="45F5F6B2" w14:textId="23259E58" w:rsidR="006A42A4" w:rsidRPr="00B6793F" w:rsidRDefault="006A42A4" w:rsidP="006A42A4">
            <w:pPr>
              <w:spacing w:after="0" w:line="240" w:lineRule="auto"/>
              <w:jc w:val="center"/>
              <w:rPr>
                <w:rFonts w:ascii="Arial" w:eastAsia="Times New Roman" w:hAnsi="Arial" w:cs="Arial"/>
                <w:b/>
                <w:bCs/>
                <w:color w:val="000000"/>
                <w:sz w:val="12"/>
                <w:szCs w:val="8"/>
                <w:u w:val="double"/>
                <w:lang w:eastAsia="sq-AL"/>
              </w:rPr>
            </w:pPr>
            <w:bookmarkStart w:id="7" w:name="RANGE!A1:L24"/>
            <w:r w:rsidRPr="00B6793F">
              <w:rPr>
                <w:rFonts w:ascii="Arial" w:eastAsia="Times New Roman" w:hAnsi="Arial" w:cs="Arial"/>
                <w:b/>
                <w:bCs/>
                <w:color w:val="000000"/>
                <w:sz w:val="12"/>
                <w:szCs w:val="8"/>
                <w:u w:val="double"/>
                <w:lang w:eastAsia="sq-AL"/>
              </w:rPr>
              <w:t>PROGRAMI I PËRGJITHSHËM ANALITIK I PROJEKTAKTEVE PËR VITIN 2026</w:t>
            </w:r>
            <w:bookmarkEnd w:id="7"/>
          </w:p>
        </w:tc>
      </w:tr>
      <w:tr w:rsidR="006A42A4" w:rsidRPr="00B6793F" w14:paraId="1D8944A1" w14:textId="77777777" w:rsidTr="006A42A4">
        <w:trPr>
          <w:trHeight w:val="180"/>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vAlign w:val="bottom"/>
            <w:hideMark/>
          </w:tcPr>
          <w:p w14:paraId="543F5ABF" w14:textId="3F0FC6C6" w:rsidR="006A42A4" w:rsidRPr="00B6793F" w:rsidRDefault="006A42A4" w:rsidP="006A42A4">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MINISTRIA E BUJQËSISË DHE ZHVILLIMIT RURAL</w:t>
            </w:r>
          </w:p>
        </w:tc>
      </w:tr>
      <w:tr w:rsidR="006A42A4" w:rsidRPr="00B6793F" w14:paraId="191CDCE9" w14:textId="77777777" w:rsidTr="006A42A4">
        <w:trPr>
          <w:trHeight w:val="180"/>
          <w:jc w:val="center"/>
        </w:trPr>
        <w:tc>
          <w:tcPr>
            <w:tcW w:w="182"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361A95E7"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417" w:type="pct"/>
            <w:tcBorders>
              <w:top w:val="single" w:sz="4" w:space="0" w:color="auto"/>
              <w:left w:val="nil"/>
              <w:bottom w:val="single" w:sz="4" w:space="0" w:color="auto"/>
              <w:right w:val="single" w:sz="4" w:space="0" w:color="auto"/>
            </w:tcBorders>
            <w:shd w:val="clear" w:color="000000" w:fill="C00000"/>
            <w:vAlign w:val="center"/>
            <w:hideMark/>
          </w:tcPr>
          <w:p w14:paraId="34F58859"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401" w:type="pct"/>
            <w:tcBorders>
              <w:top w:val="single" w:sz="4" w:space="0" w:color="auto"/>
              <w:left w:val="nil"/>
              <w:bottom w:val="single" w:sz="4" w:space="0" w:color="auto"/>
              <w:right w:val="single" w:sz="4" w:space="0" w:color="auto"/>
            </w:tcBorders>
            <w:shd w:val="clear" w:color="000000" w:fill="C00000"/>
            <w:vAlign w:val="center"/>
            <w:hideMark/>
          </w:tcPr>
          <w:p w14:paraId="4A7C9878"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44" w:type="pct"/>
            <w:tcBorders>
              <w:top w:val="single" w:sz="4" w:space="0" w:color="auto"/>
              <w:left w:val="nil"/>
              <w:bottom w:val="single" w:sz="4" w:space="0" w:color="auto"/>
              <w:right w:val="single" w:sz="4" w:space="0" w:color="auto"/>
            </w:tcBorders>
            <w:shd w:val="clear" w:color="000000" w:fill="C00000"/>
            <w:vAlign w:val="center"/>
            <w:hideMark/>
          </w:tcPr>
          <w:p w14:paraId="28F22124"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369" w:type="pct"/>
            <w:tcBorders>
              <w:top w:val="single" w:sz="4" w:space="0" w:color="auto"/>
              <w:left w:val="nil"/>
              <w:bottom w:val="single" w:sz="4" w:space="0" w:color="auto"/>
              <w:right w:val="single" w:sz="4" w:space="0" w:color="auto"/>
            </w:tcBorders>
            <w:shd w:val="clear" w:color="000000" w:fill="C00000"/>
            <w:vAlign w:val="center"/>
            <w:hideMark/>
          </w:tcPr>
          <w:p w14:paraId="6BEE2AFB"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637" w:type="pct"/>
            <w:tcBorders>
              <w:top w:val="single" w:sz="4" w:space="0" w:color="auto"/>
              <w:left w:val="nil"/>
              <w:bottom w:val="single" w:sz="4" w:space="0" w:color="auto"/>
              <w:right w:val="single" w:sz="4" w:space="0" w:color="auto"/>
            </w:tcBorders>
            <w:shd w:val="clear" w:color="000000" w:fill="C00000"/>
            <w:vAlign w:val="center"/>
            <w:hideMark/>
          </w:tcPr>
          <w:p w14:paraId="2AF3D546"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28" w:type="pct"/>
            <w:tcBorders>
              <w:top w:val="single" w:sz="4" w:space="0" w:color="auto"/>
              <w:left w:val="nil"/>
              <w:bottom w:val="single" w:sz="4" w:space="0" w:color="auto"/>
              <w:right w:val="single" w:sz="4" w:space="0" w:color="auto"/>
            </w:tcBorders>
            <w:shd w:val="clear" w:color="000000" w:fill="C00000"/>
            <w:vAlign w:val="center"/>
            <w:hideMark/>
          </w:tcPr>
          <w:p w14:paraId="67499C18"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379" w:type="pct"/>
            <w:tcBorders>
              <w:top w:val="single" w:sz="4" w:space="0" w:color="auto"/>
              <w:left w:val="nil"/>
              <w:bottom w:val="single" w:sz="4" w:space="0" w:color="auto"/>
              <w:right w:val="single" w:sz="4" w:space="0" w:color="auto"/>
            </w:tcBorders>
            <w:shd w:val="clear" w:color="000000" w:fill="C00000"/>
            <w:vAlign w:val="center"/>
            <w:hideMark/>
          </w:tcPr>
          <w:p w14:paraId="0DF6315E"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458" w:type="pct"/>
            <w:tcBorders>
              <w:top w:val="single" w:sz="4" w:space="0" w:color="auto"/>
              <w:left w:val="nil"/>
              <w:bottom w:val="single" w:sz="4" w:space="0" w:color="auto"/>
              <w:right w:val="single" w:sz="4" w:space="0" w:color="auto"/>
            </w:tcBorders>
            <w:shd w:val="clear" w:color="000000" w:fill="C00000"/>
            <w:vAlign w:val="center"/>
            <w:hideMark/>
          </w:tcPr>
          <w:p w14:paraId="38D0A529"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342" w:type="pct"/>
            <w:tcBorders>
              <w:top w:val="single" w:sz="4" w:space="0" w:color="auto"/>
              <w:left w:val="nil"/>
              <w:bottom w:val="single" w:sz="4" w:space="0" w:color="auto"/>
              <w:right w:val="single" w:sz="4" w:space="0" w:color="auto"/>
            </w:tcBorders>
            <w:shd w:val="clear" w:color="000000" w:fill="C00000"/>
            <w:vAlign w:val="center"/>
            <w:hideMark/>
          </w:tcPr>
          <w:p w14:paraId="375CF0B5"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544" w:type="pct"/>
            <w:tcBorders>
              <w:top w:val="single" w:sz="4" w:space="0" w:color="auto"/>
              <w:left w:val="nil"/>
              <w:bottom w:val="single" w:sz="4" w:space="0" w:color="auto"/>
              <w:right w:val="single" w:sz="4" w:space="0" w:color="auto"/>
            </w:tcBorders>
            <w:shd w:val="clear" w:color="000000" w:fill="C00000"/>
            <w:vAlign w:val="center"/>
            <w:hideMark/>
          </w:tcPr>
          <w:p w14:paraId="038B2F4B"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399" w:type="pct"/>
            <w:tcBorders>
              <w:top w:val="single" w:sz="4" w:space="0" w:color="auto"/>
              <w:left w:val="nil"/>
              <w:bottom w:val="single" w:sz="4" w:space="0" w:color="auto"/>
              <w:right w:val="single" w:sz="4" w:space="0" w:color="auto"/>
            </w:tcBorders>
            <w:shd w:val="clear" w:color="000000" w:fill="C00000"/>
            <w:vAlign w:val="center"/>
            <w:hideMark/>
          </w:tcPr>
          <w:p w14:paraId="0DA1F411" w14:textId="77777777" w:rsidR="006A42A4" w:rsidRPr="00B6793F" w:rsidRDefault="006A42A4" w:rsidP="006A42A4">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6A42A4" w:rsidRPr="00B6793F" w14:paraId="75FB7B9A"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03539AF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17" w:type="pct"/>
            <w:tcBorders>
              <w:top w:val="nil"/>
              <w:left w:val="nil"/>
              <w:bottom w:val="single" w:sz="4" w:space="0" w:color="auto"/>
              <w:right w:val="single" w:sz="4" w:space="0" w:color="auto"/>
            </w:tcBorders>
            <w:shd w:val="clear" w:color="auto" w:fill="auto"/>
            <w:vAlign w:val="center"/>
            <w:hideMark/>
          </w:tcPr>
          <w:p w14:paraId="396D5BD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kritereve bazë të sektoreve që do të mbështeten dhe të masës së financimit nga Fondi i Programit për Bujqësinë dhe Zhvillimin Rural për vitin 2026</w:t>
            </w:r>
          </w:p>
        </w:tc>
        <w:tc>
          <w:tcPr>
            <w:tcW w:w="401" w:type="pct"/>
            <w:tcBorders>
              <w:top w:val="nil"/>
              <w:left w:val="nil"/>
              <w:bottom w:val="single" w:sz="4" w:space="0" w:color="auto"/>
              <w:right w:val="single" w:sz="4" w:space="0" w:color="auto"/>
            </w:tcBorders>
            <w:shd w:val="clear" w:color="auto" w:fill="auto"/>
            <w:vAlign w:val="center"/>
            <w:hideMark/>
          </w:tcPr>
          <w:p w14:paraId="3368F39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vAlign w:val="center"/>
            <w:hideMark/>
          </w:tcPr>
          <w:p w14:paraId="5C56BAD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064A4D5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6B85621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Percaktimi me vendim te Keshillit te Ministrave te kritereve bazë, sektorëve që mbështeten dhe masës së përfitimit, ndarjes se fondit te bujqesise dhe zhvillimit rural per pagesat direkte ne buxhetet familjare per vitin 2026, bazuar ne pikën 3 të nenit 6 të Ligjit Nr. 9817, datë 22.10.2007 "Për bujqësinë dhe zhvillimin rural" dhe në përputhje me buxhetin për vitin 2026 të miratuar sipas ligjit vjetor të buxhetit 2026.</w:t>
            </w:r>
          </w:p>
        </w:tc>
        <w:tc>
          <w:tcPr>
            <w:tcW w:w="528" w:type="pct"/>
            <w:tcBorders>
              <w:top w:val="nil"/>
              <w:left w:val="nil"/>
              <w:bottom w:val="single" w:sz="4" w:space="0" w:color="auto"/>
              <w:right w:val="single" w:sz="4" w:space="0" w:color="auto"/>
            </w:tcBorders>
            <w:shd w:val="clear" w:color="auto" w:fill="auto"/>
            <w:vAlign w:val="center"/>
            <w:hideMark/>
          </w:tcPr>
          <w:p w14:paraId="7710C64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Percakton kriteret baze per te perfituar nga buxheti i shtetit i alokuar per buxhetet familjare per vitin 2026, masat qe financohen dhe dokumentacioni qe paraqitet.</w:t>
            </w:r>
          </w:p>
        </w:tc>
        <w:tc>
          <w:tcPr>
            <w:tcW w:w="379" w:type="pct"/>
            <w:tcBorders>
              <w:top w:val="nil"/>
              <w:left w:val="nil"/>
              <w:bottom w:val="single" w:sz="4" w:space="0" w:color="auto"/>
              <w:right w:val="single" w:sz="4" w:space="0" w:color="auto"/>
            </w:tcBorders>
            <w:shd w:val="clear" w:color="auto" w:fill="auto"/>
            <w:noWrap/>
            <w:vAlign w:val="center"/>
            <w:hideMark/>
          </w:tcPr>
          <w:p w14:paraId="5993550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0430DEA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61DA9DF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1AEAB26C" w14:textId="5B496A8D"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38CB9AB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ekonomike sociale dhe financiare.</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Pika 3.3 nënpika 3.3.1 "Mbështetje financiare dhe asistencë teknike për fermerët"e PBA 2026-2028</w:t>
            </w:r>
          </w:p>
        </w:tc>
      </w:tr>
      <w:tr w:rsidR="006A42A4" w:rsidRPr="00B6793F" w14:paraId="7DF3EF16"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BC1BF5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17" w:type="pct"/>
            <w:tcBorders>
              <w:top w:val="nil"/>
              <w:left w:val="nil"/>
              <w:bottom w:val="single" w:sz="4" w:space="0" w:color="auto"/>
              <w:right w:val="single" w:sz="4" w:space="0" w:color="auto"/>
            </w:tcBorders>
            <w:shd w:val="clear" w:color="auto" w:fill="auto"/>
            <w:vAlign w:val="center"/>
            <w:hideMark/>
          </w:tcPr>
          <w:p w14:paraId="62D5C11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Ligjin Nr. 9244, datë 17.6.2004, “Për mbrojtjen e tokës bujqësore”, të ndryshuar.</w:t>
            </w:r>
          </w:p>
        </w:tc>
        <w:tc>
          <w:tcPr>
            <w:tcW w:w="401" w:type="pct"/>
            <w:tcBorders>
              <w:top w:val="nil"/>
              <w:left w:val="nil"/>
              <w:bottom w:val="single" w:sz="4" w:space="0" w:color="auto"/>
              <w:right w:val="single" w:sz="4" w:space="0" w:color="auto"/>
            </w:tcBorders>
            <w:shd w:val="clear" w:color="auto" w:fill="auto"/>
            <w:vAlign w:val="center"/>
            <w:hideMark/>
          </w:tcPr>
          <w:p w14:paraId="3D5CBB4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2989C10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24BE02E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288232F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Ne  legjislacionin aktual nuk eshte parashikuar  aktiviteti bujqesore permes teknologjive inovative. Qëllimi i këtij projektligji është plotësimi i kuadrit ligjor për lejimin e ushtrimit të aktivitetit bujqësor përmes teknologjive inovative si; aeroponia, akuaponia dhe hidroponia për tu zhvilluar në tokë bujqësore.</w:t>
            </w:r>
          </w:p>
        </w:tc>
        <w:tc>
          <w:tcPr>
            <w:tcW w:w="528" w:type="pct"/>
            <w:tcBorders>
              <w:top w:val="nil"/>
              <w:left w:val="nil"/>
              <w:bottom w:val="single" w:sz="4" w:space="0" w:color="auto"/>
              <w:right w:val="single" w:sz="4" w:space="0" w:color="auto"/>
            </w:tcBorders>
            <w:shd w:val="clear" w:color="auto" w:fill="auto"/>
            <w:vAlign w:val="center"/>
            <w:hideMark/>
          </w:tcPr>
          <w:p w14:paraId="25E9AF1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Kërkesa për të transformuar gjithnjë e më shumë sektorin bujqësor në Shqipëri shtron nevojën e adoptimit të teknologjive inovative si; Akuaponi, Aeroponi dhe Hidroponi. Përqasja me modeleve të ngjashme me vendet me bujqësi të zhvilluar dhe zbatimin e tyre në vend, kërkon ndërhyrje ligjore për rregullimin e këtij aktiviteti në tokën bujqësore. </w:t>
            </w:r>
          </w:p>
        </w:tc>
        <w:tc>
          <w:tcPr>
            <w:tcW w:w="379" w:type="pct"/>
            <w:tcBorders>
              <w:top w:val="nil"/>
              <w:left w:val="nil"/>
              <w:bottom w:val="single" w:sz="4" w:space="0" w:color="auto"/>
              <w:right w:val="single" w:sz="4" w:space="0" w:color="auto"/>
            </w:tcBorders>
            <w:shd w:val="clear" w:color="auto" w:fill="auto"/>
            <w:noWrap/>
            <w:vAlign w:val="center"/>
            <w:hideMark/>
          </w:tcPr>
          <w:p w14:paraId="10EE767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2742C7A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47F171F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14AEAC1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9" w:type="pct"/>
            <w:tcBorders>
              <w:top w:val="nil"/>
              <w:left w:val="nil"/>
              <w:bottom w:val="single" w:sz="4" w:space="0" w:color="auto"/>
              <w:right w:val="single" w:sz="4" w:space="0" w:color="auto"/>
            </w:tcBorders>
            <w:shd w:val="clear" w:color="auto" w:fill="auto"/>
            <w:vAlign w:val="center"/>
            <w:hideMark/>
          </w:tcPr>
          <w:p w14:paraId="0C0D86A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ekonomike dhe mjedisore.</w:t>
            </w:r>
          </w:p>
        </w:tc>
      </w:tr>
      <w:tr w:rsidR="006A42A4" w:rsidRPr="00B6793F" w14:paraId="2C687AF1"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2281C3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17" w:type="pct"/>
            <w:tcBorders>
              <w:top w:val="nil"/>
              <w:left w:val="nil"/>
              <w:bottom w:val="single" w:sz="4" w:space="0" w:color="auto"/>
              <w:right w:val="single" w:sz="4" w:space="0" w:color="auto"/>
            </w:tcBorders>
            <w:shd w:val="clear" w:color="auto" w:fill="auto"/>
            <w:vAlign w:val="center"/>
            <w:hideMark/>
          </w:tcPr>
          <w:p w14:paraId="27CE981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Ligjin Nr. 8318, datë 1.4.1998, “Për dhënien me qira të tokës bujqësore e pyjore, të livadheve dhe të kullotave që janë pasuri shtetërore”, të ndryshuar.</w:t>
            </w:r>
          </w:p>
        </w:tc>
        <w:tc>
          <w:tcPr>
            <w:tcW w:w="401" w:type="pct"/>
            <w:tcBorders>
              <w:top w:val="nil"/>
              <w:left w:val="nil"/>
              <w:bottom w:val="single" w:sz="4" w:space="0" w:color="auto"/>
              <w:right w:val="single" w:sz="4" w:space="0" w:color="auto"/>
            </w:tcBorders>
            <w:shd w:val="clear" w:color="auto" w:fill="auto"/>
            <w:vAlign w:val="center"/>
            <w:hideMark/>
          </w:tcPr>
          <w:p w14:paraId="3BAD496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01E4C95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410D8DF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400BF16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Nëpërmjet këtij projektligji synohet të shfrytëzohen toka bujqësore, të cilat për shkak të cilësive jo të mira dhe kushteve jo të favorshme të terrenit, nuk kanë efektivitet në prodhimtarinë bujqësore, por krijojnë të ardhura nëpërmjet përdorimit të teknologjive të reja duke rritur konkurrencën dhe efektivitetin e prodhimit.</w:t>
            </w:r>
          </w:p>
        </w:tc>
        <w:tc>
          <w:tcPr>
            <w:tcW w:w="528" w:type="pct"/>
            <w:tcBorders>
              <w:top w:val="nil"/>
              <w:left w:val="nil"/>
              <w:bottom w:val="single" w:sz="4" w:space="0" w:color="auto"/>
              <w:right w:val="single" w:sz="4" w:space="0" w:color="auto"/>
            </w:tcBorders>
            <w:shd w:val="clear" w:color="auto" w:fill="auto"/>
            <w:vAlign w:val="center"/>
            <w:hideMark/>
          </w:tcPr>
          <w:p w14:paraId="253907D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Plotësimin e bazës ligjore dhe mundësimin e prodhimit të energjisë elektrike nga burimeve të rinovueshme në tokat bujqësore që jepen me qira nga Ministrinë e Bujqësisë dhe Zhvillimit Rural, bashkë me aktivitetin bujqësor; kalimi i siperfaqeve toke bujqesore me bonitet 9-10  ne fondin e pasurive te paluajtshme ne mbehtetje te investimeve strategjike. kontrata e qiarse si dhe monitorimete per rastin e aktiviteteve agrivoltaike parashikohen të realizohen nga MBZHR dhe MIE </w:t>
            </w:r>
          </w:p>
        </w:tc>
        <w:tc>
          <w:tcPr>
            <w:tcW w:w="379" w:type="pct"/>
            <w:tcBorders>
              <w:top w:val="nil"/>
              <w:left w:val="nil"/>
              <w:bottom w:val="single" w:sz="4" w:space="0" w:color="auto"/>
              <w:right w:val="single" w:sz="4" w:space="0" w:color="auto"/>
            </w:tcBorders>
            <w:shd w:val="clear" w:color="auto" w:fill="auto"/>
            <w:noWrap/>
            <w:vAlign w:val="center"/>
            <w:hideMark/>
          </w:tcPr>
          <w:p w14:paraId="17EF5E0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54F7545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2F6A611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1F1CB6D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9" w:type="pct"/>
            <w:tcBorders>
              <w:top w:val="nil"/>
              <w:left w:val="nil"/>
              <w:bottom w:val="single" w:sz="4" w:space="0" w:color="auto"/>
              <w:right w:val="single" w:sz="4" w:space="0" w:color="auto"/>
            </w:tcBorders>
            <w:shd w:val="clear" w:color="auto" w:fill="auto"/>
            <w:vAlign w:val="center"/>
            <w:hideMark/>
          </w:tcPr>
          <w:p w14:paraId="2B9FCC2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Po,ekonomike dhe mjedisore.</w:t>
            </w:r>
          </w:p>
        </w:tc>
      </w:tr>
      <w:tr w:rsidR="006A42A4" w:rsidRPr="00B6793F" w14:paraId="0A05EFD0"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3F4149E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417" w:type="pct"/>
            <w:tcBorders>
              <w:top w:val="nil"/>
              <w:left w:val="nil"/>
              <w:bottom w:val="single" w:sz="4" w:space="0" w:color="auto"/>
              <w:right w:val="single" w:sz="4" w:space="0" w:color="auto"/>
            </w:tcBorders>
            <w:shd w:val="clear" w:color="auto" w:fill="auto"/>
            <w:vAlign w:val="center"/>
            <w:hideMark/>
          </w:tcPr>
          <w:p w14:paraId="46BD721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 disa shtesa në Vendimin nr. 760, datë 16.9.2015 të Këshillit të Ministrave “Për kërkesat për gjurmimin e ushqimit dhe ushqimit për kafshë”</w:t>
            </w:r>
          </w:p>
        </w:tc>
        <w:tc>
          <w:tcPr>
            <w:tcW w:w="401" w:type="pct"/>
            <w:tcBorders>
              <w:top w:val="nil"/>
              <w:left w:val="nil"/>
              <w:bottom w:val="single" w:sz="4" w:space="0" w:color="auto"/>
              <w:right w:val="single" w:sz="4" w:space="0" w:color="auto"/>
            </w:tcBorders>
            <w:shd w:val="clear" w:color="auto" w:fill="auto"/>
            <w:vAlign w:val="center"/>
            <w:hideMark/>
          </w:tcPr>
          <w:p w14:paraId="6CCEE59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noWrap/>
            <w:vAlign w:val="center"/>
            <w:hideMark/>
          </w:tcPr>
          <w:p w14:paraId="584BFBF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760E58F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1F790AC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këtij projetvendimi  është në kuadër të nismave të ndërrmarra për përafrimin e plotë të legjislacionit evropian ne kuadër të antarësimit të Shqipërisë në Bashkimin Evropian (BE), në mbështetje  të kapitullit të 12 “Politikat e Sigurisë Ushqimore, Veterinarisë dhe Fitosanitetit”.  Miratimi i projektvendimit është kërkesë e Raport Progresit të vitit 2024 dhe është angazhim i marrë në Pozicionin Negociues. Miratohet në zbatim të pikës 4, të nenit 25, të ligjit nr. 9863, datë</w:t>
            </w:r>
            <w:r w:rsidRPr="00B6793F">
              <w:rPr>
                <w:rFonts w:ascii="Arial" w:eastAsia="Times New Roman" w:hAnsi="Arial" w:cs="Arial"/>
                <w:color w:val="000000"/>
                <w:sz w:val="8"/>
                <w:szCs w:val="8"/>
                <w:lang w:eastAsia="sq-AL"/>
              </w:rPr>
              <w:br/>
              <w:t>28.1.2008, "Për ushqimin", të ndryshuar</w:t>
            </w:r>
          </w:p>
        </w:tc>
        <w:tc>
          <w:tcPr>
            <w:tcW w:w="528" w:type="pct"/>
            <w:tcBorders>
              <w:top w:val="nil"/>
              <w:left w:val="nil"/>
              <w:bottom w:val="single" w:sz="4" w:space="0" w:color="auto"/>
              <w:right w:val="single" w:sz="4" w:space="0" w:color="auto"/>
            </w:tcBorders>
            <w:shd w:val="clear" w:color="auto" w:fill="auto"/>
            <w:vAlign w:val="center"/>
            <w:hideMark/>
          </w:tcPr>
          <w:p w14:paraId="01A01E2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projektvendim vendos kërkesa të detajuara për gjurmueshmërinë e filizave dhe farave të destinuara për prodhimin e filizave, duke mundësuar identifikimin dhe ndjekjen e çdo partie farash ose filizash në të gjitha fazat e prodhimit, përpunimit dhe shpërndarjes për të mbrojtur shëndetin publik dhe për të parandaluar incidentet e sigurisë ushqimore që mund të lidhen me filizat dhe farat e tyre.</w:t>
            </w:r>
          </w:p>
        </w:tc>
        <w:tc>
          <w:tcPr>
            <w:tcW w:w="379" w:type="pct"/>
            <w:tcBorders>
              <w:top w:val="nil"/>
              <w:left w:val="nil"/>
              <w:bottom w:val="single" w:sz="4" w:space="0" w:color="auto"/>
              <w:right w:val="single" w:sz="4" w:space="0" w:color="auto"/>
            </w:tcBorders>
            <w:shd w:val="clear" w:color="auto" w:fill="auto"/>
            <w:vAlign w:val="center"/>
            <w:hideMark/>
          </w:tcPr>
          <w:p w14:paraId="76B0D90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12</w:t>
            </w:r>
          </w:p>
        </w:tc>
        <w:tc>
          <w:tcPr>
            <w:tcW w:w="458" w:type="pct"/>
            <w:tcBorders>
              <w:top w:val="nil"/>
              <w:left w:val="nil"/>
              <w:bottom w:val="single" w:sz="4" w:space="0" w:color="auto"/>
              <w:right w:val="single" w:sz="4" w:space="0" w:color="auto"/>
            </w:tcBorders>
            <w:shd w:val="clear" w:color="auto" w:fill="auto"/>
            <w:vAlign w:val="center"/>
            <w:hideMark/>
          </w:tcPr>
          <w:p w14:paraId="7982400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14E010C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72EFBAD0" w14:textId="362B3D11"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 dhe me Strategjinë Kombëtare të Sigurisë Ushqimore 2023–2027</w:t>
            </w:r>
          </w:p>
        </w:tc>
        <w:tc>
          <w:tcPr>
            <w:tcW w:w="399" w:type="pct"/>
            <w:tcBorders>
              <w:top w:val="nil"/>
              <w:left w:val="nil"/>
              <w:bottom w:val="single" w:sz="4" w:space="0" w:color="auto"/>
              <w:right w:val="single" w:sz="4" w:space="0" w:color="auto"/>
            </w:tcBorders>
            <w:shd w:val="clear" w:color="auto" w:fill="auto"/>
            <w:vAlign w:val="center"/>
            <w:hideMark/>
          </w:tcPr>
          <w:p w14:paraId="71DEC3A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42C81BDD"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20CDACF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417" w:type="pct"/>
            <w:tcBorders>
              <w:top w:val="nil"/>
              <w:left w:val="nil"/>
              <w:bottom w:val="single" w:sz="4" w:space="0" w:color="auto"/>
              <w:right w:val="single" w:sz="4" w:space="0" w:color="auto"/>
            </w:tcBorders>
            <w:shd w:val="clear" w:color="auto" w:fill="auto"/>
            <w:vAlign w:val="center"/>
            <w:hideMark/>
          </w:tcPr>
          <w:p w14:paraId="0D70841A" w14:textId="77777777" w:rsidR="006A42A4" w:rsidRPr="00B6793F" w:rsidRDefault="006A42A4" w:rsidP="006A42A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kontrollet zyrtare dhe veprimtari të tjera zyrtare të kryera për të garantuar zbatimin e legjislacionit mbi ushqimin dhe ushqimin për kafshë, rregullimeve mbi shëndetin dhe mirëqenien e kafshëve si dhe</w:t>
            </w:r>
            <w:r w:rsidRPr="00B6793F">
              <w:rPr>
                <w:rFonts w:ascii="Arial" w:eastAsia="Times New Roman" w:hAnsi="Arial" w:cs="Arial"/>
                <w:color w:val="000000"/>
                <w:sz w:val="8"/>
                <w:szCs w:val="8"/>
                <w:lang w:eastAsia="sq-AL"/>
              </w:rPr>
              <w:br/>
              <w:t>mbi shëndetin e bimëve dhe produkteve për mbrojtjen e bimëve në Republikën e Shqipërisë"</w:t>
            </w:r>
          </w:p>
        </w:tc>
        <w:tc>
          <w:tcPr>
            <w:tcW w:w="401" w:type="pct"/>
            <w:tcBorders>
              <w:top w:val="nil"/>
              <w:left w:val="nil"/>
              <w:bottom w:val="single" w:sz="4" w:space="0" w:color="auto"/>
              <w:right w:val="single" w:sz="4" w:space="0" w:color="auto"/>
            </w:tcBorders>
            <w:shd w:val="clear" w:color="auto" w:fill="auto"/>
            <w:vAlign w:val="center"/>
            <w:hideMark/>
          </w:tcPr>
          <w:p w14:paraId="3088982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noWrap/>
            <w:vAlign w:val="center"/>
            <w:hideMark/>
          </w:tcPr>
          <w:p w14:paraId="0342380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1E6B79C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1C2B5AA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 ligj do të përafrohet pjesërisht me Rregulloren (BE) 2017/625 të Parlamentit Evropian dhe Këshillit të datës 15 mars 2017. Ky projekt ligj përcakton rregullat e përgjithshme dhe të veçanta, parimet dhe kërkesat që lidhen me kontrollet zyrtare dhe veprimtaritë e tjera zyrtare, si dhe përcakton përgjegjësitë, financimin dhe procedurat për kryerjen e kontrolleve zyrtare me qëllim garantimin e një niveli të lartë të mbrojtjes së shëndetit të njerëzve, kafshëve dhe të mjedisit në Republikën e Shqipërisë. Hartimi i ketij projekt ligji ka per qellimin unifikim e kontrolleve zyrtare sipas legjislacionit te BE-së, si dhe plotësimin e rekomandimeve te Raport-progreseve.</w:t>
            </w:r>
          </w:p>
        </w:tc>
        <w:tc>
          <w:tcPr>
            <w:tcW w:w="528" w:type="pct"/>
            <w:tcBorders>
              <w:top w:val="nil"/>
              <w:left w:val="nil"/>
              <w:bottom w:val="single" w:sz="4" w:space="0" w:color="auto"/>
              <w:right w:val="single" w:sz="4" w:space="0" w:color="auto"/>
            </w:tcBorders>
            <w:shd w:val="clear" w:color="auto" w:fill="auto"/>
            <w:vAlign w:val="center"/>
            <w:hideMark/>
          </w:tcPr>
          <w:p w14:paraId="464097B9" w14:textId="77777777" w:rsidR="006A42A4" w:rsidRPr="00B6793F" w:rsidRDefault="006A42A4" w:rsidP="006A42A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br/>
              <w:t>Ky projekt ligj parashikon të përcaktoje rregullat për: a) kryerjen e kontrolleve zyrtare dhe veprimtari të tjera zyrtare nga institucionet përgjegjëse; b) financimin e kontrolleve zyrtare; c) miratimin dhe zbatimin e kushteve që duhet të përmbushin kafshët dhe mallrat që hyjnë në territorin e Republikës së Shqipërisë nga shtete që nuk janë shtete anëtare të BE-së; d) ngritjen e një sistemi informacioni të kompjuterizuar për të menaxhuar informacionin dhe të dhënat që i përkasin kontrolleve zyrtare;</w:t>
            </w:r>
          </w:p>
        </w:tc>
        <w:tc>
          <w:tcPr>
            <w:tcW w:w="379" w:type="pct"/>
            <w:tcBorders>
              <w:top w:val="nil"/>
              <w:left w:val="nil"/>
              <w:bottom w:val="single" w:sz="4" w:space="0" w:color="auto"/>
              <w:right w:val="single" w:sz="4" w:space="0" w:color="auto"/>
            </w:tcBorders>
            <w:shd w:val="clear" w:color="auto" w:fill="auto"/>
            <w:vAlign w:val="center"/>
            <w:hideMark/>
          </w:tcPr>
          <w:p w14:paraId="370967C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11 dhe 12</w:t>
            </w:r>
          </w:p>
        </w:tc>
        <w:tc>
          <w:tcPr>
            <w:tcW w:w="458" w:type="pct"/>
            <w:tcBorders>
              <w:top w:val="nil"/>
              <w:left w:val="nil"/>
              <w:bottom w:val="single" w:sz="4" w:space="0" w:color="auto"/>
              <w:right w:val="single" w:sz="4" w:space="0" w:color="auto"/>
            </w:tcBorders>
            <w:shd w:val="clear" w:color="auto" w:fill="auto"/>
            <w:vAlign w:val="center"/>
            <w:hideMark/>
          </w:tcPr>
          <w:p w14:paraId="7EDE1EE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2A54117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762F70E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Kombëtare</w:t>
            </w:r>
            <w:r w:rsidRPr="00B6793F">
              <w:rPr>
                <w:rFonts w:ascii="Arial" w:eastAsia="Times New Roman" w:hAnsi="Arial" w:cs="Arial"/>
                <w:color w:val="000000"/>
                <w:sz w:val="8"/>
                <w:szCs w:val="8"/>
                <w:lang w:eastAsia="sq-AL"/>
              </w:rPr>
              <w:br/>
              <w:t>te Sigurisë Ushqimore</w:t>
            </w:r>
            <w:r w:rsidRPr="00B6793F">
              <w:rPr>
                <w:rFonts w:ascii="Arial" w:eastAsia="Times New Roman" w:hAnsi="Arial" w:cs="Arial"/>
                <w:color w:val="000000"/>
                <w:sz w:val="8"/>
                <w:szCs w:val="8"/>
                <w:lang w:eastAsia="sq-AL"/>
              </w:rPr>
              <w:br/>
              <w:t>2023 - 2027</w:t>
            </w:r>
          </w:p>
        </w:tc>
        <w:tc>
          <w:tcPr>
            <w:tcW w:w="399" w:type="pct"/>
            <w:tcBorders>
              <w:top w:val="nil"/>
              <w:left w:val="nil"/>
              <w:bottom w:val="single" w:sz="4" w:space="0" w:color="auto"/>
              <w:right w:val="single" w:sz="4" w:space="0" w:color="auto"/>
            </w:tcBorders>
            <w:shd w:val="clear" w:color="auto" w:fill="auto"/>
            <w:vAlign w:val="center"/>
            <w:hideMark/>
          </w:tcPr>
          <w:p w14:paraId="150A2F5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ndikime ekonomike. </w:t>
            </w:r>
          </w:p>
        </w:tc>
      </w:tr>
      <w:tr w:rsidR="006A42A4" w:rsidRPr="00B6793F" w14:paraId="00A214A2"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11E1CAA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417" w:type="pct"/>
            <w:tcBorders>
              <w:top w:val="nil"/>
              <w:left w:val="nil"/>
              <w:bottom w:val="single" w:sz="4" w:space="0" w:color="auto"/>
              <w:right w:val="single" w:sz="4" w:space="0" w:color="auto"/>
            </w:tcBorders>
            <w:shd w:val="clear" w:color="auto" w:fill="auto"/>
            <w:vAlign w:val="center"/>
            <w:hideMark/>
          </w:tcPr>
          <w:p w14:paraId="1E280239" w14:textId="77777777" w:rsidR="006A42A4" w:rsidRPr="00B6793F" w:rsidRDefault="006A42A4" w:rsidP="006A42A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përcaktimin e kritereve, procedura, mënyra e transferimit të menaxhimit të infrastrukturës së peshkimit dhe infrastrukturës së lidhur me peshkimin dhe formati tip i kontratës"</w:t>
            </w:r>
          </w:p>
        </w:tc>
        <w:tc>
          <w:tcPr>
            <w:tcW w:w="401" w:type="pct"/>
            <w:tcBorders>
              <w:top w:val="nil"/>
              <w:left w:val="nil"/>
              <w:bottom w:val="single" w:sz="4" w:space="0" w:color="auto"/>
              <w:right w:val="single" w:sz="4" w:space="0" w:color="auto"/>
            </w:tcBorders>
            <w:shd w:val="clear" w:color="auto" w:fill="auto"/>
            <w:vAlign w:val="center"/>
            <w:hideMark/>
          </w:tcPr>
          <w:p w14:paraId="7FE9F5D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noWrap/>
            <w:vAlign w:val="center"/>
            <w:hideMark/>
          </w:tcPr>
          <w:p w14:paraId="4D89D8C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3C4D4A3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7C25F61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Me hyrjen ne fuqi te ndryshimeve te ligjit 64/2012 “Për peshkimin”, bazuar pikës 4 të nenit 65 të këtij ligji nevojitet hartimin e vendimit per përcaktimin e kritereve, procedura, mënyra e transferimit të menaxhimit të infrastrukturës së peshkimit dhe infrastrukturës së lidhur me peshkimin dhe formati tip i kontratës, me qellim menaxhimin optimal te infrastrukturës se peshkimit.</w:t>
            </w:r>
          </w:p>
        </w:tc>
        <w:tc>
          <w:tcPr>
            <w:tcW w:w="528" w:type="pct"/>
            <w:tcBorders>
              <w:top w:val="nil"/>
              <w:left w:val="nil"/>
              <w:bottom w:val="single" w:sz="4" w:space="0" w:color="auto"/>
              <w:right w:val="single" w:sz="4" w:space="0" w:color="auto"/>
            </w:tcBorders>
            <w:shd w:val="clear" w:color="auto" w:fill="auto"/>
            <w:vAlign w:val="center"/>
            <w:hideMark/>
          </w:tcPr>
          <w:p w14:paraId="575F2B85" w14:textId="77777777" w:rsidR="006A42A4" w:rsidRPr="00B6793F" w:rsidRDefault="006A42A4" w:rsidP="006A42A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percakton kriteret, procedurat,</w:t>
            </w:r>
            <w:r w:rsidRPr="00B6793F">
              <w:rPr>
                <w:rFonts w:ascii="Arial" w:eastAsia="Times New Roman" w:hAnsi="Arial" w:cs="Arial"/>
                <w:color w:val="000000"/>
                <w:sz w:val="8"/>
                <w:szCs w:val="8"/>
                <w:lang w:eastAsia="sq-AL"/>
              </w:rPr>
              <w:br/>
              <w:t>mënyren e transferimit të menaxhimit të</w:t>
            </w:r>
            <w:r w:rsidRPr="00B6793F">
              <w:rPr>
                <w:rFonts w:ascii="Arial" w:eastAsia="Times New Roman" w:hAnsi="Arial" w:cs="Arial"/>
                <w:color w:val="000000"/>
                <w:sz w:val="8"/>
                <w:szCs w:val="8"/>
                <w:lang w:eastAsia="sq-AL"/>
              </w:rPr>
              <w:br/>
              <w:t>infrastrukturës së peshkimit dhe infrastrukturës së</w:t>
            </w:r>
            <w:r w:rsidRPr="00B6793F">
              <w:rPr>
                <w:rFonts w:ascii="Arial" w:eastAsia="Times New Roman" w:hAnsi="Arial" w:cs="Arial"/>
                <w:color w:val="000000"/>
                <w:sz w:val="8"/>
                <w:szCs w:val="8"/>
                <w:lang w:eastAsia="sq-AL"/>
              </w:rPr>
              <w:br/>
              <w:t>lidhur me peshkimin dhe formati tip i kontratës</w:t>
            </w:r>
          </w:p>
        </w:tc>
        <w:tc>
          <w:tcPr>
            <w:tcW w:w="379" w:type="pct"/>
            <w:tcBorders>
              <w:top w:val="nil"/>
              <w:left w:val="nil"/>
              <w:bottom w:val="single" w:sz="4" w:space="0" w:color="auto"/>
              <w:right w:val="single" w:sz="4" w:space="0" w:color="auto"/>
            </w:tcBorders>
            <w:shd w:val="clear" w:color="auto" w:fill="auto"/>
            <w:vAlign w:val="center"/>
            <w:hideMark/>
          </w:tcPr>
          <w:p w14:paraId="791572B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46DDE74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49FEC67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4E0FBE9B" w14:textId="0ADC07FD"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4D102D2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70E6BB68"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64FE32F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417" w:type="pct"/>
            <w:tcBorders>
              <w:top w:val="nil"/>
              <w:left w:val="nil"/>
              <w:bottom w:val="single" w:sz="4" w:space="0" w:color="auto"/>
              <w:right w:val="single" w:sz="4" w:space="0" w:color="auto"/>
            </w:tcBorders>
            <w:shd w:val="clear" w:color="auto" w:fill="auto"/>
            <w:vAlign w:val="center"/>
            <w:hideMark/>
          </w:tcPr>
          <w:p w14:paraId="06F501DA" w14:textId="77777777" w:rsidR="006A42A4" w:rsidRPr="00B6793F" w:rsidRDefault="006A42A4" w:rsidP="006A42A4">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mënyrën e organizimit dhe funksionimit të tregut të produkteve të peshkimit dhe akuakulturës  dhe për miratimin e formës dhe përmbajtjes së planeve të prodhimit dhe marketingut”</w:t>
            </w:r>
          </w:p>
        </w:tc>
        <w:tc>
          <w:tcPr>
            <w:tcW w:w="401" w:type="pct"/>
            <w:tcBorders>
              <w:top w:val="nil"/>
              <w:left w:val="nil"/>
              <w:bottom w:val="single" w:sz="4" w:space="0" w:color="auto"/>
              <w:right w:val="single" w:sz="4" w:space="0" w:color="auto"/>
            </w:tcBorders>
            <w:shd w:val="clear" w:color="auto" w:fill="auto"/>
            <w:vAlign w:val="center"/>
            <w:hideMark/>
          </w:tcPr>
          <w:p w14:paraId="0054ACE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noWrap/>
            <w:vAlign w:val="center"/>
            <w:hideMark/>
          </w:tcPr>
          <w:p w14:paraId="4B7A40A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2C0E667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637" w:type="pct"/>
            <w:tcBorders>
              <w:top w:val="nil"/>
              <w:left w:val="nil"/>
              <w:bottom w:val="single" w:sz="4" w:space="0" w:color="auto"/>
              <w:right w:val="single" w:sz="4" w:space="0" w:color="auto"/>
            </w:tcBorders>
            <w:shd w:val="clear" w:color="auto" w:fill="auto"/>
            <w:vAlign w:val="center"/>
            <w:hideMark/>
          </w:tcPr>
          <w:p w14:paraId="3F7D9C6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nga takimi Bilateral Screening Meeting për Kapitullin 13 - Peshkimi, ne te cilin Shqiperia mori angazhim perafrimin e Rregullores (BE) Nr. 1379/2013 e Parlamentit Evropian dhe të Këshillit, datë 11 dhjetor 2013, për organizatën e përbashkët të tregjeve në produkte peshkimi dhe akvakulturë, duke ndryshuar Rregulloret e Këshillit (CE) Nr. 1184/2006 dhe (CE) Nr. 1224/2009 dhe duke anuluar Rregullore (CE) Nr. 104/2000 dhe të Rregullores Rregullorja Zbatuese (BE) Nr. 1418/2013 e Komisionit, datë 17 dhjetor 2013, lidhur me planet e prodhimit dhe të tregtimit, në zbatim të Rregullores (BE) Nr. 1379/2013 të Parlamentit Evropian dhe të Këshillit, për organizimin e përbashkët të tregjeve të produkteve të peshkimit dhe akuakulturës</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Detyrim për miratimin e akteve nënligjore në zbatim të  pikës 2/1 të nenit 61/1 dhe të pikës 4 të nenit 109 të ligjit nr. 64/2012, “Për peshkimin”, të ndryshuar</w:t>
            </w:r>
          </w:p>
        </w:tc>
        <w:tc>
          <w:tcPr>
            <w:tcW w:w="528" w:type="pct"/>
            <w:tcBorders>
              <w:top w:val="nil"/>
              <w:left w:val="nil"/>
              <w:bottom w:val="single" w:sz="4" w:space="0" w:color="auto"/>
              <w:right w:val="single" w:sz="4" w:space="0" w:color="auto"/>
            </w:tcBorders>
            <w:shd w:val="clear" w:color="auto" w:fill="auto"/>
            <w:vAlign w:val="center"/>
            <w:hideMark/>
          </w:tcPr>
          <w:p w14:paraId="50E5E59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percakton rregullat per organizimindhe rregullimin e tregjeve te produkteve te peshkimit dhe akuakultures si dhe formën dhe përmabjtjen e planeve të prodhimit dhe marketingut </w:t>
            </w:r>
          </w:p>
        </w:tc>
        <w:tc>
          <w:tcPr>
            <w:tcW w:w="379" w:type="pct"/>
            <w:tcBorders>
              <w:top w:val="nil"/>
              <w:left w:val="nil"/>
              <w:bottom w:val="single" w:sz="4" w:space="0" w:color="auto"/>
              <w:right w:val="single" w:sz="4" w:space="0" w:color="auto"/>
            </w:tcBorders>
            <w:shd w:val="clear" w:color="auto" w:fill="auto"/>
            <w:vAlign w:val="center"/>
            <w:hideMark/>
          </w:tcPr>
          <w:p w14:paraId="1EA5F1A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13</w:t>
            </w:r>
          </w:p>
        </w:tc>
        <w:tc>
          <w:tcPr>
            <w:tcW w:w="458" w:type="pct"/>
            <w:tcBorders>
              <w:top w:val="nil"/>
              <w:left w:val="nil"/>
              <w:bottom w:val="single" w:sz="4" w:space="0" w:color="auto"/>
              <w:right w:val="single" w:sz="4" w:space="0" w:color="auto"/>
            </w:tcBorders>
            <w:shd w:val="clear" w:color="auto" w:fill="auto"/>
            <w:vAlign w:val="center"/>
            <w:hideMark/>
          </w:tcPr>
          <w:p w14:paraId="5F35648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1E5F1B8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41AF4376" w14:textId="4BB571D0"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2021–2028</w:t>
            </w:r>
          </w:p>
        </w:tc>
        <w:tc>
          <w:tcPr>
            <w:tcW w:w="399" w:type="pct"/>
            <w:tcBorders>
              <w:top w:val="nil"/>
              <w:left w:val="nil"/>
              <w:bottom w:val="single" w:sz="4" w:space="0" w:color="auto"/>
              <w:right w:val="single" w:sz="4" w:space="0" w:color="auto"/>
            </w:tcBorders>
            <w:shd w:val="clear" w:color="auto" w:fill="auto"/>
            <w:vAlign w:val="center"/>
            <w:hideMark/>
          </w:tcPr>
          <w:p w14:paraId="7BBBDBA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Po,ndikime sociale ekonomike. </w:t>
            </w:r>
          </w:p>
        </w:tc>
      </w:tr>
      <w:tr w:rsidR="006A42A4" w:rsidRPr="00B6793F" w14:paraId="2CA57745"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EB07CE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417" w:type="pct"/>
            <w:tcBorders>
              <w:top w:val="nil"/>
              <w:left w:val="nil"/>
              <w:bottom w:val="single" w:sz="4" w:space="0" w:color="auto"/>
              <w:right w:val="single" w:sz="4" w:space="0" w:color="auto"/>
            </w:tcBorders>
            <w:shd w:val="clear" w:color="auto" w:fill="auto"/>
            <w:vAlign w:val="center"/>
            <w:hideMark/>
          </w:tcPr>
          <w:p w14:paraId="33B41743" w14:textId="77777777" w:rsidR="006A42A4" w:rsidRPr="00B6793F" w:rsidRDefault="006A42A4" w:rsidP="006A42A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Mbi organizimin e tregut të produkteve bujqësore</w:t>
            </w:r>
          </w:p>
        </w:tc>
        <w:tc>
          <w:tcPr>
            <w:tcW w:w="401" w:type="pct"/>
            <w:tcBorders>
              <w:top w:val="nil"/>
              <w:left w:val="nil"/>
              <w:bottom w:val="single" w:sz="4" w:space="0" w:color="auto"/>
              <w:right w:val="single" w:sz="4" w:space="0" w:color="auto"/>
            </w:tcBorders>
            <w:shd w:val="clear" w:color="auto" w:fill="auto"/>
            <w:vAlign w:val="center"/>
            <w:hideMark/>
          </w:tcPr>
          <w:p w14:paraId="1EED366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0D4D488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68E3B8C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637" w:type="pct"/>
            <w:tcBorders>
              <w:top w:val="nil"/>
              <w:left w:val="nil"/>
              <w:bottom w:val="single" w:sz="4" w:space="0" w:color="auto"/>
              <w:right w:val="single" w:sz="4" w:space="0" w:color="auto"/>
            </w:tcBorders>
            <w:shd w:val="clear" w:color="auto" w:fill="auto"/>
            <w:vAlign w:val="center"/>
            <w:hideMark/>
          </w:tcPr>
          <w:p w14:paraId="0334BFC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 me rregulloren e re të BE-së 1308/2013, për krijimin e një organizmi të përbashkët të tregjeve të produkteve bujqësore, si dhe nr. 2021/2117 për CMO.</w:t>
            </w:r>
          </w:p>
        </w:tc>
        <w:tc>
          <w:tcPr>
            <w:tcW w:w="528" w:type="pct"/>
            <w:tcBorders>
              <w:top w:val="nil"/>
              <w:left w:val="nil"/>
              <w:bottom w:val="single" w:sz="4" w:space="0" w:color="auto"/>
              <w:right w:val="single" w:sz="4" w:space="0" w:color="auto"/>
            </w:tcBorders>
            <w:shd w:val="clear" w:color="auto" w:fill="auto"/>
            <w:vAlign w:val="center"/>
            <w:hideMark/>
          </w:tcPr>
          <w:p w14:paraId="19ADF71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ligj përcakton rregullat dhe procedurat për: vendosjen/nxjerrjen dhe qarkullimin e produkteve bujqësore në tregun e brendshëm; organizimin dhe njohjen e shoqatave të prodhuesve dhe strukturave të tjera përfaqësuese; zbatimin e masave për ndërhyrje në treg për qëndrueshmërinë e çmimeve dhe sigurimin e furnizimit; zhvillimin e tregtisë së produkteve bujqësore me shtetet e tjera, sipas detyrimeve ndërkombëtare të Republikës së Shqipërisë; çështje të tjera të domosdoshme të lidhura me funksionimin dhe organizimin e tregut të produkteve bujqësore</w:t>
            </w:r>
          </w:p>
        </w:tc>
        <w:tc>
          <w:tcPr>
            <w:tcW w:w="379" w:type="pct"/>
            <w:tcBorders>
              <w:top w:val="nil"/>
              <w:left w:val="nil"/>
              <w:bottom w:val="single" w:sz="4" w:space="0" w:color="auto"/>
              <w:right w:val="single" w:sz="4" w:space="0" w:color="auto"/>
            </w:tcBorders>
            <w:shd w:val="clear" w:color="auto" w:fill="auto"/>
            <w:vAlign w:val="center"/>
            <w:hideMark/>
          </w:tcPr>
          <w:p w14:paraId="41ECA68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11</w:t>
            </w:r>
          </w:p>
        </w:tc>
        <w:tc>
          <w:tcPr>
            <w:tcW w:w="458" w:type="pct"/>
            <w:tcBorders>
              <w:top w:val="nil"/>
              <w:left w:val="nil"/>
              <w:bottom w:val="single" w:sz="4" w:space="0" w:color="auto"/>
              <w:right w:val="single" w:sz="4" w:space="0" w:color="auto"/>
            </w:tcBorders>
            <w:shd w:val="clear" w:color="auto" w:fill="auto"/>
            <w:vAlign w:val="center"/>
            <w:hideMark/>
          </w:tcPr>
          <w:p w14:paraId="2EBDD8A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442DFE7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33884671" w14:textId="4A7A2A4C"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0E0338C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financiare.</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Pika 3.3 nënpika 3.3.1 "Mbështetje për tregjet dhe marketingun e produkteve bujqësore dhe blegtorale"e PBA 2026-2028</w:t>
            </w:r>
          </w:p>
        </w:tc>
      </w:tr>
      <w:tr w:rsidR="006A42A4" w:rsidRPr="00B6793F" w14:paraId="14E6496A"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2DD512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417" w:type="pct"/>
            <w:tcBorders>
              <w:top w:val="nil"/>
              <w:left w:val="nil"/>
              <w:bottom w:val="single" w:sz="4" w:space="0" w:color="auto"/>
              <w:right w:val="single" w:sz="4" w:space="0" w:color="auto"/>
            </w:tcBorders>
            <w:shd w:val="clear" w:color="auto" w:fill="auto"/>
            <w:vAlign w:val="center"/>
            <w:hideMark/>
          </w:tcPr>
          <w:p w14:paraId="5F7F431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 Per procedurat dhe kriteret e kryerjes së certifikimit për specie të veçanta ose grup speciesh”. </w:t>
            </w:r>
          </w:p>
        </w:tc>
        <w:tc>
          <w:tcPr>
            <w:tcW w:w="401" w:type="pct"/>
            <w:tcBorders>
              <w:top w:val="nil"/>
              <w:left w:val="nil"/>
              <w:bottom w:val="single" w:sz="4" w:space="0" w:color="auto"/>
              <w:right w:val="single" w:sz="4" w:space="0" w:color="auto"/>
            </w:tcBorders>
            <w:shd w:val="clear" w:color="auto" w:fill="auto"/>
            <w:vAlign w:val="center"/>
            <w:hideMark/>
          </w:tcPr>
          <w:p w14:paraId="303EE31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vAlign w:val="center"/>
            <w:hideMark/>
          </w:tcPr>
          <w:p w14:paraId="7799BEB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6037685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637" w:type="pct"/>
            <w:tcBorders>
              <w:top w:val="nil"/>
              <w:left w:val="nil"/>
              <w:bottom w:val="single" w:sz="4" w:space="0" w:color="auto"/>
              <w:right w:val="single" w:sz="4" w:space="0" w:color="auto"/>
            </w:tcBorders>
            <w:shd w:val="clear" w:color="auto" w:fill="auto"/>
            <w:vAlign w:val="center"/>
            <w:hideMark/>
          </w:tcPr>
          <w:p w14:paraId="48ABED5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për nxjerrjen e akteve nënligjore në zbatim  të pikës 3 të nenit 14 të ligjit 10 416 datë 7.4.2011 "Për materialin mbjellës dhe shumëzues bimor" të ndryshuar.</w:t>
            </w:r>
          </w:p>
        </w:tc>
        <w:tc>
          <w:tcPr>
            <w:tcW w:w="528" w:type="pct"/>
            <w:tcBorders>
              <w:top w:val="nil"/>
              <w:left w:val="nil"/>
              <w:bottom w:val="single" w:sz="4" w:space="0" w:color="auto"/>
              <w:right w:val="single" w:sz="4" w:space="0" w:color="auto"/>
            </w:tcBorders>
            <w:shd w:val="clear" w:color="auto" w:fill="auto"/>
            <w:vAlign w:val="center"/>
            <w:hideMark/>
          </w:tcPr>
          <w:p w14:paraId="06BCDA8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Rregullon fushën  e certifikimit  materialit mbjellës bimor</w:t>
            </w:r>
          </w:p>
        </w:tc>
        <w:tc>
          <w:tcPr>
            <w:tcW w:w="379" w:type="pct"/>
            <w:tcBorders>
              <w:top w:val="nil"/>
              <w:left w:val="nil"/>
              <w:bottom w:val="single" w:sz="4" w:space="0" w:color="auto"/>
              <w:right w:val="single" w:sz="4" w:space="0" w:color="auto"/>
            </w:tcBorders>
            <w:shd w:val="clear" w:color="auto" w:fill="auto"/>
            <w:vAlign w:val="center"/>
            <w:hideMark/>
          </w:tcPr>
          <w:p w14:paraId="16174DA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170B8BE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31034DF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66D32B9C" w14:textId="60F24CD3"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4E3CFDE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61AB45E0"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19B129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417" w:type="pct"/>
            <w:tcBorders>
              <w:top w:val="nil"/>
              <w:left w:val="nil"/>
              <w:bottom w:val="nil"/>
              <w:right w:val="nil"/>
            </w:tcBorders>
            <w:shd w:val="clear" w:color="auto" w:fill="auto"/>
            <w:vAlign w:val="center"/>
            <w:hideMark/>
          </w:tcPr>
          <w:p w14:paraId="152515B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percaktimin e kushteve, që duhet të plotësojnë subjektet publike e private, për kryerjen e shërbimit publik.</w:t>
            </w:r>
          </w:p>
        </w:tc>
        <w:tc>
          <w:tcPr>
            <w:tcW w:w="401" w:type="pct"/>
            <w:tcBorders>
              <w:top w:val="nil"/>
              <w:left w:val="single" w:sz="4" w:space="0" w:color="auto"/>
              <w:bottom w:val="single" w:sz="4" w:space="0" w:color="auto"/>
              <w:right w:val="single" w:sz="4" w:space="0" w:color="auto"/>
            </w:tcBorders>
            <w:shd w:val="clear" w:color="auto" w:fill="auto"/>
            <w:vAlign w:val="center"/>
            <w:hideMark/>
          </w:tcPr>
          <w:p w14:paraId="4ABE74F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vAlign w:val="center"/>
            <w:hideMark/>
          </w:tcPr>
          <w:p w14:paraId="079A8BD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4EF2811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637" w:type="pct"/>
            <w:tcBorders>
              <w:top w:val="nil"/>
              <w:left w:val="nil"/>
              <w:bottom w:val="single" w:sz="4" w:space="0" w:color="auto"/>
              <w:right w:val="single" w:sz="4" w:space="0" w:color="auto"/>
            </w:tcBorders>
            <w:shd w:val="clear" w:color="auto" w:fill="auto"/>
            <w:vAlign w:val="center"/>
            <w:hideMark/>
          </w:tcPr>
          <w:p w14:paraId="484FBAC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për nxjerrjen e akteve nënligjore në zbatim të pikës 2 të nenit 49 të ligjit 10416 datë 7.4.2011 "Për materialin mbjellës dhe shumëzues bimor të ndryshuar"</w:t>
            </w:r>
          </w:p>
        </w:tc>
        <w:tc>
          <w:tcPr>
            <w:tcW w:w="528" w:type="pct"/>
            <w:tcBorders>
              <w:top w:val="nil"/>
              <w:left w:val="nil"/>
              <w:bottom w:val="single" w:sz="4" w:space="0" w:color="auto"/>
              <w:right w:val="single" w:sz="4" w:space="0" w:color="auto"/>
            </w:tcBorders>
            <w:shd w:val="clear" w:color="auto" w:fill="auto"/>
            <w:vAlign w:val="center"/>
            <w:hideMark/>
          </w:tcPr>
          <w:p w14:paraId="35BD598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i cili lidhet me kushtet që duhet të ofrojnë subjektet publike private</w:t>
            </w:r>
          </w:p>
        </w:tc>
        <w:tc>
          <w:tcPr>
            <w:tcW w:w="379" w:type="pct"/>
            <w:tcBorders>
              <w:top w:val="nil"/>
              <w:left w:val="nil"/>
              <w:bottom w:val="single" w:sz="4" w:space="0" w:color="auto"/>
              <w:right w:val="single" w:sz="4" w:space="0" w:color="auto"/>
            </w:tcBorders>
            <w:shd w:val="clear" w:color="auto" w:fill="auto"/>
            <w:vAlign w:val="center"/>
            <w:hideMark/>
          </w:tcPr>
          <w:p w14:paraId="3C2180B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vAlign w:val="center"/>
            <w:hideMark/>
          </w:tcPr>
          <w:p w14:paraId="6C52D38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408AAC7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23079FA9" w14:textId="2DDF0C94"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7684D9F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0FF7532D"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02A49E8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0062A06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Vendimin 402/2013 "Për përcaktimin e masave menaxhuese për shfrytëzimin e qëndrueshëm të burimeve peshkore në det"</w:t>
            </w:r>
          </w:p>
        </w:tc>
        <w:tc>
          <w:tcPr>
            <w:tcW w:w="401" w:type="pct"/>
            <w:tcBorders>
              <w:top w:val="nil"/>
              <w:left w:val="nil"/>
              <w:bottom w:val="single" w:sz="4" w:space="0" w:color="auto"/>
              <w:right w:val="single" w:sz="4" w:space="0" w:color="auto"/>
            </w:tcBorders>
            <w:shd w:val="clear" w:color="auto" w:fill="auto"/>
            <w:vAlign w:val="center"/>
            <w:hideMark/>
          </w:tcPr>
          <w:p w14:paraId="62B120F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noWrap/>
            <w:vAlign w:val="center"/>
            <w:hideMark/>
          </w:tcPr>
          <w:p w14:paraId="404B348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202B694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637" w:type="pct"/>
            <w:tcBorders>
              <w:top w:val="nil"/>
              <w:left w:val="nil"/>
              <w:bottom w:val="single" w:sz="4" w:space="0" w:color="auto"/>
              <w:right w:val="single" w:sz="4" w:space="0" w:color="auto"/>
            </w:tcBorders>
            <w:shd w:val="clear" w:color="auto" w:fill="auto"/>
            <w:vAlign w:val="center"/>
            <w:hideMark/>
          </w:tcPr>
          <w:p w14:paraId="3C7285C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Rritja e shkalles se perafrimit te acquis te BE ne lidhje me masat teknike dhe menaxhimin e resurseve detare. Bazuar në pikën 2 të nenit 5 të ligjit nr. 64/2012 "Për peshkimin" të ndryshuar.</w:t>
            </w:r>
          </w:p>
        </w:tc>
        <w:tc>
          <w:tcPr>
            <w:tcW w:w="528" w:type="pct"/>
            <w:tcBorders>
              <w:top w:val="nil"/>
              <w:left w:val="nil"/>
              <w:bottom w:val="single" w:sz="4" w:space="0" w:color="auto"/>
              <w:right w:val="single" w:sz="4" w:space="0" w:color="auto"/>
            </w:tcBorders>
            <w:shd w:val="clear" w:color="auto" w:fill="auto"/>
            <w:vAlign w:val="center"/>
            <w:hideMark/>
          </w:tcPr>
          <w:p w14:paraId="1083445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Perafrimi I plote I masave teknike qe I perkasin sektorit te peshkimit, duke perfshire edhe masat me te fundit te miratuara nga BE, per mbrojtjen dhe konservimit te habitateve dhe resurseve detare.</w:t>
            </w:r>
          </w:p>
        </w:tc>
        <w:tc>
          <w:tcPr>
            <w:tcW w:w="379" w:type="pct"/>
            <w:tcBorders>
              <w:top w:val="nil"/>
              <w:left w:val="nil"/>
              <w:bottom w:val="single" w:sz="4" w:space="0" w:color="auto"/>
              <w:right w:val="single" w:sz="4" w:space="0" w:color="auto"/>
            </w:tcBorders>
            <w:shd w:val="clear" w:color="auto" w:fill="auto"/>
            <w:noWrap/>
            <w:vAlign w:val="center"/>
            <w:hideMark/>
          </w:tcPr>
          <w:p w14:paraId="16E0982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noWrap/>
            <w:vAlign w:val="center"/>
            <w:hideMark/>
          </w:tcPr>
          <w:p w14:paraId="413A5AB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noWrap/>
            <w:vAlign w:val="center"/>
            <w:hideMark/>
          </w:tcPr>
          <w:p w14:paraId="76B65DE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4D3CDE00" w14:textId="6BF840E9"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331D8EA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007DEF70"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E3E8E0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417" w:type="pct"/>
            <w:tcBorders>
              <w:top w:val="nil"/>
              <w:left w:val="nil"/>
              <w:bottom w:val="single" w:sz="4" w:space="0" w:color="auto"/>
              <w:right w:val="single" w:sz="4" w:space="0" w:color="auto"/>
            </w:tcBorders>
            <w:shd w:val="clear" w:color="auto" w:fill="auto"/>
            <w:vAlign w:val="center"/>
            <w:hideMark/>
          </w:tcPr>
          <w:p w14:paraId="60DBBAF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percaktimin e kritereve për kategorinë, identitetin, cilësinë, paketimin dhe etiketimin për specie të veçanta dhe grup speciesh të bimëve.</w:t>
            </w:r>
          </w:p>
        </w:tc>
        <w:tc>
          <w:tcPr>
            <w:tcW w:w="401" w:type="pct"/>
            <w:tcBorders>
              <w:top w:val="nil"/>
              <w:left w:val="nil"/>
              <w:bottom w:val="single" w:sz="4" w:space="0" w:color="auto"/>
              <w:right w:val="single" w:sz="4" w:space="0" w:color="auto"/>
            </w:tcBorders>
            <w:shd w:val="clear" w:color="auto" w:fill="auto"/>
            <w:vAlign w:val="center"/>
            <w:hideMark/>
          </w:tcPr>
          <w:p w14:paraId="689FC14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vAlign w:val="center"/>
            <w:hideMark/>
          </w:tcPr>
          <w:p w14:paraId="53C6F28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1252D2D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0E6EC1D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për nxjerrjen e akteve nënligjore në zbatim të pikës 9 të nenit 4 të ligjit 10 416 datë 7.4.2011 'Për materialin mbjellës dhe shumëzues bimor të ndryshuar"</w:t>
            </w:r>
          </w:p>
        </w:tc>
        <w:tc>
          <w:tcPr>
            <w:tcW w:w="528" w:type="pct"/>
            <w:tcBorders>
              <w:top w:val="nil"/>
              <w:left w:val="nil"/>
              <w:bottom w:val="single" w:sz="4" w:space="0" w:color="auto"/>
              <w:right w:val="single" w:sz="4" w:space="0" w:color="auto"/>
            </w:tcBorders>
            <w:shd w:val="clear" w:color="auto" w:fill="auto"/>
            <w:vAlign w:val="center"/>
            <w:hideMark/>
          </w:tcPr>
          <w:p w14:paraId="4A0E4E9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Rregullon fushën e materialit mbjellës pyjor, ky detyrim është raportuar në Bilateral Screening nga ku kemi propozuar miratim e kësaj baze ligjore brenda vitit 2026</w:t>
            </w:r>
          </w:p>
        </w:tc>
        <w:tc>
          <w:tcPr>
            <w:tcW w:w="379" w:type="pct"/>
            <w:tcBorders>
              <w:top w:val="nil"/>
              <w:left w:val="nil"/>
              <w:bottom w:val="single" w:sz="4" w:space="0" w:color="auto"/>
              <w:right w:val="single" w:sz="4" w:space="0" w:color="auto"/>
            </w:tcBorders>
            <w:shd w:val="clear" w:color="auto" w:fill="auto"/>
            <w:vAlign w:val="center"/>
            <w:hideMark/>
          </w:tcPr>
          <w:p w14:paraId="21EA8EC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12</w:t>
            </w:r>
          </w:p>
        </w:tc>
        <w:tc>
          <w:tcPr>
            <w:tcW w:w="458" w:type="pct"/>
            <w:tcBorders>
              <w:top w:val="nil"/>
              <w:left w:val="nil"/>
              <w:bottom w:val="single" w:sz="4" w:space="0" w:color="auto"/>
              <w:right w:val="single" w:sz="4" w:space="0" w:color="auto"/>
            </w:tcBorders>
            <w:shd w:val="clear" w:color="auto" w:fill="auto"/>
            <w:vAlign w:val="center"/>
            <w:hideMark/>
          </w:tcPr>
          <w:p w14:paraId="3E74A63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1C1A373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34C6317F" w14:textId="64A368CC"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3265A52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6A42A4" w:rsidRPr="00B6793F" w14:paraId="7E77BBC0"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7A57517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417" w:type="pct"/>
            <w:tcBorders>
              <w:top w:val="nil"/>
              <w:left w:val="nil"/>
              <w:bottom w:val="single" w:sz="4" w:space="0" w:color="auto"/>
              <w:right w:val="single" w:sz="4" w:space="0" w:color="auto"/>
            </w:tcBorders>
            <w:shd w:val="clear" w:color="auto" w:fill="auto"/>
            <w:vAlign w:val="center"/>
            <w:hideMark/>
          </w:tcPr>
          <w:p w14:paraId="02DDEBE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vendosjen ne treg te produkteve per mbrojten e bimëve"</w:t>
            </w:r>
          </w:p>
        </w:tc>
        <w:tc>
          <w:tcPr>
            <w:tcW w:w="401" w:type="pct"/>
            <w:tcBorders>
              <w:top w:val="nil"/>
              <w:left w:val="nil"/>
              <w:bottom w:val="single" w:sz="4" w:space="0" w:color="auto"/>
              <w:right w:val="single" w:sz="4" w:space="0" w:color="auto"/>
            </w:tcBorders>
            <w:shd w:val="clear" w:color="auto" w:fill="auto"/>
            <w:vAlign w:val="center"/>
            <w:hideMark/>
          </w:tcPr>
          <w:p w14:paraId="16B0951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0F53D9A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1ED21E7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7DE838B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nga Pozicioni Negociues dhe qasja e BE-se </w:t>
            </w:r>
          </w:p>
        </w:tc>
        <w:tc>
          <w:tcPr>
            <w:tcW w:w="528" w:type="pct"/>
            <w:tcBorders>
              <w:top w:val="nil"/>
              <w:left w:val="nil"/>
              <w:bottom w:val="single" w:sz="4" w:space="0" w:color="auto"/>
              <w:right w:val="single" w:sz="4" w:space="0" w:color="auto"/>
            </w:tcBorders>
            <w:shd w:val="clear" w:color="auto" w:fill="auto"/>
            <w:vAlign w:val="center"/>
            <w:hideMark/>
          </w:tcPr>
          <w:p w14:paraId="50D48AC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Ky ligj përcakton rregullat: - për regjistrimin e produkteve për mbrojtjen e bimëve (në vazhdim PMB) në formë tregtare dhe për vendosjen e tyre në treg, përdorimin dhe kontrollin brenda teritorit të Shqipërisë; - për miratimin e lëndëve vepruese, mbrojtësve dhe sinergjistëve, të cilat përmbahen ose përbëhen në PMB; - për ndihmësit dhe bashkë-formulantët.                                                        Qëllimi i këtij ligji është të sigurojë një nivel të lartë mbrojtjeje të shëndetit të njerëzve dhe kafshëve dhe mjedisit dhe të përmirësojë funksionimin e tregut nëpërmjet harmonizimit të rregullave për vendosjen në treg të PMB-ve, duke përmirësuar prodhimin bujqësor.                                </w:t>
            </w:r>
          </w:p>
        </w:tc>
        <w:tc>
          <w:tcPr>
            <w:tcW w:w="379" w:type="pct"/>
            <w:tcBorders>
              <w:top w:val="nil"/>
              <w:left w:val="nil"/>
              <w:bottom w:val="single" w:sz="4" w:space="0" w:color="auto"/>
              <w:right w:val="single" w:sz="4" w:space="0" w:color="auto"/>
            </w:tcBorders>
            <w:shd w:val="clear" w:color="auto" w:fill="auto"/>
            <w:vAlign w:val="center"/>
            <w:hideMark/>
          </w:tcPr>
          <w:p w14:paraId="04DC435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12</w:t>
            </w:r>
          </w:p>
        </w:tc>
        <w:tc>
          <w:tcPr>
            <w:tcW w:w="458" w:type="pct"/>
            <w:tcBorders>
              <w:top w:val="nil"/>
              <w:left w:val="nil"/>
              <w:bottom w:val="single" w:sz="4" w:space="0" w:color="auto"/>
              <w:right w:val="single" w:sz="4" w:space="0" w:color="auto"/>
            </w:tcBorders>
            <w:shd w:val="clear" w:color="auto" w:fill="auto"/>
            <w:vAlign w:val="center"/>
            <w:hideMark/>
          </w:tcPr>
          <w:p w14:paraId="11112F8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5B59720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11799ABE" w14:textId="3708B8B9"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 dhe me Strategjinë Kombëtare të Sigurisë Ushqimore 2023–2027</w:t>
            </w:r>
          </w:p>
        </w:tc>
        <w:tc>
          <w:tcPr>
            <w:tcW w:w="399" w:type="pct"/>
            <w:tcBorders>
              <w:top w:val="nil"/>
              <w:left w:val="nil"/>
              <w:bottom w:val="single" w:sz="4" w:space="0" w:color="auto"/>
              <w:right w:val="single" w:sz="4" w:space="0" w:color="auto"/>
            </w:tcBorders>
            <w:shd w:val="clear" w:color="auto" w:fill="auto"/>
            <w:vAlign w:val="center"/>
            <w:hideMark/>
          </w:tcPr>
          <w:p w14:paraId="0132371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efekte mjedisore.</w:t>
            </w:r>
          </w:p>
        </w:tc>
      </w:tr>
      <w:tr w:rsidR="006A42A4" w:rsidRPr="00B6793F" w14:paraId="4469783F"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26AAB8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417" w:type="pct"/>
            <w:tcBorders>
              <w:top w:val="nil"/>
              <w:left w:val="nil"/>
              <w:bottom w:val="nil"/>
              <w:right w:val="nil"/>
            </w:tcBorders>
            <w:shd w:val="clear" w:color="auto" w:fill="auto"/>
            <w:vAlign w:val="center"/>
            <w:hideMark/>
          </w:tcPr>
          <w:p w14:paraId="6142A23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Kushtet e tjera dhe procedurat për miratimin e trupave të kontrollit dhe njoftimin e aktivitetit nga trupat e kontrollit, që veprojnë në Shqipëri sipas standardeve të tjera për prodhimin organik.</w:t>
            </w:r>
          </w:p>
        </w:tc>
        <w:tc>
          <w:tcPr>
            <w:tcW w:w="401" w:type="pct"/>
            <w:tcBorders>
              <w:top w:val="nil"/>
              <w:left w:val="single" w:sz="4" w:space="0" w:color="auto"/>
              <w:bottom w:val="single" w:sz="4" w:space="0" w:color="auto"/>
              <w:right w:val="single" w:sz="4" w:space="0" w:color="auto"/>
            </w:tcBorders>
            <w:shd w:val="clear" w:color="auto" w:fill="auto"/>
            <w:vAlign w:val="center"/>
            <w:hideMark/>
          </w:tcPr>
          <w:p w14:paraId="5456322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4" w:type="pct"/>
            <w:tcBorders>
              <w:top w:val="nil"/>
              <w:left w:val="nil"/>
              <w:bottom w:val="single" w:sz="4" w:space="0" w:color="auto"/>
              <w:right w:val="single" w:sz="4" w:space="0" w:color="auto"/>
            </w:tcBorders>
            <w:shd w:val="clear" w:color="auto" w:fill="auto"/>
            <w:vAlign w:val="center"/>
            <w:hideMark/>
          </w:tcPr>
          <w:p w14:paraId="09D007E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0CCAC4D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59EE22E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ligjor,                                                                                                                  Pika 10, neni 45 I ligjit 104/2024 "Per prodhimin organik, etiketimin e produkteve organike dhe kontrollin e tyre". </w:t>
            </w:r>
          </w:p>
        </w:tc>
        <w:tc>
          <w:tcPr>
            <w:tcW w:w="528" w:type="pct"/>
            <w:tcBorders>
              <w:top w:val="nil"/>
              <w:left w:val="nil"/>
              <w:bottom w:val="single" w:sz="4" w:space="0" w:color="auto"/>
              <w:right w:val="single" w:sz="4" w:space="0" w:color="auto"/>
            </w:tcBorders>
            <w:shd w:val="clear" w:color="auto" w:fill="auto"/>
            <w:vAlign w:val="center"/>
            <w:hideMark/>
          </w:tcPr>
          <w:p w14:paraId="1FBCE31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Plotesimi i kuadrit rregullator lidhur me kushtet e tjera pervec atyre te percaktuara ne ligjin 104/2024 dhe procedurat për miratimin e trupave të kontrollit qe veprojne sipas ligjit shqipetar dhe njoftimin e aktivitetit nga trupat e kontrollit, që veprojnë në Shqipëri sipas standardeve të tjera për prodhimin organik</w:t>
            </w:r>
          </w:p>
        </w:tc>
        <w:tc>
          <w:tcPr>
            <w:tcW w:w="379" w:type="pct"/>
            <w:tcBorders>
              <w:top w:val="nil"/>
              <w:left w:val="nil"/>
              <w:bottom w:val="single" w:sz="4" w:space="0" w:color="auto"/>
              <w:right w:val="single" w:sz="4" w:space="0" w:color="auto"/>
            </w:tcBorders>
            <w:shd w:val="clear" w:color="auto" w:fill="auto"/>
            <w:vAlign w:val="center"/>
            <w:hideMark/>
          </w:tcPr>
          <w:p w14:paraId="2C618D0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11</w:t>
            </w:r>
          </w:p>
        </w:tc>
        <w:tc>
          <w:tcPr>
            <w:tcW w:w="458" w:type="pct"/>
            <w:tcBorders>
              <w:top w:val="nil"/>
              <w:left w:val="nil"/>
              <w:bottom w:val="single" w:sz="4" w:space="0" w:color="auto"/>
              <w:right w:val="single" w:sz="4" w:space="0" w:color="auto"/>
            </w:tcBorders>
            <w:shd w:val="clear" w:color="auto" w:fill="auto"/>
            <w:vAlign w:val="center"/>
            <w:hideMark/>
          </w:tcPr>
          <w:p w14:paraId="356D0A6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33360E9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3BDA1DD4" w14:textId="3C08C209"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39B7349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efekte sociale.</w:t>
            </w:r>
          </w:p>
        </w:tc>
      </w:tr>
      <w:tr w:rsidR="006A42A4" w:rsidRPr="00B6793F" w14:paraId="012E62E1"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D36D83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5C125D5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Produktet Mjekesore Veterinare"</w:t>
            </w:r>
          </w:p>
        </w:tc>
        <w:tc>
          <w:tcPr>
            <w:tcW w:w="401" w:type="pct"/>
            <w:tcBorders>
              <w:top w:val="nil"/>
              <w:left w:val="nil"/>
              <w:bottom w:val="single" w:sz="4" w:space="0" w:color="auto"/>
              <w:right w:val="single" w:sz="4" w:space="0" w:color="auto"/>
            </w:tcBorders>
            <w:shd w:val="clear" w:color="auto" w:fill="auto"/>
            <w:vAlign w:val="center"/>
            <w:hideMark/>
          </w:tcPr>
          <w:p w14:paraId="4793FA3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12F31CD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13A676E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742BDC4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Perafrin i akte legjislacionit te BE:                                                                              1. rregullore  (BE) 2019/6 e Parlamentit dhe Këshillit dt. 11/12/2018 “Përsa i përket medikamenteve veterinare dhe që shfuqizon direktivën 2001/82/KE”</w:t>
            </w:r>
            <w:r w:rsidRPr="00B6793F">
              <w:rPr>
                <w:rFonts w:ascii="Arial" w:eastAsia="Times New Roman" w:hAnsi="Arial" w:cs="Arial"/>
                <w:color w:val="000000"/>
                <w:sz w:val="8"/>
                <w:szCs w:val="8"/>
                <w:lang w:eastAsia="sq-AL"/>
              </w:rPr>
              <w:br/>
              <w:t>2. rregullore (BE) 2019/4 e Parlamentit evropian dhe Këshillit, datë 11 dhjetor 2018 “Përsa i përket prodhimit, futjes në treg dhe përdorimit të ushqimeve të medikuara për kafshë, që modifikon rregulloren (KE) nr. 183/2005 të Parlamentit evropian dhe Këshillit dhe që shfuqizon direktivën 90/167/KEE të Këshillit”.</w:t>
            </w:r>
            <w:r w:rsidRPr="00B6793F">
              <w:rPr>
                <w:rFonts w:ascii="Arial" w:eastAsia="Times New Roman" w:hAnsi="Arial" w:cs="Arial"/>
                <w:color w:val="000000"/>
                <w:sz w:val="8"/>
                <w:szCs w:val="8"/>
                <w:lang w:eastAsia="sq-AL"/>
              </w:rPr>
              <w:br/>
              <w:t>3. rregullore (KE) nr. 470/2009 e Parlamentit evropian dhe Këshillit, datë 6 maj 2009 “Që përcakton procedura komunitare për përcaktimin e limiteve të rezuidëve të substancave farmakologjikisht aktive në ushqimet me origjinë shtazore dhe që shfuqizon rregulloren (KEE) nr. 2377/90 të këshillit dhe modifikon direktivën 2001/82/ke të parlamentit evropian dhe këshillit dhe rregulloren (KE) nr. 726/2004 të parlamentit evropian dhe këshillit”</w:t>
            </w:r>
            <w:r w:rsidRPr="00B6793F">
              <w:rPr>
                <w:rFonts w:ascii="Arial" w:eastAsia="Times New Roman" w:hAnsi="Arial" w:cs="Arial"/>
                <w:color w:val="000000"/>
                <w:sz w:val="8"/>
                <w:szCs w:val="8"/>
                <w:lang w:eastAsia="sq-AL"/>
              </w:rPr>
              <w:br/>
              <w:t xml:space="preserve">4. direktiva 96/22/KE e këshillit, datë 29 prill 1996, “Që i përket ndalimit të përdorimit të disa substancave me veprimtari hormonale, tireostatike dhe të substancave β-agoniste në produktet me origjinë shtazore dhe që shfuqizon direktivat 81/602/KEE, 88/146/KEE dhe 88/299/KEE”.                                             </w:t>
            </w:r>
          </w:p>
        </w:tc>
        <w:tc>
          <w:tcPr>
            <w:tcW w:w="528" w:type="pct"/>
            <w:tcBorders>
              <w:top w:val="nil"/>
              <w:left w:val="nil"/>
              <w:bottom w:val="single" w:sz="4" w:space="0" w:color="auto"/>
              <w:right w:val="single" w:sz="4" w:space="0" w:color="auto"/>
            </w:tcBorders>
            <w:shd w:val="clear" w:color="auto" w:fill="auto"/>
            <w:vAlign w:val="center"/>
            <w:hideMark/>
          </w:tcPr>
          <w:p w14:paraId="51AF36C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Përcakton rregulla lëshimit të certfikatës së tregtimit dhe prodhimit të medikamenteve veterinare dhe substancave aktive;</w:t>
            </w:r>
            <w:r w:rsidRPr="00B6793F">
              <w:rPr>
                <w:rFonts w:ascii="Arial" w:eastAsia="Times New Roman" w:hAnsi="Arial" w:cs="Arial"/>
                <w:color w:val="000000"/>
                <w:sz w:val="8"/>
                <w:szCs w:val="8"/>
                <w:lang w:eastAsia="sq-AL"/>
              </w:rPr>
              <w:br/>
              <w:t>2. Bën klasifikimin e medikamenteve veterinare;</w:t>
            </w:r>
            <w:r w:rsidRPr="00B6793F">
              <w:rPr>
                <w:rFonts w:ascii="Arial" w:eastAsia="Times New Roman" w:hAnsi="Arial" w:cs="Arial"/>
                <w:color w:val="000000"/>
                <w:sz w:val="8"/>
                <w:szCs w:val="8"/>
                <w:lang w:eastAsia="sq-AL"/>
              </w:rPr>
              <w:br/>
              <w:t>3. Krijon rregulla per përdorimin e antibiotikeve dhe substancave të tjera farnakologjike të ndaluara ose përdorimi i tyre rregullohet me ligj;</w:t>
            </w:r>
            <w:r w:rsidRPr="00B6793F">
              <w:rPr>
                <w:rFonts w:ascii="Arial" w:eastAsia="Times New Roman" w:hAnsi="Arial" w:cs="Arial"/>
                <w:color w:val="000000"/>
                <w:sz w:val="8"/>
                <w:szCs w:val="8"/>
                <w:lang w:eastAsia="sq-AL"/>
              </w:rPr>
              <w:br/>
              <w:t>4. Krijon bazën ligjore për hartimin dhe zbatimin e programeve të farmakorezistencës;</w:t>
            </w:r>
            <w:r w:rsidRPr="00B6793F">
              <w:rPr>
                <w:rFonts w:ascii="Arial" w:eastAsia="Times New Roman" w:hAnsi="Arial" w:cs="Arial"/>
                <w:color w:val="000000"/>
                <w:sz w:val="8"/>
                <w:szCs w:val="8"/>
                <w:lang w:eastAsia="sq-AL"/>
              </w:rPr>
              <w:br/>
              <w:t>5. Krijon rregulla të dhënies kafsheve (soministrimit në kafshë) të medikamenteve veterinare nëpërmjet ushqimit;</w:t>
            </w:r>
            <w:r w:rsidRPr="00B6793F">
              <w:rPr>
                <w:rFonts w:ascii="Arial" w:eastAsia="Times New Roman" w:hAnsi="Arial" w:cs="Arial"/>
                <w:color w:val="000000"/>
                <w:sz w:val="8"/>
                <w:szCs w:val="8"/>
                <w:lang w:eastAsia="sq-AL"/>
              </w:rPr>
              <w:br/>
              <w:t>6. Harton rregulla per klasifikimin e substancave farnakologjikisht aktive dhe bën kasifikimin e tyre;</w:t>
            </w:r>
            <w:r w:rsidRPr="00B6793F">
              <w:rPr>
                <w:rFonts w:ascii="Arial" w:eastAsia="Times New Roman" w:hAnsi="Arial" w:cs="Arial"/>
                <w:color w:val="000000"/>
                <w:sz w:val="8"/>
                <w:szCs w:val="8"/>
                <w:lang w:eastAsia="sq-AL"/>
              </w:rPr>
              <w:br/>
              <w:t>7. Harton rregulla për përdorimin e substancave  me veprimtari hormonale, tireostatike dhe të substancave β-agoniste;</w:t>
            </w:r>
            <w:r w:rsidRPr="00B6793F">
              <w:rPr>
                <w:rFonts w:ascii="Arial" w:eastAsia="Times New Roman" w:hAnsi="Arial" w:cs="Arial"/>
                <w:color w:val="000000"/>
                <w:sz w:val="8"/>
                <w:szCs w:val="8"/>
                <w:lang w:eastAsia="sq-AL"/>
              </w:rPr>
              <w:br/>
              <w:t xml:space="preserve">8. Harton rregulla per importin, eksportin dhe tregtimine medikamenteve veterinare dhe substancave aktive; </w:t>
            </w:r>
          </w:p>
        </w:tc>
        <w:tc>
          <w:tcPr>
            <w:tcW w:w="379" w:type="pct"/>
            <w:tcBorders>
              <w:top w:val="nil"/>
              <w:left w:val="nil"/>
              <w:bottom w:val="single" w:sz="4" w:space="0" w:color="auto"/>
              <w:right w:val="single" w:sz="4" w:space="0" w:color="auto"/>
            </w:tcBorders>
            <w:shd w:val="clear" w:color="auto" w:fill="auto"/>
            <w:vAlign w:val="center"/>
            <w:hideMark/>
          </w:tcPr>
          <w:p w14:paraId="49D59B8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12 dhe kapitulli 28</w:t>
            </w:r>
          </w:p>
        </w:tc>
        <w:tc>
          <w:tcPr>
            <w:tcW w:w="458" w:type="pct"/>
            <w:tcBorders>
              <w:top w:val="nil"/>
              <w:left w:val="nil"/>
              <w:bottom w:val="single" w:sz="4" w:space="0" w:color="auto"/>
              <w:right w:val="single" w:sz="4" w:space="0" w:color="auto"/>
            </w:tcBorders>
            <w:shd w:val="clear" w:color="auto" w:fill="auto"/>
            <w:vAlign w:val="center"/>
            <w:hideMark/>
          </w:tcPr>
          <w:p w14:paraId="22BB7F9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0E1A10D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19047A7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9" w:type="pct"/>
            <w:tcBorders>
              <w:top w:val="nil"/>
              <w:left w:val="nil"/>
              <w:bottom w:val="single" w:sz="4" w:space="0" w:color="auto"/>
              <w:right w:val="single" w:sz="4" w:space="0" w:color="auto"/>
            </w:tcBorders>
            <w:shd w:val="clear" w:color="auto" w:fill="auto"/>
            <w:vAlign w:val="center"/>
            <w:hideMark/>
          </w:tcPr>
          <w:p w14:paraId="5BDB252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efekte ekonomike.</w:t>
            </w:r>
          </w:p>
        </w:tc>
      </w:tr>
      <w:tr w:rsidR="006A42A4" w:rsidRPr="00B6793F" w14:paraId="4ADB6BAD"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6B940D4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417" w:type="pct"/>
            <w:tcBorders>
              <w:top w:val="nil"/>
              <w:left w:val="nil"/>
              <w:bottom w:val="single" w:sz="4" w:space="0" w:color="auto"/>
              <w:right w:val="single" w:sz="4" w:space="0" w:color="auto"/>
            </w:tcBorders>
            <w:shd w:val="clear" w:color="auto" w:fill="auto"/>
            <w:vAlign w:val="center"/>
            <w:hideMark/>
          </w:tcPr>
          <w:p w14:paraId="29CF52B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mbarështimin racor dhe prodhues të kafshëve të fermës"</w:t>
            </w:r>
          </w:p>
        </w:tc>
        <w:tc>
          <w:tcPr>
            <w:tcW w:w="401" w:type="pct"/>
            <w:tcBorders>
              <w:top w:val="nil"/>
              <w:left w:val="nil"/>
              <w:bottom w:val="single" w:sz="4" w:space="0" w:color="auto"/>
              <w:right w:val="single" w:sz="4" w:space="0" w:color="auto"/>
            </w:tcBorders>
            <w:shd w:val="clear" w:color="auto" w:fill="auto"/>
            <w:vAlign w:val="center"/>
            <w:hideMark/>
          </w:tcPr>
          <w:p w14:paraId="11A3F7C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5A65CFA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0EDC409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32A7A60C" w14:textId="77777777" w:rsidR="006A42A4" w:rsidRPr="00B6793F" w:rsidRDefault="006A42A4" w:rsidP="006A42A4">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Perafrimi i Rregullores 2016/1012 (BE-së) të Parlamentit dhe Këshillit Europian "Mbi kushtet zooteknike dhe gjenealogjike për riprodhimin/mbarështimin, tregtimin dhe hyrjen në Union të kafshëve riprodhuese racë pastra, derrave hibrid riprodhues dhe produkteve germinale/racore/ të tjera racore"</w:t>
            </w:r>
          </w:p>
        </w:tc>
        <w:tc>
          <w:tcPr>
            <w:tcW w:w="528" w:type="pct"/>
            <w:tcBorders>
              <w:top w:val="nil"/>
              <w:left w:val="nil"/>
              <w:bottom w:val="single" w:sz="4" w:space="0" w:color="auto"/>
              <w:right w:val="single" w:sz="4" w:space="0" w:color="auto"/>
            </w:tcBorders>
            <w:shd w:val="clear" w:color="auto" w:fill="auto"/>
            <w:vAlign w:val="center"/>
            <w:hideMark/>
          </w:tcPr>
          <w:p w14:paraId="6499DA1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 Përcakton rregullat për njohjen e shoqatave të racave dhe operacionet  racore si dhe miratimin e programeve të tyre të racës;</w:t>
            </w:r>
            <w:r w:rsidRPr="00B6793F">
              <w:rPr>
                <w:rFonts w:ascii="Arial" w:eastAsia="Times New Roman" w:hAnsi="Arial" w:cs="Arial"/>
                <w:color w:val="000000"/>
                <w:sz w:val="8"/>
                <w:szCs w:val="8"/>
                <w:lang w:eastAsia="sq-AL"/>
              </w:rPr>
              <w:br/>
              <w:t>2. Përcakton të drejtat dhe detyrimet e mbarështuesve, shoqërive dhe veprimtarive racore;</w:t>
            </w:r>
            <w:r w:rsidRPr="00B6793F">
              <w:rPr>
                <w:rFonts w:ascii="Arial" w:eastAsia="Times New Roman" w:hAnsi="Arial" w:cs="Arial"/>
                <w:color w:val="000000"/>
                <w:sz w:val="8"/>
                <w:szCs w:val="8"/>
                <w:lang w:eastAsia="sq-AL"/>
              </w:rPr>
              <w:br/>
              <w:t>3. Përcakton rregullat për rregjistrimin e kafshëve të racës në librat dhe regjistrat e racës dhe rregullat për pranimin për punë racore të kafshëve të racës dhe produkteve të tyre germinale (racore);</w:t>
            </w:r>
            <w:r w:rsidRPr="00B6793F">
              <w:rPr>
                <w:rFonts w:ascii="Arial" w:eastAsia="Times New Roman" w:hAnsi="Arial" w:cs="Arial"/>
                <w:color w:val="000000"/>
                <w:sz w:val="8"/>
                <w:szCs w:val="8"/>
                <w:lang w:eastAsia="sq-AL"/>
              </w:rPr>
              <w:br/>
              <w:t>4. Përcakton rregullat për testimin e performancës dhe vlerësimin gjenetik të kafshëve të racës;</w:t>
            </w:r>
            <w:r w:rsidRPr="00B6793F">
              <w:rPr>
                <w:rFonts w:ascii="Arial" w:eastAsia="Times New Roman" w:hAnsi="Arial" w:cs="Arial"/>
                <w:color w:val="000000"/>
                <w:sz w:val="8"/>
                <w:szCs w:val="8"/>
                <w:lang w:eastAsia="sq-AL"/>
              </w:rPr>
              <w:br/>
              <w:t>5. Përcakton rregullat për lëshimin e certifikatave zooteknike për kafshët e racës dhe produktet e tyre germinale (racore);</w:t>
            </w:r>
            <w:r w:rsidRPr="00B6793F">
              <w:rPr>
                <w:rFonts w:ascii="Arial" w:eastAsia="Times New Roman" w:hAnsi="Arial" w:cs="Arial"/>
                <w:color w:val="000000"/>
                <w:sz w:val="8"/>
                <w:szCs w:val="8"/>
                <w:lang w:eastAsia="sq-AL"/>
              </w:rPr>
              <w:br/>
              <w:t>6. Përcakton rregullat për kryerjen e kontrolleve zyrtare, dhe në veçanti ato mbi shoqëritë e racës dhe operacionet racore të mbarështimit, si dhe rregullat për kryerjen e veprimtarive të tjera zyrtare;</w:t>
            </w:r>
          </w:p>
        </w:tc>
        <w:tc>
          <w:tcPr>
            <w:tcW w:w="379" w:type="pct"/>
            <w:tcBorders>
              <w:top w:val="nil"/>
              <w:left w:val="nil"/>
              <w:bottom w:val="single" w:sz="4" w:space="0" w:color="auto"/>
              <w:right w:val="single" w:sz="4" w:space="0" w:color="auto"/>
            </w:tcBorders>
            <w:shd w:val="clear" w:color="auto" w:fill="auto"/>
            <w:vAlign w:val="center"/>
            <w:hideMark/>
          </w:tcPr>
          <w:p w14:paraId="7D51C73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Po, kapitulli 12 </w:t>
            </w:r>
          </w:p>
        </w:tc>
        <w:tc>
          <w:tcPr>
            <w:tcW w:w="458" w:type="pct"/>
            <w:tcBorders>
              <w:top w:val="nil"/>
              <w:left w:val="nil"/>
              <w:bottom w:val="single" w:sz="4" w:space="0" w:color="auto"/>
              <w:right w:val="single" w:sz="4" w:space="0" w:color="auto"/>
            </w:tcBorders>
            <w:shd w:val="clear" w:color="auto" w:fill="auto"/>
            <w:vAlign w:val="center"/>
            <w:hideMark/>
          </w:tcPr>
          <w:p w14:paraId="4553FDF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4242D21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18834CC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9" w:type="pct"/>
            <w:tcBorders>
              <w:top w:val="nil"/>
              <w:left w:val="nil"/>
              <w:bottom w:val="single" w:sz="4" w:space="0" w:color="auto"/>
              <w:right w:val="single" w:sz="4" w:space="0" w:color="auto"/>
            </w:tcBorders>
            <w:shd w:val="clear" w:color="auto" w:fill="auto"/>
            <w:vAlign w:val="center"/>
            <w:hideMark/>
          </w:tcPr>
          <w:p w14:paraId="0025F2A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efekte ekonomike.</w:t>
            </w:r>
          </w:p>
        </w:tc>
      </w:tr>
      <w:tr w:rsidR="006A42A4" w:rsidRPr="00B6793F" w14:paraId="26BBF713"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5EBEB8B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417" w:type="pct"/>
            <w:tcBorders>
              <w:top w:val="nil"/>
              <w:left w:val="nil"/>
              <w:bottom w:val="single" w:sz="4" w:space="0" w:color="auto"/>
              <w:right w:val="single" w:sz="4" w:space="0" w:color="auto"/>
            </w:tcBorders>
            <w:shd w:val="clear" w:color="auto" w:fill="auto"/>
            <w:vAlign w:val="center"/>
            <w:hideMark/>
          </w:tcPr>
          <w:p w14:paraId="55C15025" w14:textId="77777777" w:rsidR="006A42A4" w:rsidRPr="00B6793F" w:rsidRDefault="006A42A4" w:rsidP="006A42A4">
            <w:pPr>
              <w:spacing w:after="0" w:line="240" w:lineRule="auto"/>
              <w:jc w:val="center"/>
              <w:rPr>
                <w:rFonts w:ascii="Arial" w:eastAsia="Times New Roman" w:hAnsi="Arial" w:cs="Arial"/>
                <w:color w:val="242424"/>
                <w:sz w:val="8"/>
                <w:szCs w:val="8"/>
                <w:lang w:eastAsia="sq-AL"/>
              </w:rPr>
            </w:pPr>
            <w:r w:rsidRPr="00B6793F">
              <w:rPr>
                <w:rFonts w:ascii="Arial" w:eastAsia="Times New Roman" w:hAnsi="Arial" w:cs="Arial"/>
                <w:color w:val="242424"/>
                <w:sz w:val="8"/>
                <w:szCs w:val="8"/>
                <w:lang w:eastAsia="sq-AL"/>
              </w:rPr>
              <w:t xml:space="preserve"> "Per disa shtesa dhe ndryshime ne Ligjin nr. 8337, date 30.4.1998 “Per kalimin e pronesise se tokes bujqesore, pyjeve, livadheve dhe kullotave”</w:t>
            </w:r>
          </w:p>
        </w:tc>
        <w:tc>
          <w:tcPr>
            <w:tcW w:w="401" w:type="pct"/>
            <w:tcBorders>
              <w:top w:val="nil"/>
              <w:left w:val="nil"/>
              <w:bottom w:val="single" w:sz="4" w:space="0" w:color="auto"/>
              <w:right w:val="single" w:sz="4" w:space="0" w:color="auto"/>
            </w:tcBorders>
            <w:shd w:val="clear" w:color="auto" w:fill="auto"/>
            <w:vAlign w:val="center"/>
            <w:hideMark/>
          </w:tcPr>
          <w:p w14:paraId="742C8B7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6BEEF68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49753A3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314641D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këtij projektligji  është në kuadër nismave të ndërrmarra për arritjen e antarësimit të Shqipërisë në Bashkimin Evropian (BE), në mbështetje  të kapitullit të 4 “Lëvizja e lirë e kapitalit” si një nga kapitujt  më të rëndësishëm të këtij procesi, një kapitulli që trajton masat  dhe reformat që duhen marrë për të krijuar një treg të hapur  konkurrues dhe të integruar për kapitale, pasuri dhe investime midis Shqipërisë  vendeve të Bashkimin Evropian (BE).</w:t>
            </w:r>
          </w:p>
        </w:tc>
        <w:tc>
          <w:tcPr>
            <w:tcW w:w="528" w:type="pct"/>
            <w:tcBorders>
              <w:top w:val="nil"/>
              <w:left w:val="nil"/>
              <w:bottom w:val="single" w:sz="4" w:space="0" w:color="auto"/>
              <w:right w:val="single" w:sz="4" w:space="0" w:color="auto"/>
            </w:tcBorders>
            <w:shd w:val="clear" w:color="auto" w:fill="auto"/>
            <w:vAlign w:val="center"/>
            <w:hideMark/>
          </w:tcPr>
          <w:p w14:paraId="6F58BF5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Krijimi i një kuadri ligjor transparent dhe të sigurt për kalimin e pronësisë së tokës bujqësore te personat fizikë dhe juridikë të huaj, në përputhje me Kushtetutën dhe legjislacionin kombëtar për pronësinë e paluajtshme.b)Nxitja e investimeve të huaja në bujqësi dhe agrobiznes, duke i mundësuar subjekteve të huaja të zhvillojnë aktivitete bujqësore në tokë bujqësore, sipas parashikimeve të përcaktuar në këtë ligjc)Sigurimi i mbrojtjes së interesave kombëtare, duke përcaktuar kufizime për zonat me rëndësi strategjike, ushtarake, ekologjike, historike apo arkeologjike, ku ndalohet kalimi i pronësisë.</w:t>
            </w:r>
          </w:p>
        </w:tc>
        <w:tc>
          <w:tcPr>
            <w:tcW w:w="379" w:type="pct"/>
            <w:tcBorders>
              <w:top w:val="nil"/>
              <w:left w:val="nil"/>
              <w:bottom w:val="single" w:sz="4" w:space="0" w:color="auto"/>
              <w:right w:val="single" w:sz="4" w:space="0" w:color="auto"/>
            </w:tcBorders>
            <w:shd w:val="clear" w:color="auto" w:fill="auto"/>
            <w:noWrap/>
            <w:vAlign w:val="center"/>
            <w:hideMark/>
          </w:tcPr>
          <w:p w14:paraId="3AB1CF4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4</w:t>
            </w:r>
          </w:p>
        </w:tc>
        <w:tc>
          <w:tcPr>
            <w:tcW w:w="458" w:type="pct"/>
            <w:tcBorders>
              <w:top w:val="nil"/>
              <w:left w:val="nil"/>
              <w:bottom w:val="single" w:sz="4" w:space="0" w:color="auto"/>
              <w:right w:val="single" w:sz="4" w:space="0" w:color="auto"/>
            </w:tcBorders>
            <w:shd w:val="clear" w:color="auto" w:fill="auto"/>
            <w:vAlign w:val="center"/>
            <w:hideMark/>
          </w:tcPr>
          <w:p w14:paraId="5269290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vAlign w:val="center"/>
            <w:hideMark/>
          </w:tcPr>
          <w:p w14:paraId="2757329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573D27F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9" w:type="pct"/>
            <w:tcBorders>
              <w:top w:val="nil"/>
              <w:left w:val="nil"/>
              <w:bottom w:val="single" w:sz="4" w:space="0" w:color="auto"/>
              <w:right w:val="single" w:sz="4" w:space="0" w:color="auto"/>
            </w:tcBorders>
            <w:shd w:val="clear" w:color="auto" w:fill="auto"/>
            <w:vAlign w:val="center"/>
            <w:hideMark/>
          </w:tcPr>
          <w:p w14:paraId="60332FC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efekte ekonomike.</w:t>
            </w:r>
          </w:p>
        </w:tc>
      </w:tr>
      <w:tr w:rsidR="006A42A4" w:rsidRPr="00B6793F" w14:paraId="6E8D079D"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1402665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417" w:type="pct"/>
            <w:tcBorders>
              <w:top w:val="nil"/>
              <w:left w:val="nil"/>
              <w:bottom w:val="single" w:sz="4" w:space="0" w:color="auto"/>
              <w:right w:val="single" w:sz="4" w:space="0" w:color="auto"/>
            </w:tcBorders>
            <w:shd w:val="clear" w:color="auto" w:fill="auto"/>
            <w:vAlign w:val="center"/>
            <w:hideMark/>
          </w:tcPr>
          <w:p w14:paraId="3B1C508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skemat e cilësisë së produkteve bujqësore dhe ushqimore, verës dhe pijeve alkoolike</w:t>
            </w:r>
          </w:p>
        </w:tc>
        <w:tc>
          <w:tcPr>
            <w:tcW w:w="401" w:type="pct"/>
            <w:tcBorders>
              <w:top w:val="nil"/>
              <w:left w:val="nil"/>
              <w:bottom w:val="single" w:sz="4" w:space="0" w:color="auto"/>
              <w:right w:val="single" w:sz="4" w:space="0" w:color="auto"/>
            </w:tcBorders>
            <w:shd w:val="clear" w:color="auto" w:fill="auto"/>
            <w:vAlign w:val="center"/>
            <w:hideMark/>
          </w:tcPr>
          <w:p w14:paraId="484909E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vAlign w:val="center"/>
            <w:hideMark/>
          </w:tcPr>
          <w:p w14:paraId="350CCC3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47040F4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01CB362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Përafrim me rregulloren e re të BE-së 1143/2024, për skemat e cilësisë së produkteve bujqësore dhe ushqimore, verës dhe pijeve alkoolike</w:t>
            </w:r>
          </w:p>
        </w:tc>
        <w:tc>
          <w:tcPr>
            <w:tcW w:w="528" w:type="pct"/>
            <w:tcBorders>
              <w:top w:val="nil"/>
              <w:left w:val="nil"/>
              <w:bottom w:val="single" w:sz="4" w:space="0" w:color="auto"/>
              <w:right w:val="single" w:sz="4" w:space="0" w:color="auto"/>
            </w:tcBorders>
            <w:shd w:val="clear" w:color="auto" w:fill="auto"/>
            <w:vAlign w:val="center"/>
            <w:hideMark/>
          </w:tcPr>
          <w:p w14:paraId="6BE9D08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Rregullon plotësisht kuadrin ligjor për skemat e cilësisë me emërtimet GI (tregues gjeografik); STG (specialitet tradicional I garantuar) për produktet bujqësore dhe ushqimore; GI dhe "Term Tradicional", për verën; GI për pijet alkoolike. Përcakton insitucionet kryesore përgjegjëse; përgjegjësitë e rregjistrimit, kontrollit, certifikimit, promovimit. Përmbledh në një akt të vetëm produktet nujqësore dhe ushqimore, verën dhe pijet alkoolike, pra është një akt vertikal. Po ashtu rregullon dhe skemat e tjera të cilësisë si produktet e zonave malore. Përcakton mënyrën e aplikimit, rregjistrimit, kundërshtimit në BE të produkteve të rregjistruara në Shqipëri më parë.</w:t>
            </w:r>
          </w:p>
        </w:tc>
        <w:tc>
          <w:tcPr>
            <w:tcW w:w="379" w:type="pct"/>
            <w:tcBorders>
              <w:top w:val="nil"/>
              <w:left w:val="nil"/>
              <w:bottom w:val="single" w:sz="4" w:space="0" w:color="auto"/>
              <w:right w:val="single" w:sz="4" w:space="0" w:color="auto"/>
            </w:tcBorders>
            <w:shd w:val="clear" w:color="auto" w:fill="auto"/>
            <w:vAlign w:val="center"/>
            <w:hideMark/>
          </w:tcPr>
          <w:p w14:paraId="03F0F09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11</w:t>
            </w:r>
          </w:p>
        </w:tc>
        <w:tc>
          <w:tcPr>
            <w:tcW w:w="458" w:type="pct"/>
            <w:tcBorders>
              <w:top w:val="nil"/>
              <w:left w:val="nil"/>
              <w:bottom w:val="single" w:sz="4" w:space="0" w:color="auto"/>
              <w:right w:val="single" w:sz="4" w:space="0" w:color="auto"/>
            </w:tcBorders>
            <w:shd w:val="clear" w:color="auto" w:fill="auto"/>
            <w:vAlign w:val="center"/>
            <w:hideMark/>
          </w:tcPr>
          <w:p w14:paraId="4D4B51E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5D931FA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70333897" w14:textId="3D66398E"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780EE5A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financiare.</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Pika 3.3 nënpika 3.3.1 "Mbështetje për tregjet dhe marketingun e produkteve bujqësore dhe blegtorale"e PBA 2026-2028</w:t>
            </w:r>
          </w:p>
        </w:tc>
      </w:tr>
      <w:tr w:rsidR="006A42A4" w:rsidRPr="00B6793F" w14:paraId="61CABD56"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336A0B0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19</w:t>
            </w:r>
          </w:p>
        </w:tc>
        <w:tc>
          <w:tcPr>
            <w:tcW w:w="417" w:type="pct"/>
            <w:tcBorders>
              <w:top w:val="nil"/>
              <w:left w:val="nil"/>
              <w:bottom w:val="single" w:sz="4" w:space="0" w:color="auto"/>
              <w:right w:val="single" w:sz="4" w:space="0" w:color="auto"/>
            </w:tcBorders>
            <w:shd w:val="clear" w:color="auto" w:fill="auto"/>
            <w:vAlign w:val="center"/>
            <w:hideMark/>
          </w:tcPr>
          <w:p w14:paraId="06368C5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Bujqësinë dhe zhvillimin rural</w:t>
            </w:r>
          </w:p>
        </w:tc>
        <w:tc>
          <w:tcPr>
            <w:tcW w:w="401" w:type="pct"/>
            <w:tcBorders>
              <w:top w:val="nil"/>
              <w:left w:val="nil"/>
              <w:bottom w:val="single" w:sz="4" w:space="0" w:color="auto"/>
              <w:right w:val="single" w:sz="4" w:space="0" w:color="auto"/>
            </w:tcBorders>
            <w:shd w:val="clear" w:color="auto" w:fill="auto"/>
            <w:vAlign w:val="center"/>
            <w:hideMark/>
          </w:tcPr>
          <w:p w14:paraId="75B21222"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noWrap/>
            <w:vAlign w:val="center"/>
            <w:hideMark/>
          </w:tcPr>
          <w:p w14:paraId="4B6E953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6C5F4A5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1EB443B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Përafrim me rregulloret përkatëse të BE-së nr. 2021/2115, për krijimin e rregullave të planit strategjik të Politikës së përbashkët bujqësore; nr. 2021/2116 për financimin, manaxhimin dhe monitorimin e politikës së përbashkët bujqësore. Ligji ekzistues shumë I vjetër dhe jo në përputhje me BE-në. </w:t>
            </w:r>
          </w:p>
        </w:tc>
        <w:tc>
          <w:tcPr>
            <w:tcW w:w="528" w:type="pct"/>
            <w:tcBorders>
              <w:top w:val="nil"/>
              <w:left w:val="nil"/>
              <w:bottom w:val="single" w:sz="4" w:space="0" w:color="auto"/>
              <w:right w:val="single" w:sz="4" w:space="0" w:color="auto"/>
            </w:tcBorders>
            <w:shd w:val="clear" w:color="auto" w:fill="auto"/>
            <w:vAlign w:val="center"/>
            <w:hideMark/>
          </w:tcPr>
          <w:p w14:paraId="0495FE2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Të përcaktojë qartë dhe saktë përkufizimet sipas rregulloreve përkatëse të BE-së; institucionet përgjegjëse; databazat përkatëse; burimet e financimit; masat e politikës bujqësore; të zhvillimit rural; format e organizimit të prodhuesve, përpunuesve dhe tregtarëve të produkteve bujqësore dhe blegtorale; shërbimet publike në fushën e bujqësisë dhe zhvillimit rural; mbështetjen për kërkimin, edukimin dhe trajnimin; konceptet e reja si ndihma shtetërore, duhani, etj</w:t>
            </w:r>
          </w:p>
        </w:tc>
        <w:tc>
          <w:tcPr>
            <w:tcW w:w="379" w:type="pct"/>
            <w:tcBorders>
              <w:top w:val="nil"/>
              <w:left w:val="nil"/>
              <w:bottom w:val="single" w:sz="4" w:space="0" w:color="auto"/>
              <w:right w:val="single" w:sz="4" w:space="0" w:color="auto"/>
            </w:tcBorders>
            <w:shd w:val="clear" w:color="auto" w:fill="auto"/>
            <w:vAlign w:val="center"/>
            <w:hideMark/>
          </w:tcPr>
          <w:p w14:paraId="0944B72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11</w:t>
            </w:r>
          </w:p>
        </w:tc>
        <w:tc>
          <w:tcPr>
            <w:tcW w:w="458" w:type="pct"/>
            <w:tcBorders>
              <w:top w:val="nil"/>
              <w:left w:val="nil"/>
              <w:bottom w:val="single" w:sz="4" w:space="0" w:color="auto"/>
              <w:right w:val="single" w:sz="4" w:space="0" w:color="auto"/>
            </w:tcBorders>
            <w:shd w:val="clear" w:color="auto" w:fill="auto"/>
            <w:vAlign w:val="center"/>
            <w:hideMark/>
          </w:tcPr>
          <w:p w14:paraId="2C330C7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3D72EF87"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544" w:type="pct"/>
            <w:tcBorders>
              <w:top w:val="nil"/>
              <w:left w:val="nil"/>
              <w:bottom w:val="single" w:sz="4" w:space="0" w:color="auto"/>
              <w:right w:val="single" w:sz="4" w:space="0" w:color="auto"/>
            </w:tcBorders>
            <w:shd w:val="clear" w:color="auto" w:fill="auto"/>
            <w:vAlign w:val="center"/>
            <w:hideMark/>
          </w:tcPr>
          <w:p w14:paraId="7D5BD8E5" w14:textId="30B67D61"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479CB4A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ekonomike dhe sociale.</w:t>
            </w:r>
          </w:p>
        </w:tc>
      </w:tr>
      <w:tr w:rsidR="006A42A4" w:rsidRPr="00B6793F" w14:paraId="0FF0E736"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39CE6A3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20</w:t>
            </w:r>
          </w:p>
        </w:tc>
        <w:tc>
          <w:tcPr>
            <w:tcW w:w="417" w:type="pct"/>
            <w:tcBorders>
              <w:top w:val="nil"/>
              <w:left w:val="nil"/>
              <w:bottom w:val="single" w:sz="4" w:space="0" w:color="auto"/>
              <w:right w:val="single" w:sz="4" w:space="0" w:color="auto"/>
            </w:tcBorders>
            <w:shd w:val="clear" w:color="auto" w:fill="auto"/>
            <w:vAlign w:val="center"/>
            <w:hideMark/>
          </w:tcPr>
          <w:p w14:paraId="3ECD1E3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ushqimin"</w:t>
            </w:r>
          </w:p>
        </w:tc>
        <w:tc>
          <w:tcPr>
            <w:tcW w:w="401" w:type="pct"/>
            <w:tcBorders>
              <w:top w:val="nil"/>
              <w:left w:val="nil"/>
              <w:bottom w:val="single" w:sz="4" w:space="0" w:color="auto"/>
              <w:right w:val="single" w:sz="4" w:space="0" w:color="auto"/>
            </w:tcBorders>
            <w:shd w:val="clear" w:color="auto" w:fill="auto"/>
            <w:vAlign w:val="center"/>
            <w:hideMark/>
          </w:tcPr>
          <w:p w14:paraId="5E0BF45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noWrap/>
            <w:vAlign w:val="center"/>
            <w:hideMark/>
          </w:tcPr>
          <w:p w14:paraId="0BA9DD2A"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0E965E2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39A6424D"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Miratimi i këtij projektligji  është në kuadër të nismave të ndërrmarra për përafrimin e plotë të legjislacionit evropian ne kuadër të antarësimit të Shqipërisë në Bashkimin Evropian (BE), në mbështetje  të kapitullit të 12 “Politikat e Sigurisë Ushqimore, Veterinarisë dhe Fitosanitetit”.  Miratimi i ligjit të ri për ushqimin, plotësisht i përafruar me Rregulloren (BE) 178/2002 është angazhim i marrë në Pozicionin Negociues edhe si rrjedhojë e përshtatshmërisë së zbatimit të këtij ligji me ligjin e ri për kontrollet zyrtare </w:t>
            </w:r>
          </w:p>
        </w:tc>
        <w:tc>
          <w:tcPr>
            <w:tcW w:w="528" w:type="pct"/>
            <w:tcBorders>
              <w:top w:val="nil"/>
              <w:left w:val="nil"/>
              <w:bottom w:val="single" w:sz="4" w:space="0" w:color="auto"/>
              <w:right w:val="single" w:sz="4" w:space="0" w:color="auto"/>
            </w:tcBorders>
            <w:shd w:val="clear" w:color="auto" w:fill="auto"/>
            <w:vAlign w:val="center"/>
            <w:hideMark/>
          </w:tcPr>
          <w:p w14:paraId="3A4A58C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Ky projektligj siguron bazën për garantimin e një niveli të lartë të mbrojtjes së shëndetit të njeriut dhe të interesave të konsumatorëve në lidhje me ushqimin, duke marrë parasysh në veçanti larminë në furnizimin me ushqime, përfshirë edhe produktet tradicionale, ndërkohë që siguron funksionimin efektiv të tregut të brendshëm.</w:t>
            </w:r>
            <w:r w:rsidRPr="00B6793F">
              <w:rPr>
                <w:rFonts w:ascii="Arial" w:eastAsia="Times New Roman" w:hAnsi="Arial" w:cs="Arial"/>
                <w:color w:val="000000"/>
                <w:sz w:val="8"/>
                <w:szCs w:val="8"/>
                <w:lang w:eastAsia="sq-AL"/>
              </w:rPr>
              <w:br/>
              <w:t>Ai përcakton parime dhe përgjegjësi të përbashkëta, si dhe mjete për sigurimin e një baze të fortë shkencore, struktura organizative efikase dhe procedura që mbështesin procesin e vendimmarrjes.</w:t>
            </w:r>
          </w:p>
        </w:tc>
        <w:tc>
          <w:tcPr>
            <w:tcW w:w="379" w:type="pct"/>
            <w:tcBorders>
              <w:top w:val="nil"/>
              <w:left w:val="nil"/>
              <w:bottom w:val="single" w:sz="4" w:space="0" w:color="auto"/>
              <w:right w:val="single" w:sz="4" w:space="0" w:color="auto"/>
            </w:tcBorders>
            <w:shd w:val="clear" w:color="auto" w:fill="auto"/>
            <w:vAlign w:val="center"/>
            <w:hideMark/>
          </w:tcPr>
          <w:p w14:paraId="513D2EE6"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kapitulli 12</w:t>
            </w:r>
          </w:p>
        </w:tc>
        <w:tc>
          <w:tcPr>
            <w:tcW w:w="458" w:type="pct"/>
            <w:tcBorders>
              <w:top w:val="nil"/>
              <w:left w:val="nil"/>
              <w:bottom w:val="single" w:sz="4" w:space="0" w:color="auto"/>
              <w:right w:val="single" w:sz="4" w:space="0" w:color="auto"/>
            </w:tcBorders>
            <w:shd w:val="clear" w:color="auto" w:fill="auto"/>
            <w:vAlign w:val="center"/>
            <w:hideMark/>
          </w:tcPr>
          <w:p w14:paraId="333D0E8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r w:rsidRPr="00B6793F">
              <w:rPr>
                <w:rFonts w:ascii="Arial" w:eastAsia="Times New Roman" w:hAnsi="Arial" w:cs="Arial"/>
                <w:color w:val="000000"/>
                <w:sz w:val="8"/>
                <w:szCs w:val="8"/>
                <w:lang w:eastAsia="sq-AL"/>
              </w:rPr>
              <w:br/>
              <w:t xml:space="preserve">Shtylla II "Rritja ekonomike e qëndrueshme" </w:t>
            </w:r>
            <w:r w:rsidRPr="00B6793F">
              <w:rPr>
                <w:rFonts w:ascii="Arial" w:eastAsia="Times New Roman" w:hAnsi="Arial" w:cs="Arial"/>
                <w:color w:val="000000"/>
                <w:sz w:val="8"/>
                <w:szCs w:val="8"/>
                <w:lang w:eastAsia="sq-AL"/>
              </w:rPr>
              <w:br/>
              <w:t>Pika 2.7 'Bujqësia dhe Zhvillimi Rural'</w:t>
            </w:r>
            <w:r w:rsidRPr="00B6793F">
              <w:rPr>
                <w:rFonts w:ascii="Arial" w:eastAsia="Times New Roman" w:hAnsi="Arial" w:cs="Arial"/>
                <w:color w:val="000000"/>
                <w:sz w:val="8"/>
                <w:szCs w:val="8"/>
                <w:lang w:eastAsia="sq-AL"/>
              </w:rPr>
              <w:br/>
              <w:t>Shkronjat a) dhe  b)</w:t>
            </w:r>
          </w:p>
        </w:tc>
        <w:tc>
          <w:tcPr>
            <w:tcW w:w="342" w:type="pct"/>
            <w:tcBorders>
              <w:top w:val="nil"/>
              <w:left w:val="nil"/>
              <w:bottom w:val="single" w:sz="4" w:space="0" w:color="auto"/>
              <w:right w:val="single" w:sz="4" w:space="0" w:color="auto"/>
            </w:tcBorders>
            <w:shd w:val="clear" w:color="auto" w:fill="auto"/>
            <w:vAlign w:val="center"/>
            <w:hideMark/>
          </w:tcPr>
          <w:p w14:paraId="48629314"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08B137CB" w14:textId="7A1F02FF"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 dhe me Strategjinë Kombëtare të Sigurisë Ushqimore 2023–2027</w:t>
            </w:r>
          </w:p>
        </w:tc>
        <w:tc>
          <w:tcPr>
            <w:tcW w:w="399" w:type="pct"/>
            <w:tcBorders>
              <w:top w:val="nil"/>
              <w:left w:val="nil"/>
              <w:bottom w:val="single" w:sz="4" w:space="0" w:color="auto"/>
              <w:right w:val="single" w:sz="4" w:space="0" w:color="auto"/>
            </w:tcBorders>
            <w:shd w:val="clear" w:color="auto" w:fill="auto"/>
            <w:vAlign w:val="center"/>
            <w:hideMark/>
          </w:tcPr>
          <w:p w14:paraId="11B60BD7" w14:textId="77777777" w:rsidR="006A42A4" w:rsidRPr="00B6793F" w:rsidRDefault="006A42A4" w:rsidP="006A42A4">
            <w:pPr>
              <w:spacing w:after="24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ndikime financiare dhe ekonomike .</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Pika 3.3 nënpika 3.3.1 "Garantimi I sigurisë ushqimore, shëndetit dhe mirëqenies së kafshëve dhe shëndetit të bimëve përmes adoptimit të standarteve përkatëse të BE-së në kuadrin normativ vendas"e PBA 2026-2028</w:t>
            </w:r>
            <w:r w:rsidRPr="00B6793F">
              <w:rPr>
                <w:rFonts w:ascii="Arial" w:eastAsia="Times New Roman" w:hAnsi="Arial" w:cs="Arial"/>
                <w:color w:val="000000"/>
                <w:sz w:val="8"/>
                <w:szCs w:val="8"/>
                <w:lang w:eastAsia="sq-AL"/>
              </w:rPr>
              <w:br/>
            </w:r>
          </w:p>
        </w:tc>
      </w:tr>
      <w:tr w:rsidR="006A42A4" w:rsidRPr="00B6793F" w14:paraId="17F5793D" w14:textId="77777777" w:rsidTr="006A42A4">
        <w:trPr>
          <w:trHeight w:val="180"/>
          <w:jc w:val="center"/>
        </w:trPr>
        <w:tc>
          <w:tcPr>
            <w:tcW w:w="182" w:type="pct"/>
            <w:tcBorders>
              <w:top w:val="nil"/>
              <w:left w:val="single" w:sz="4" w:space="0" w:color="auto"/>
              <w:bottom w:val="single" w:sz="4" w:space="0" w:color="auto"/>
              <w:right w:val="single" w:sz="4" w:space="0" w:color="auto"/>
            </w:tcBorders>
            <w:shd w:val="clear" w:color="auto" w:fill="auto"/>
            <w:noWrap/>
            <w:vAlign w:val="center"/>
            <w:hideMark/>
          </w:tcPr>
          <w:p w14:paraId="27E2CD9F"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21</w:t>
            </w:r>
          </w:p>
        </w:tc>
        <w:tc>
          <w:tcPr>
            <w:tcW w:w="417" w:type="pct"/>
            <w:tcBorders>
              <w:top w:val="nil"/>
              <w:left w:val="nil"/>
              <w:bottom w:val="single" w:sz="4" w:space="0" w:color="auto"/>
              <w:right w:val="single" w:sz="4" w:space="0" w:color="auto"/>
            </w:tcBorders>
            <w:shd w:val="clear" w:color="auto" w:fill="auto"/>
            <w:vAlign w:val="center"/>
            <w:hideMark/>
          </w:tcPr>
          <w:p w14:paraId="42F71FC8"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Per disa shtesa dhe ndryshime ne Ligjin 103/2016 "Per Akuakulturen"</w:t>
            </w:r>
          </w:p>
        </w:tc>
        <w:tc>
          <w:tcPr>
            <w:tcW w:w="401" w:type="pct"/>
            <w:tcBorders>
              <w:top w:val="nil"/>
              <w:left w:val="nil"/>
              <w:bottom w:val="single" w:sz="4" w:space="0" w:color="auto"/>
              <w:right w:val="single" w:sz="4" w:space="0" w:color="auto"/>
            </w:tcBorders>
            <w:shd w:val="clear" w:color="auto" w:fill="auto"/>
            <w:vAlign w:val="center"/>
            <w:hideMark/>
          </w:tcPr>
          <w:p w14:paraId="1D8B1F63"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344" w:type="pct"/>
            <w:tcBorders>
              <w:top w:val="nil"/>
              <w:left w:val="nil"/>
              <w:bottom w:val="single" w:sz="4" w:space="0" w:color="auto"/>
              <w:right w:val="single" w:sz="4" w:space="0" w:color="auto"/>
            </w:tcBorders>
            <w:shd w:val="clear" w:color="auto" w:fill="auto"/>
            <w:noWrap/>
            <w:vAlign w:val="center"/>
            <w:hideMark/>
          </w:tcPr>
          <w:p w14:paraId="7D3FE9BC"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MBZHR</w:t>
            </w:r>
          </w:p>
        </w:tc>
        <w:tc>
          <w:tcPr>
            <w:tcW w:w="369" w:type="pct"/>
            <w:tcBorders>
              <w:top w:val="nil"/>
              <w:left w:val="nil"/>
              <w:bottom w:val="single" w:sz="4" w:space="0" w:color="auto"/>
              <w:right w:val="single" w:sz="4" w:space="0" w:color="auto"/>
            </w:tcBorders>
            <w:shd w:val="clear" w:color="auto" w:fill="auto"/>
            <w:vAlign w:val="center"/>
            <w:hideMark/>
          </w:tcPr>
          <w:p w14:paraId="17F6CA29"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637" w:type="pct"/>
            <w:tcBorders>
              <w:top w:val="nil"/>
              <w:left w:val="nil"/>
              <w:bottom w:val="single" w:sz="4" w:space="0" w:color="auto"/>
              <w:right w:val="single" w:sz="4" w:space="0" w:color="auto"/>
            </w:tcBorders>
            <w:shd w:val="clear" w:color="auto" w:fill="auto"/>
            <w:vAlign w:val="center"/>
            <w:hideMark/>
          </w:tcPr>
          <w:p w14:paraId="71B639EB"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këtij projektligji  është në kuadër nismave të ndërrmarra për arritjen e antarësimit të Shqipërisë në Bashkimin Evropian (BE), në mbështetje të kapitullit të 13 “Peshkimi”.  Ky  ndryshim lind si nevoja për të përafruar më tej politikat kombetare për akuakulturën me acquis të BE-së, veçanërisht në lidhje me akuakulturën në ujërat e ëmbla dhe atë tokësore.</w:t>
            </w:r>
          </w:p>
        </w:tc>
        <w:tc>
          <w:tcPr>
            <w:tcW w:w="528" w:type="pct"/>
            <w:tcBorders>
              <w:top w:val="nil"/>
              <w:left w:val="nil"/>
              <w:bottom w:val="single" w:sz="4" w:space="0" w:color="auto"/>
              <w:right w:val="single" w:sz="4" w:space="0" w:color="auto"/>
            </w:tcBorders>
            <w:shd w:val="clear" w:color="auto" w:fill="auto"/>
            <w:vAlign w:val="center"/>
            <w:hideMark/>
          </w:tcPr>
          <w:p w14:paraId="76D8E0F5"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Rregullimi I parashikimeve mbi zhvillimin e akuakultures ne ujerat e embla dhe tekesore, me qellim krijimin e mundesive per zhvillim te metejshem te sektorit te akuakultures, ne perputhje edhe me standardet e BE.</w:t>
            </w:r>
            <w:r w:rsidRPr="00B6793F">
              <w:rPr>
                <w:rFonts w:ascii="Arial" w:eastAsia="Times New Roman" w:hAnsi="Arial" w:cs="Arial"/>
                <w:color w:val="000000"/>
                <w:sz w:val="8"/>
                <w:szCs w:val="8"/>
                <w:lang w:eastAsia="sq-AL"/>
              </w:rPr>
              <w:br/>
              <w:t>Introduktimi I parashikimeve per kultivimin e specieve jo-vendase</w:t>
            </w:r>
          </w:p>
        </w:tc>
        <w:tc>
          <w:tcPr>
            <w:tcW w:w="379" w:type="pct"/>
            <w:tcBorders>
              <w:top w:val="nil"/>
              <w:left w:val="nil"/>
              <w:bottom w:val="single" w:sz="4" w:space="0" w:color="auto"/>
              <w:right w:val="single" w:sz="4" w:space="0" w:color="auto"/>
            </w:tcBorders>
            <w:shd w:val="clear" w:color="auto" w:fill="auto"/>
            <w:noWrap/>
            <w:vAlign w:val="center"/>
            <w:hideMark/>
          </w:tcPr>
          <w:p w14:paraId="793B091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58" w:type="pct"/>
            <w:tcBorders>
              <w:top w:val="nil"/>
              <w:left w:val="nil"/>
              <w:bottom w:val="single" w:sz="4" w:space="0" w:color="auto"/>
              <w:right w:val="single" w:sz="4" w:space="0" w:color="auto"/>
            </w:tcBorders>
            <w:shd w:val="clear" w:color="auto" w:fill="auto"/>
            <w:noWrap/>
            <w:vAlign w:val="center"/>
            <w:hideMark/>
          </w:tcPr>
          <w:p w14:paraId="68D9B650"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42" w:type="pct"/>
            <w:tcBorders>
              <w:top w:val="nil"/>
              <w:left w:val="nil"/>
              <w:bottom w:val="single" w:sz="4" w:space="0" w:color="auto"/>
              <w:right w:val="single" w:sz="4" w:space="0" w:color="auto"/>
            </w:tcBorders>
            <w:shd w:val="clear" w:color="auto" w:fill="auto"/>
            <w:noWrap/>
            <w:vAlign w:val="center"/>
            <w:hideMark/>
          </w:tcPr>
          <w:p w14:paraId="033402FE"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544" w:type="pct"/>
            <w:tcBorders>
              <w:top w:val="nil"/>
              <w:left w:val="nil"/>
              <w:bottom w:val="single" w:sz="4" w:space="0" w:color="auto"/>
              <w:right w:val="single" w:sz="4" w:space="0" w:color="auto"/>
            </w:tcBorders>
            <w:shd w:val="clear" w:color="auto" w:fill="auto"/>
            <w:vAlign w:val="center"/>
            <w:hideMark/>
          </w:tcPr>
          <w:p w14:paraId="7D637B46" w14:textId="2A898E26"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me Strategjinë e Bujqësisë, Zhvillimit Rural dhe Peshkimit, 2021–2027</w:t>
            </w:r>
          </w:p>
        </w:tc>
        <w:tc>
          <w:tcPr>
            <w:tcW w:w="399" w:type="pct"/>
            <w:tcBorders>
              <w:top w:val="nil"/>
              <w:left w:val="nil"/>
              <w:bottom w:val="single" w:sz="4" w:space="0" w:color="auto"/>
              <w:right w:val="single" w:sz="4" w:space="0" w:color="auto"/>
            </w:tcBorders>
            <w:shd w:val="clear" w:color="auto" w:fill="auto"/>
            <w:vAlign w:val="center"/>
            <w:hideMark/>
          </w:tcPr>
          <w:p w14:paraId="6C7D24B1" w14:textId="77777777" w:rsidR="006A42A4" w:rsidRPr="00B6793F" w:rsidRDefault="006A42A4" w:rsidP="006A42A4">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bl>
    <w:p w14:paraId="4617B997" w14:textId="59832ED5" w:rsidR="006A42A4" w:rsidRPr="00B6793F" w:rsidRDefault="006A42A4" w:rsidP="00AC5BDD">
      <w:pPr>
        <w:spacing w:after="0" w:line="240" w:lineRule="auto"/>
        <w:ind w:firstLine="284"/>
        <w:jc w:val="center"/>
        <w:rPr>
          <w:rFonts w:ascii="Garamond" w:hAnsi="Garamond"/>
          <w:b/>
          <w:sz w:val="24"/>
        </w:rPr>
      </w:pPr>
    </w:p>
    <w:p w14:paraId="18A8948C" w14:textId="1657794E" w:rsidR="00716217" w:rsidRPr="00B6793F" w:rsidRDefault="00716217" w:rsidP="00AC5BDD">
      <w:pPr>
        <w:spacing w:after="0" w:line="240" w:lineRule="auto"/>
        <w:ind w:firstLine="284"/>
        <w:jc w:val="center"/>
        <w:rPr>
          <w:rFonts w:ascii="Garamond" w:hAnsi="Garamond"/>
          <w:b/>
          <w:sz w:val="24"/>
        </w:rPr>
      </w:pPr>
    </w:p>
    <w:p w14:paraId="34D572E3" w14:textId="7BA5483A" w:rsidR="00716217" w:rsidRPr="00B6793F" w:rsidRDefault="00716217" w:rsidP="00AC5BDD">
      <w:pPr>
        <w:spacing w:after="0" w:line="240" w:lineRule="auto"/>
        <w:ind w:firstLine="284"/>
        <w:jc w:val="center"/>
        <w:rPr>
          <w:rFonts w:ascii="Garamond" w:hAnsi="Garamond"/>
          <w:b/>
          <w:sz w:val="24"/>
        </w:rPr>
      </w:pPr>
    </w:p>
    <w:p w14:paraId="0ED0CA24" w14:textId="7AE77E4C" w:rsidR="00716217" w:rsidRPr="00B6793F" w:rsidRDefault="00716217" w:rsidP="00AC5BDD">
      <w:pPr>
        <w:spacing w:after="0" w:line="240" w:lineRule="auto"/>
        <w:ind w:firstLine="284"/>
        <w:jc w:val="center"/>
        <w:rPr>
          <w:rFonts w:ascii="Garamond" w:hAnsi="Garamond"/>
          <w:b/>
          <w:sz w:val="24"/>
        </w:rPr>
      </w:pPr>
    </w:p>
    <w:p w14:paraId="1DE524CB" w14:textId="7AC14AE5" w:rsidR="00716217" w:rsidRPr="00B6793F" w:rsidRDefault="00716217" w:rsidP="00AC5BDD">
      <w:pPr>
        <w:spacing w:after="0" w:line="240" w:lineRule="auto"/>
        <w:ind w:firstLine="284"/>
        <w:jc w:val="center"/>
        <w:rPr>
          <w:rFonts w:ascii="Garamond" w:hAnsi="Garamond"/>
          <w:b/>
          <w:sz w:val="24"/>
        </w:rPr>
      </w:pPr>
    </w:p>
    <w:p w14:paraId="64633A83" w14:textId="25CB385C" w:rsidR="00716217" w:rsidRPr="00B6793F" w:rsidRDefault="00716217" w:rsidP="00AC5BDD">
      <w:pPr>
        <w:spacing w:after="0" w:line="240" w:lineRule="auto"/>
        <w:ind w:firstLine="284"/>
        <w:jc w:val="center"/>
        <w:rPr>
          <w:rFonts w:ascii="Garamond" w:hAnsi="Garamond"/>
          <w:b/>
          <w:sz w:val="24"/>
        </w:rPr>
      </w:pPr>
    </w:p>
    <w:p w14:paraId="003DF199" w14:textId="636A3BB1" w:rsidR="00601267" w:rsidRPr="00B6793F" w:rsidRDefault="00601267" w:rsidP="00AC5BDD">
      <w:pPr>
        <w:spacing w:after="0" w:line="240" w:lineRule="auto"/>
        <w:ind w:firstLine="284"/>
        <w:jc w:val="center"/>
        <w:rPr>
          <w:rFonts w:ascii="Garamond" w:hAnsi="Garamond"/>
          <w:b/>
          <w:sz w:val="24"/>
        </w:rPr>
      </w:pPr>
    </w:p>
    <w:p w14:paraId="7D80EF95" w14:textId="56742023" w:rsidR="00601267" w:rsidRPr="00B6793F" w:rsidRDefault="00601267" w:rsidP="00AC5BDD">
      <w:pPr>
        <w:spacing w:after="0" w:line="240" w:lineRule="auto"/>
        <w:ind w:firstLine="284"/>
        <w:jc w:val="center"/>
        <w:rPr>
          <w:rFonts w:ascii="Garamond" w:hAnsi="Garamond"/>
          <w:b/>
          <w:sz w:val="24"/>
        </w:rPr>
      </w:pPr>
    </w:p>
    <w:p w14:paraId="4001C60B" w14:textId="1F1759FB" w:rsidR="00601267" w:rsidRPr="00B6793F" w:rsidRDefault="00601267" w:rsidP="00AC5BDD">
      <w:pPr>
        <w:spacing w:after="0" w:line="240" w:lineRule="auto"/>
        <w:ind w:firstLine="284"/>
        <w:jc w:val="center"/>
        <w:rPr>
          <w:rFonts w:ascii="Garamond" w:hAnsi="Garamond"/>
          <w:b/>
          <w:sz w:val="24"/>
        </w:rPr>
      </w:pPr>
    </w:p>
    <w:p w14:paraId="5DE3BEAF" w14:textId="05172AE0" w:rsidR="00601267" w:rsidRPr="00B6793F" w:rsidRDefault="00601267" w:rsidP="00AC5BDD">
      <w:pPr>
        <w:spacing w:after="0" w:line="240" w:lineRule="auto"/>
        <w:ind w:firstLine="284"/>
        <w:jc w:val="center"/>
        <w:rPr>
          <w:rFonts w:ascii="Garamond" w:hAnsi="Garamond"/>
          <w:b/>
          <w:sz w:val="24"/>
        </w:rPr>
      </w:pPr>
    </w:p>
    <w:p w14:paraId="64D48B0B" w14:textId="48E723A0" w:rsidR="00601267" w:rsidRPr="00B6793F" w:rsidRDefault="00601267" w:rsidP="00AC5BDD">
      <w:pPr>
        <w:spacing w:after="0" w:line="240" w:lineRule="auto"/>
        <w:ind w:firstLine="284"/>
        <w:jc w:val="center"/>
        <w:rPr>
          <w:rFonts w:ascii="Garamond" w:hAnsi="Garamond"/>
          <w:b/>
          <w:sz w:val="24"/>
        </w:rPr>
      </w:pPr>
    </w:p>
    <w:p w14:paraId="664E89EA" w14:textId="6E0DB936" w:rsidR="00601267" w:rsidRPr="00B6793F" w:rsidRDefault="00601267" w:rsidP="00AC5BDD">
      <w:pPr>
        <w:spacing w:after="0" w:line="240" w:lineRule="auto"/>
        <w:ind w:firstLine="284"/>
        <w:jc w:val="center"/>
        <w:rPr>
          <w:rFonts w:ascii="Garamond" w:hAnsi="Garamond"/>
          <w:b/>
          <w:sz w:val="24"/>
        </w:rPr>
      </w:pPr>
    </w:p>
    <w:p w14:paraId="1F873957" w14:textId="21AF87AA" w:rsidR="00601267" w:rsidRPr="00B6793F" w:rsidRDefault="00601267" w:rsidP="00AC5BDD">
      <w:pPr>
        <w:spacing w:after="0" w:line="240" w:lineRule="auto"/>
        <w:ind w:firstLine="284"/>
        <w:jc w:val="center"/>
        <w:rPr>
          <w:rFonts w:ascii="Garamond" w:hAnsi="Garamond"/>
          <w:b/>
          <w:sz w:val="24"/>
        </w:rPr>
      </w:pPr>
    </w:p>
    <w:p w14:paraId="65F43C0E" w14:textId="65B0C0DF" w:rsidR="00601267" w:rsidRPr="00B6793F" w:rsidRDefault="00601267" w:rsidP="00AC5BDD">
      <w:pPr>
        <w:spacing w:after="0" w:line="240" w:lineRule="auto"/>
        <w:ind w:firstLine="284"/>
        <w:jc w:val="center"/>
        <w:rPr>
          <w:rFonts w:ascii="Garamond" w:hAnsi="Garamond"/>
          <w:b/>
          <w:sz w:val="24"/>
        </w:rPr>
      </w:pPr>
    </w:p>
    <w:p w14:paraId="48E41868" w14:textId="71892F1C" w:rsidR="00601267" w:rsidRPr="00B6793F" w:rsidRDefault="00601267" w:rsidP="00AC5BDD">
      <w:pPr>
        <w:spacing w:after="0" w:line="240" w:lineRule="auto"/>
        <w:ind w:firstLine="284"/>
        <w:jc w:val="center"/>
        <w:rPr>
          <w:rFonts w:ascii="Garamond" w:hAnsi="Garamond"/>
          <w:b/>
          <w:sz w:val="24"/>
        </w:rPr>
      </w:pPr>
    </w:p>
    <w:p w14:paraId="36E14380" w14:textId="7AE768ED" w:rsidR="00601267" w:rsidRPr="00B6793F" w:rsidRDefault="00601267" w:rsidP="00AC5BDD">
      <w:pPr>
        <w:spacing w:after="0" w:line="240" w:lineRule="auto"/>
        <w:ind w:firstLine="284"/>
        <w:jc w:val="center"/>
        <w:rPr>
          <w:rFonts w:ascii="Garamond" w:hAnsi="Garamond"/>
          <w:b/>
          <w:sz w:val="24"/>
        </w:rPr>
      </w:pPr>
    </w:p>
    <w:p w14:paraId="1AB14DBA" w14:textId="1EFF9557" w:rsidR="00601267" w:rsidRPr="00B6793F" w:rsidRDefault="00601267" w:rsidP="00AC5BDD">
      <w:pPr>
        <w:spacing w:after="0" w:line="240" w:lineRule="auto"/>
        <w:ind w:firstLine="284"/>
        <w:jc w:val="center"/>
        <w:rPr>
          <w:rFonts w:ascii="Garamond" w:hAnsi="Garamond"/>
          <w:b/>
          <w:sz w:val="24"/>
        </w:rPr>
      </w:pPr>
    </w:p>
    <w:p w14:paraId="4E10E9FF" w14:textId="79EDA8BC" w:rsidR="00601267" w:rsidRPr="00B6793F" w:rsidRDefault="00601267" w:rsidP="00AC5BDD">
      <w:pPr>
        <w:spacing w:after="0" w:line="240" w:lineRule="auto"/>
        <w:ind w:firstLine="284"/>
        <w:jc w:val="center"/>
        <w:rPr>
          <w:rFonts w:ascii="Garamond" w:hAnsi="Garamond"/>
          <w:b/>
          <w:sz w:val="24"/>
        </w:rPr>
      </w:pPr>
    </w:p>
    <w:p w14:paraId="2D6F30FB" w14:textId="1DB6CA41" w:rsidR="00601267" w:rsidRPr="00B6793F" w:rsidRDefault="00601267" w:rsidP="00AC5BDD">
      <w:pPr>
        <w:spacing w:after="0" w:line="240" w:lineRule="auto"/>
        <w:ind w:firstLine="284"/>
        <w:jc w:val="center"/>
        <w:rPr>
          <w:rFonts w:ascii="Garamond" w:hAnsi="Garamond"/>
          <w:b/>
          <w:sz w:val="24"/>
        </w:rPr>
      </w:pPr>
    </w:p>
    <w:p w14:paraId="0879D484" w14:textId="44DA8892" w:rsidR="00601267" w:rsidRPr="00B6793F" w:rsidRDefault="00601267" w:rsidP="00AC5BDD">
      <w:pPr>
        <w:spacing w:after="0" w:line="240" w:lineRule="auto"/>
        <w:ind w:firstLine="284"/>
        <w:jc w:val="center"/>
        <w:rPr>
          <w:rFonts w:ascii="Garamond" w:hAnsi="Garamond"/>
          <w:b/>
          <w:sz w:val="24"/>
        </w:rPr>
      </w:pPr>
    </w:p>
    <w:p w14:paraId="0EB620DC" w14:textId="7C1746E6" w:rsidR="00601267" w:rsidRPr="00B6793F" w:rsidRDefault="00601267" w:rsidP="00AC5BDD">
      <w:pPr>
        <w:spacing w:after="0" w:line="240" w:lineRule="auto"/>
        <w:ind w:firstLine="284"/>
        <w:jc w:val="center"/>
        <w:rPr>
          <w:rFonts w:ascii="Garamond" w:hAnsi="Garamond"/>
          <w:b/>
          <w:sz w:val="24"/>
        </w:rPr>
      </w:pPr>
    </w:p>
    <w:p w14:paraId="49707502" w14:textId="6C0DA2BE" w:rsidR="00601267" w:rsidRPr="00B6793F" w:rsidRDefault="00601267" w:rsidP="00601267">
      <w:pPr>
        <w:spacing w:after="0" w:line="240" w:lineRule="auto"/>
        <w:ind w:firstLine="284"/>
        <w:jc w:val="center"/>
        <w:rPr>
          <w:rFonts w:ascii="Arial" w:hAnsi="Arial" w:cs="Arial"/>
          <w:b/>
          <w:sz w:val="12"/>
          <w:szCs w:val="12"/>
        </w:rPr>
      </w:pPr>
      <w:r w:rsidRPr="00B6793F">
        <w:rPr>
          <w:rFonts w:ascii="Arial" w:hAnsi="Arial" w:cs="Arial"/>
          <w:b/>
          <w:sz w:val="12"/>
          <w:szCs w:val="12"/>
        </w:rPr>
        <w:t>PROGRAMI I PËRGJITHSHËM ANALITIK I PROJEKTAKTEVE PËR VITIN 2026</w:t>
      </w:r>
    </w:p>
    <w:p w14:paraId="62293900" w14:textId="77777777" w:rsidR="00F5649B" w:rsidRPr="00B6793F" w:rsidRDefault="00F5649B" w:rsidP="00601267">
      <w:pPr>
        <w:spacing w:after="0" w:line="240" w:lineRule="auto"/>
        <w:ind w:firstLine="284"/>
        <w:jc w:val="center"/>
        <w:rPr>
          <w:rFonts w:ascii="Arial" w:hAnsi="Arial" w:cs="Arial"/>
          <w:b/>
          <w:sz w:val="12"/>
          <w:szCs w:val="12"/>
        </w:rPr>
      </w:pPr>
    </w:p>
    <w:p w14:paraId="2407E17D" w14:textId="23BD4B54" w:rsidR="00601267" w:rsidRPr="00B6793F" w:rsidRDefault="00601267" w:rsidP="00601267">
      <w:pPr>
        <w:spacing w:after="0" w:line="240" w:lineRule="auto"/>
        <w:ind w:firstLine="284"/>
        <w:jc w:val="center"/>
        <w:rPr>
          <w:rFonts w:ascii="Arial" w:hAnsi="Arial" w:cs="Arial"/>
          <w:b/>
          <w:sz w:val="12"/>
          <w:szCs w:val="12"/>
        </w:rPr>
      </w:pPr>
      <w:r w:rsidRPr="00B6793F">
        <w:rPr>
          <w:rFonts w:ascii="Arial" w:hAnsi="Arial" w:cs="Arial"/>
          <w:b/>
          <w:sz w:val="12"/>
          <w:szCs w:val="12"/>
        </w:rPr>
        <w:t>MINISTRI I SHTETIT PER PUSHTETIN VENDOR</w:t>
      </w:r>
    </w:p>
    <w:tbl>
      <w:tblPr>
        <w:tblW w:w="5000" w:type="pct"/>
        <w:tblLook w:val="04A0" w:firstRow="1" w:lastRow="0" w:firstColumn="1" w:lastColumn="0" w:noHBand="0" w:noVBand="1"/>
      </w:tblPr>
      <w:tblGrid>
        <w:gridCol w:w="496"/>
        <w:gridCol w:w="1339"/>
        <w:gridCol w:w="1147"/>
        <w:gridCol w:w="1202"/>
        <w:gridCol w:w="1227"/>
        <w:gridCol w:w="890"/>
        <w:gridCol w:w="1696"/>
        <w:gridCol w:w="1311"/>
        <w:gridCol w:w="1247"/>
        <w:gridCol w:w="1046"/>
        <w:gridCol w:w="1147"/>
        <w:gridCol w:w="1200"/>
      </w:tblGrid>
      <w:tr w:rsidR="003F76CB" w:rsidRPr="00B6793F" w14:paraId="44689182" w14:textId="77777777" w:rsidTr="003F76CB">
        <w:trPr>
          <w:trHeight w:val="180"/>
        </w:trPr>
        <w:tc>
          <w:tcPr>
            <w:tcW w:w="178" w:type="pct"/>
            <w:tcBorders>
              <w:top w:val="single" w:sz="4" w:space="0" w:color="auto"/>
              <w:left w:val="single" w:sz="4" w:space="0" w:color="auto"/>
              <w:bottom w:val="nil"/>
              <w:right w:val="single" w:sz="4" w:space="0" w:color="auto"/>
            </w:tcBorders>
            <w:shd w:val="clear" w:color="000000" w:fill="FF0000"/>
            <w:vAlign w:val="center"/>
            <w:hideMark/>
          </w:tcPr>
          <w:p w14:paraId="71D3F61E"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Nr.</w:t>
            </w:r>
          </w:p>
        </w:tc>
        <w:tc>
          <w:tcPr>
            <w:tcW w:w="480" w:type="pct"/>
            <w:tcBorders>
              <w:top w:val="single" w:sz="4" w:space="0" w:color="auto"/>
              <w:left w:val="nil"/>
              <w:bottom w:val="nil"/>
              <w:right w:val="single" w:sz="4" w:space="0" w:color="auto"/>
            </w:tcBorders>
            <w:shd w:val="clear" w:color="000000" w:fill="FF0000"/>
            <w:vAlign w:val="center"/>
            <w:hideMark/>
          </w:tcPr>
          <w:p w14:paraId="6B95C20D"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Titulli i projektaktit</w:t>
            </w:r>
          </w:p>
        </w:tc>
        <w:tc>
          <w:tcPr>
            <w:tcW w:w="411" w:type="pct"/>
            <w:tcBorders>
              <w:top w:val="single" w:sz="4" w:space="0" w:color="auto"/>
              <w:left w:val="nil"/>
              <w:bottom w:val="nil"/>
              <w:right w:val="single" w:sz="4" w:space="0" w:color="auto"/>
            </w:tcBorders>
            <w:shd w:val="clear" w:color="000000" w:fill="FF0000"/>
            <w:vAlign w:val="center"/>
            <w:hideMark/>
          </w:tcPr>
          <w:p w14:paraId="6B424EF4"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Lloji i projektaktit</w:t>
            </w:r>
          </w:p>
        </w:tc>
        <w:tc>
          <w:tcPr>
            <w:tcW w:w="431" w:type="pct"/>
            <w:tcBorders>
              <w:top w:val="single" w:sz="4" w:space="0" w:color="auto"/>
              <w:left w:val="nil"/>
              <w:bottom w:val="nil"/>
              <w:right w:val="single" w:sz="4" w:space="0" w:color="auto"/>
            </w:tcBorders>
            <w:shd w:val="clear" w:color="000000" w:fill="FF0000"/>
            <w:vAlign w:val="center"/>
            <w:hideMark/>
          </w:tcPr>
          <w:p w14:paraId="69DBC593"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Ministri propozues</w:t>
            </w:r>
          </w:p>
        </w:tc>
        <w:tc>
          <w:tcPr>
            <w:tcW w:w="440" w:type="pct"/>
            <w:tcBorders>
              <w:top w:val="single" w:sz="4" w:space="0" w:color="auto"/>
              <w:left w:val="nil"/>
              <w:bottom w:val="nil"/>
              <w:right w:val="single" w:sz="4" w:space="0" w:color="auto"/>
            </w:tcBorders>
            <w:shd w:val="clear" w:color="000000" w:fill="FF0000"/>
            <w:vAlign w:val="center"/>
            <w:hideMark/>
          </w:tcPr>
          <w:p w14:paraId="2F3777A3"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Katërmujori</w:t>
            </w:r>
          </w:p>
        </w:tc>
        <w:tc>
          <w:tcPr>
            <w:tcW w:w="319" w:type="pct"/>
            <w:tcBorders>
              <w:top w:val="single" w:sz="4" w:space="0" w:color="auto"/>
              <w:left w:val="nil"/>
              <w:bottom w:val="nil"/>
              <w:right w:val="single" w:sz="4" w:space="0" w:color="auto"/>
            </w:tcBorders>
            <w:shd w:val="clear" w:color="000000" w:fill="FF0000"/>
            <w:vAlign w:val="center"/>
            <w:hideMark/>
          </w:tcPr>
          <w:p w14:paraId="7DF57CE1"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Arsyet kryesore për propozimin e projektaktit</w:t>
            </w:r>
          </w:p>
        </w:tc>
        <w:tc>
          <w:tcPr>
            <w:tcW w:w="608" w:type="pct"/>
            <w:tcBorders>
              <w:top w:val="single" w:sz="4" w:space="0" w:color="auto"/>
              <w:left w:val="nil"/>
              <w:bottom w:val="nil"/>
              <w:right w:val="single" w:sz="4" w:space="0" w:color="auto"/>
            </w:tcBorders>
            <w:shd w:val="clear" w:color="000000" w:fill="FF0000"/>
            <w:vAlign w:val="center"/>
            <w:hideMark/>
          </w:tcPr>
          <w:p w14:paraId="4DC4CDAE"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 xml:space="preserve">Çështjet kryesore që parashikon të rregullojë projektakti </w:t>
            </w:r>
          </w:p>
        </w:tc>
        <w:tc>
          <w:tcPr>
            <w:tcW w:w="470" w:type="pct"/>
            <w:tcBorders>
              <w:top w:val="single" w:sz="4" w:space="0" w:color="auto"/>
              <w:left w:val="nil"/>
              <w:bottom w:val="nil"/>
              <w:right w:val="single" w:sz="4" w:space="0" w:color="auto"/>
            </w:tcBorders>
            <w:shd w:val="clear" w:color="000000" w:fill="FF0000"/>
            <w:vAlign w:val="center"/>
            <w:hideMark/>
          </w:tcPr>
          <w:p w14:paraId="1213757D"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parashikuar projektakti në PKIE? Nëse po, të specifikohet kapitulli përkatës</w:t>
            </w:r>
          </w:p>
        </w:tc>
        <w:tc>
          <w:tcPr>
            <w:tcW w:w="447" w:type="pct"/>
            <w:tcBorders>
              <w:top w:val="single" w:sz="4" w:space="0" w:color="auto"/>
              <w:left w:val="nil"/>
              <w:bottom w:val="nil"/>
              <w:right w:val="single" w:sz="4" w:space="0" w:color="auto"/>
            </w:tcBorders>
            <w:shd w:val="clear" w:color="000000" w:fill="FF0000"/>
            <w:vAlign w:val="center"/>
            <w:hideMark/>
          </w:tcPr>
          <w:p w14:paraId="0F8EF7C2"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Përputhshmëria e projektaktit me programin politik qeverisës 2021-2025</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përputhet, të jepet  referenca e saktë në progam</w:t>
            </w:r>
          </w:p>
        </w:tc>
        <w:tc>
          <w:tcPr>
            <w:tcW w:w="375" w:type="pct"/>
            <w:tcBorders>
              <w:top w:val="single" w:sz="4" w:space="0" w:color="auto"/>
              <w:left w:val="nil"/>
              <w:bottom w:val="nil"/>
              <w:right w:val="single" w:sz="4" w:space="0" w:color="auto"/>
            </w:tcBorders>
            <w:shd w:val="clear" w:color="000000" w:fill="FF0000"/>
            <w:vAlign w:val="center"/>
            <w:hideMark/>
          </w:tcPr>
          <w:p w14:paraId="7AC37B8E"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A është akt i një rëndësie të veçantë e prioritare?</w:t>
            </w:r>
          </w:p>
        </w:tc>
        <w:tc>
          <w:tcPr>
            <w:tcW w:w="411" w:type="pct"/>
            <w:tcBorders>
              <w:top w:val="single" w:sz="4" w:space="0" w:color="auto"/>
              <w:left w:val="nil"/>
              <w:bottom w:val="nil"/>
              <w:right w:val="single" w:sz="4" w:space="0" w:color="auto"/>
            </w:tcBorders>
            <w:shd w:val="clear" w:color="000000" w:fill="FF0000"/>
            <w:vAlign w:val="center"/>
            <w:hideMark/>
          </w:tcPr>
          <w:p w14:paraId="3867EBA0"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Lidhja e projektaktit me strategjitë kombëtare dhe sektoriale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Nëse lidhet, të specifikohen strategjitë</w:t>
            </w:r>
          </w:p>
        </w:tc>
        <w:tc>
          <w:tcPr>
            <w:tcW w:w="431" w:type="pct"/>
            <w:tcBorders>
              <w:top w:val="single" w:sz="4" w:space="0" w:color="auto"/>
              <w:left w:val="nil"/>
              <w:bottom w:val="nil"/>
              <w:right w:val="single" w:sz="4" w:space="0" w:color="auto"/>
            </w:tcBorders>
            <w:shd w:val="clear" w:color="000000" w:fill="FF0000"/>
            <w:vAlign w:val="center"/>
            <w:hideMark/>
          </w:tcPr>
          <w:p w14:paraId="05C7287A" w14:textId="77777777" w:rsidR="003F76CB" w:rsidRPr="00B6793F" w:rsidRDefault="003F76CB" w:rsidP="003F76CB">
            <w:pPr>
              <w:spacing w:after="0" w:line="240" w:lineRule="auto"/>
              <w:jc w:val="center"/>
              <w:rPr>
                <w:rFonts w:ascii="Arial" w:eastAsia="Times New Roman" w:hAnsi="Arial" w:cs="Arial"/>
                <w:b/>
                <w:bCs/>
                <w:sz w:val="8"/>
                <w:szCs w:val="8"/>
                <w:lang w:eastAsia="sq-AL"/>
              </w:rPr>
            </w:pPr>
            <w:r w:rsidRPr="00B6793F">
              <w:rPr>
                <w:rFonts w:ascii="Arial" w:eastAsia="Times New Roman" w:hAnsi="Arial" w:cs="Arial"/>
                <w:b/>
                <w:bCs/>
                <w:sz w:val="8"/>
                <w:szCs w:val="8"/>
                <w:lang w:eastAsia="sq-AL"/>
              </w:rPr>
              <w:t>Ndikimet e mundshme ekonomike, financiare, sociale dhe mjedisore</w:t>
            </w:r>
            <w:r w:rsidRPr="00B6793F">
              <w:rPr>
                <w:rFonts w:ascii="Arial" w:eastAsia="Times New Roman" w:hAnsi="Arial" w:cs="Arial"/>
                <w:b/>
                <w:bCs/>
                <w:sz w:val="8"/>
                <w:szCs w:val="8"/>
                <w:lang w:eastAsia="sq-AL"/>
              </w:rPr>
              <w:br/>
            </w:r>
            <w:r w:rsidRPr="00B6793F">
              <w:rPr>
                <w:rFonts w:ascii="Arial" w:eastAsia="Times New Roman" w:hAnsi="Arial" w:cs="Arial"/>
                <w:b/>
                <w:bCs/>
                <w:sz w:val="8"/>
                <w:szCs w:val="8"/>
                <w:lang w:eastAsia="sq-AL"/>
              </w:rPr>
              <w:br/>
              <w:t xml:space="preserve">Përgjigjuni me Po/Jo për ndikimet përkatëse </w:t>
            </w:r>
          </w:p>
        </w:tc>
      </w:tr>
      <w:tr w:rsidR="003F76CB" w:rsidRPr="00B6793F" w14:paraId="6EAF2B94" w14:textId="77777777" w:rsidTr="003F76CB">
        <w:trPr>
          <w:trHeight w:val="180"/>
        </w:trPr>
        <w:tc>
          <w:tcPr>
            <w:tcW w:w="1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A3031C"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480" w:type="pct"/>
            <w:tcBorders>
              <w:top w:val="single" w:sz="4" w:space="0" w:color="auto"/>
              <w:left w:val="nil"/>
              <w:bottom w:val="single" w:sz="4" w:space="0" w:color="auto"/>
              <w:right w:val="single" w:sz="4" w:space="0" w:color="auto"/>
            </w:tcBorders>
            <w:shd w:val="clear" w:color="auto" w:fill="auto"/>
            <w:vAlign w:val="center"/>
            <w:hideMark/>
          </w:tcPr>
          <w:p w14:paraId="5ABB5609"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Veprimit 2026-2030 I Strategjisë për Decentralizimin dhe Qeverisjen Vendore</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5FE083B0"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4328F0C5"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Pushtetin Vendor</w:t>
            </w:r>
          </w:p>
        </w:tc>
        <w:tc>
          <w:tcPr>
            <w:tcW w:w="440" w:type="pct"/>
            <w:tcBorders>
              <w:top w:val="single" w:sz="4" w:space="0" w:color="000000"/>
              <w:left w:val="nil"/>
              <w:bottom w:val="single" w:sz="4" w:space="0" w:color="000000"/>
              <w:right w:val="single" w:sz="4" w:space="0" w:color="000000"/>
            </w:tcBorders>
            <w:shd w:val="clear" w:color="auto" w:fill="auto"/>
            <w:noWrap/>
            <w:vAlign w:val="center"/>
            <w:hideMark/>
          </w:tcPr>
          <w:p w14:paraId="14A99CBF"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49EF036F"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Plani I parë I veprimit përfundon në vitin 2025. Strategjia për Decentralizimin dhe Qeverisjen Vendore e ka kohëzgjatjen 2023-2030.</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71638E11"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Adresimin e çështjeve që impaktojnë pushtetin vendor, sipas analizës së bërë nga raportet e monitorimit për vitin 2023 dhe 2024.  Çështja kryesore është digjitalizimi dhe automatizimi I proceseve administrative të njësive të vetëqeverisjes vendore. Përshtatja e proceseve të punës me ndryshimet që pritet të sjellë reforma e re administrative-territoriale.</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134E0CBA"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344AFA70"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 Shtylla III, 3.7 Pushteti Vendor dhe Zhvillimi Rajonal</w:t>
            </w:r>
          </w:p>
        </w:tc>
        <w:tc>
          <w:tcPr>
            <w:tcW w:w="375" w:type="pct"/>
            <w:tcBorders>
              <w:top w:val="single" w:sz="4" w:space="0" w:color="auto"/>
              <w:left w:val="nil"/>
              <w:bottom w:val="single" w:sz="4" w:space="0" w:color="auto"/>
              <w:right w:val="single" w:sz="4" w:space="0" w:color="auto"/>
            </w:tcBorders>
            <w:shd w:val="clear" w:color="auto" w:fill="auto"/>
            <w:vAlign w:val="center"/>
            <w:hideMark/>
          </w:tcPr>
          <w:p w14:paraId="3B765D60"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46E8F8AD"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Strategjia për Decentralizimin dhe Qeverisjen Vendore 2023-2030</w:t>
            </w:r>
          </w:p>
        </w:tc>
        <w:tc>
          <w:tcPr>
            <w:tcW w:w="431" w:type="pct"/>
            <w:tcBorders>
              <w:top w:val="nil"/>
              <w:left w:val="nil"/>
              <w:bottom w:val="nil"/>
              <w:right w:val="nil"/>
            </w:tcBorders>
            <w:shd w:val="clear" w:color="auto" w:fill="auto"/>
            <w:noWrap/>
            <w:vAlign w:val="center"/>
            <w:hideMark/>
          </w:tcPr>
          <w:p w14:paraId="7298E5A7"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Po</w:t>
            </w:r>
          </w:p>
        </w:tc>
      </w:tr>
      <w:tr w:rsidR="003F76CB" w:rsidRPr="00B6793F" w14:paraId="47B8F7FF" w14:textId="77777777" w:rsidTr="003F76CB">
        <w:trPr>
          <w:trHeight w:val="180"/>
        </w:trPr>
        <w:tc>
          <w:tcPr>
            <w:tcW w:w="178" w:type="pct"/>
            <w:tcBorders>
              <w:top w:val="nil"/>
              <w:left w:val="single" w:sz="4" w:space="0" w:color="auto"/>
              <w:bottom w:val="nil"/>
              <w:right w:val="single" w:sz="4" w:space="0" w:color="auto"/>
            </w:tcBorders>
            <w:shd w:val="clear" w:color="auto" w:fill="auto"/>
            <w:vAlign w:val="center"/>
            <w:hideMark/>
          </w:tcPr>
          <w:p w14:paraId="5127CCF8"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480" w:type="pct"/>
            <w:tcBorders>
              <w:top w:val="nil"/>
              <w:left w:val="nil"/>
              <w:bottom w:val="nil"/>
              <w:right w:val="single" w:sz="4" w:space="0" w:color="auto"/>
            </w:tcBorders>
            <w:shd w:val="clear" w:color="auto" w:fill="auto"/>
            <w:vAlign w:val="center"/>
            <w:hideMark/>
          </w:tcPr>
          <w:p w14:paraId="7EEF17D6"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rregullores Tip të Administrimit të banesave dhe ndërtesave"</w:t>
            </w:r>
          </w:p>
        </w:tc>
        <w:tc>
          <w:tcPr>
            <w:tcW w:w="411" w:type="pct"/>
            <w:tcBorders>
              <w:top w:val="nil"/>
              <w:left w:val="nil"/>
              <w:bottom w:val="nil"/>
              <w:right w:val="single" w:sz="4" w:space="0" w:color="auto"/>
            </w:tcBorders>
            <w:shd w:val="clear" w:color="auto" w:fill="auto"/>
            <w:noWrap/>
            <w:vAlign w:val="center"/>
            <w:hideMark/>
          </w:tcPr>
          <w:p w14:paraId="35727377"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431" w:type="pct"/>
            <w:tcBorders>
              <w:top w:val="nil"/>
              <w:left w:val="nil"/>
              <w:bottom w:val="nil"/>
              <w:right w:val="nil"/>
            </w:tcBorders>
            <w:shd w:val="clear" w:color="auto" w:fill="auto"/>
            <w:vAlign w:val="center"/>
            <w:hideMark/>
          </w:tcPr>
          <w:p w14:paraId="02C4667D"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per Pushtetin Vendor</w:t>
            </w:r>
          </w:p>
        </w:tc>
        <w:tc>
          <w:tcPr>
            <w:tcW w:w="440" w:type="pct"/>
            <w:tcBorders>
              <w:top w:val="nil"/>
              <w:left w:val="single" w:sz="4" w:space="0" w:color="000000"/>
              <w:bottom w:val="single" w:sz="4" w:space="0" w:color="000000"/>
              <w:right w:val="single" w:sz="4" w:space="0" w:color="000000"/>
            </w:tcBorders>
            <w:shd w:val="clear" w:color="auto" w:fill="auto"/>
            <w:noWrap/>
            <w:vAlign w:val="center"/>
            <w:hideMark/>
          </w:tcPr>
          <w:p w14:paraId="439C7D1C"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319" w:type="pct"/>
            <w:tcBorders>
              <w:top w:val="nil"/>
              <w:left w:val="nil"/>
              <w:bottom w:val="nil"/>
              <w:right w:val="single" w:sz="4" w:space="0" w:color="auto"/>
            </w:tcBorders>
            <w:shd w:val="clear" w:color="auto" w:fill="auto"/>
            <w:vAlign w:val="center"/>
            <w:hideMark/>
          </w:tcPr>
          <w:p w14:paraId="657881C0"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i lindur nga zbatimi i ligjit nr.55/2025 Për Administrimin e Bashkëpronësisë në Ndërtesa</w:t>
            </w:r>
          </w:p>
        </w:tc>
        <w:tc>
          <w:tcPr>
            <w:tcW w:w="608" w:type="pct"/>
            <w:tcBorders>
              <w:top w:val="nil"/>
              <w:left w:val="nil"/>
              <w:bottom w:val="nil"/>
              <w:right w:val="single" w:sz="4" w:space="0" w:color="auto"/>
            </w:tcBorders>
            <w:shd w:val="clear" w:color="auto" w:fill="auto"/>
            <w:vAlign w:val="center"/>
            <w:hideMark/>
          </w:tcPr>
          <w:p w14:paraId="5B1686C7"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Akti do të rregullojë marrëdhëniet komunitare, administrimin e përgjithshëm të ndërtesave dhe banesave dhe rregullat e përgjithshëm të bashkëjetesës në komunitet.</w:t>
            </w:r>
          </w:p>
        </w:tc>
        <w:tc>
          <w:tcPr>
            <w:tcW w:w="470" w:type="pct"/>
            <w:tcBorders>
              <w:top w:val="nil"/>
              <w:left w:val="nil"/>
              <w:bottom w:val="nil"/>
              <w:right w:val="single" w:sz="4" w:space="0" w:color="auto"/>
            </w:tcBorders>
            <w:shd w:val="clear" w:color="auto" w:fill="auto"/>
            <w:noWrap/>
            <w:vAlign w:val="center"/>
            <w:hideMark/>
          </w:tcPr>
          <w:p w14:paraId="0A3D6CF1"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7" w:type="pct"/>
            <w:tcBorders>
              <w:top w:val="nil"/>
              <w:left w:val="nil"/>
              <w:bottom w:val="nil"/>
              <w:right w:val="single" w:sz="4" w:space="0" w:color="auto"/>
            </w:tcBorders>
            <w:shd w:val="clear" w:color="auto" w:fill="auto"/>
            <w:noWrap/>
            <w:vAlign w:val="center"/>
            <w:hideMark/>
          </w:tcPr>
          <w:p w14:paraId="71891B8F"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75" w:type="pct"/>
            <w:tcBorders>
              <w:top w:val="nil"/>
              <w:left w:val="nil"/>
              <w:bottom w:val="nil"/>
              <w:right w:val="single" w:sz="4" w:space="0" w:color="auto"/>
            </w:tcBorders>
            <w:shd w:val="clear" w:color="auto" w:fill="auto"/>
            <w:noWrap/>
            <w:vAlign w:val="center"/>
            <w:hideMark/>
          </w:tcPr>
          <w:p w14:paraId="33F33E20"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11" w:type="pct"/>
            <w:tcBorders>
              <w:top w:val="nil"/>
              <w:left w:val="nil"/>
              <w:bottom w:val="nil"/>
              <w:right w:val="single" w:sz="4" w:space="0" w:color="auto"/>
            </w:tcBorders>
            <w:shd w:val="clear" w:color="auto" w:fill="auto"/>
            <w:noWrap/>
            <w:vAlign w:val="center"/>
            <w:hideMark/>
          </w:tcPr>
          <w:p w14:paraId="15A33129"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1" w:type="pct"/>
            <w:tcBorders>
              <w:top w:val="single" w:sz="4" w:space="0" w:color="auto"/>
              <w:left w:val="nil"/>
              <w:bottom w:val="nil"/>
              <w:right w:val="single" w:sz="4" w:space="0" w:color="auto"/>
            </w:tcBorders>
            <w:shd w:val="clear" w:color="auto" w:fill="auto"/>
            <w:noWrap/>
            <w:vAlign w:val="center"/>
            <w:hideMark/>
          </w:tcPr>
          <w:p w14:paraId="30A1BC13"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3F76CB" w:rsidRPr="00B6793F" w14:paraId="7A3AC33F" w14:textId="77777777" w:rsidTr="003F76CB">
        <w:trPr>
          <w:trHeight w:val="180"/>
        </w:trPr>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0EDC56"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480" w:type="pct"/>
            <w:tcBorders>
              <w:top w:val="single" w:sz="4" w:space="0" w:color="000000"/>
              <w:left w:val="nil"/>
              <w:bottom w:val="single" w:sz="4" w:space="0" w:color="000000"/>
              <w:right w:val="single" w:sz="4" w:space="0" w:color="000000"/>
            </w:tcBorders>
            <w:shd w:val="clear" w:color="auto" w:fill="auto"/>
            <w:vAlign w:val="center"/>
            <w:hideMark/>
          </w:tcPr>
          <w:p w14:paraId="3B279BE5"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Ndërmarrjet Publike Vendore</w:t>
            </w:r>
          </w:p>
        </w:tc>
        <w:tc>
          <w:tcPr>
            <w:tcW w:w="411" w:type="pct"/>
            <w:tcBorders>
              <w:top w:val="single" w:sz="4" w:space="0" w:color="000000"/>
              <w:left w:val="nil"/>
              <w:bottom w:val="single" w:sz="4" w:space="0" w:color="000000"/>
              <w:right w:val="single" w:sz="4" w:space="0" w:color="000000"/>
            </w:tcBorders>
            <w:shd w:val="clear" w:color="auto" w:fill="auto"/>
            <w:noWrap/>
            <w:vAlign w:val="center"/>
            <w:hideMark/>
          </w:tcPr>
          <w:p w14:paraId="7994730F"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Projektligj</w:t>
            </w:r>
          </w:p>
        </w:tc>
        <w:tc>
          <w:tcPr>
            <w:tcW w:w="431" w:type="pct"/>
            <w:tcBorders>
              <w:top w:val="single" w:sz="4" w:space="0" w:color="auto"/>
              <w:left w:val="nil"/>
              <w:bottom w:val="single" w:sz="4" w:space="0" w:color="000000"/>
              <w:right w:val="nil"/>
            </w:tcBorders>
            <w:shd w:val="clear" w:color="auto" w:fill="auto"/>
            <w:vAlign w:val="center"/>
            <w:hideMark/>
          </w:tcPr>
          <w:p w14:paraId="4F0F029B"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per Pushtetin Vendor</w:t>
            </w:r>
          </w:p>
        </w:tc>
        <w:tc>
          <w:tcPr>
            <w:tcW w:w="440" w:type="pct"/>
            <w:tcBorders>
              <w:top w:val="nil"/>
              <w:left w:val="single" w:sz="4" w:space="0" w:color="000000"/>
              <w:bottom w:val="single" w:sz="4" w:space="0" w:color="000000"/>
              <w:right w:val="single" w:sz="4" w:space="0" w:color="000000"/>
            </w:tcBorders>
            <w:shd w:val="clear" w:color="auto" w:fill="auto"/>
            <w:noWrap/>
            <w:vAlign w:val="center"/>
            <w:hideMark/>
          </w:tcPr>
          <w:p w14:paraId="0DE3CD67"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319" w:type="pct"/>
            <w:tcBorders>
              <w:top w:val="single" w:sz="4" w:space="0" w:color="000000"/>
              <w:left w:val="nil"/>
              <w:bottom w:val="single" w:sz="4" w:space="0" w:color="000000"/>
              <w:right w:val="single" w:sz="4" w:space="0" w:color="000000"/>
            </w:tcBorders>
            <w:shd w:val="clear" w:color="auto" w:fill="auto"/>
            <w:vAlign w:val="center"/>
            <w:hideMark/>
          </w:tcPr>
          <w:p w14:paraId="774B9AC4"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Situata e krijuar ne pushtetin vendor, per sa I perket zhvillimit ekonomik kerkon qasje te re ne krijimin e shoqerive tregtare publike. </w:t>
            </w:r>
          </w:p>
        </w:tc>
        <w:tc>
          <w:tcPr>
            <w:tcW w:w="608" w:type="pct"/>
            <w:tcBorders>
              <w:top w:val="single" w:sz="4" w:space="0" w:color="000000"/>
              <w:left w:val="nil"/>
              <w:bottom w:val="single" w:sz="4" w:space="0" w:color="000000"/>
              <w:right w:val="single" w:sz="4" w:space="0" w:color="000000"/>
            </w:tcBorders>
            <w:shd w:val="clear" w:color="auto" w:fill="auto"/>
            <w:vAlign w:val="center"/>
            <w:hideMark/>
          </w:tcPr>
          <w:p w14:paraId="2A7D53CE"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Akti do te perafrohet me modelet evropiane per sa I perket organizimit te ndermarrjeve publike vendore, per te bere te mundur rritjen e zhvillimit ekonomik vendor dhe per ti shnderruar bashkite ne njesi operative fitimprurese. Parashikohet nje rishikim i sfondit bashkiak per te organizuar sherbimet ne menyre eficente.</w:t>
            </w:r>
          </w:p>
        </w:tc>
        <w:tc>
          <w:tcPr>
            <w:tcW w:w="470" w:type="pct"/>
            <w:tcBorders>
              <w:top w:val="single" w:sz="4" w:space="0" w:color="auto"/>
              <w:left w:val="nil"/>
              <w:bottom w:val="single" w:sz="4" w:space="0" w:color="000000"/>
              <w:right w:val="single" w:sz="4" w:space="0" w:color="auto"/>
            </w:tcBorders>
            <w:shd w:val="clear" w:color="auto" w:fill="auto"/>
            <w:noWrap/>
            <w:vAlign w:val="center"/>
            <w:hideMark/>
          </w:tcPr>
          <w:p w14:paraId="2504D064"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447" w:type="pct"/>
            <w:tcBorders>
              <w:top w:val="single" w:sz="4" w:space="0" w:color="auto"/>
              <w:left w:val="nil"/>
              <w:bottom w:val="nil"/>
              <w:right w:val="single" w:sz="4" w:space="0" w:color="auto"/>
            </w:tcBorders>
            <w:shd w:val="clear" w:color="auto" w:fill="auto"/>
            <w:noWrap/>
            <w:vAlign w:val="center"/>
            <w:hideMark/>
          </w:tcPr>
          <w:p w14:paraId="44BB5BE7"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375" w:type="pct"/>
            <w:tcBorders>
              <w:top w:val="single" w:sz="4" w:space="0" w:color="auto"/>
              <w:left w:val="nil"/>
              <w:bottom w:val="nil"/>
              <w:right w:val="single" w:sz="4" w:space="0" w:color="auto"/>
            </w:tcBorders>
            <w:shd w:val="clear" w:color="auto" w:fill="auto"/>
            <w:noWrap/>
            <w:vAlign w:val="center"/>
            <w:hideMark/>
          </w:tcPr>
          <w:p w14:paraId="62C18302"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11" w:type="pct"/>
            <w:tcBorders>
              <w:top w:val="single" w:sz="4" w:space="0" w:color="auto"/>
              <w:left w:val="nil"/>
              <w:bottom w:val="nil"/>
              <w:right w:val="single" w:sz="4" w:space="0" w:color="auto"/>
            </w:tcBorders>
            <w:shd w:val="clear" w:color="auto" w:fill="auto"/>
            <w:noWrap/>
            <w:vAlign w:val="center"/>
            <w:hideMark/>
          </w:tcPr>
          <w:p w14:paraId="34CBD89E"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31" w:type="pct"/>
            <w:tcBorders>
              <w:top w:val="single" w:sz="4" w:space="0" w:color="000000"/>
              <w:left w:val="nil"/>
              <w:bottom w:val="single" w:sz="4" w:space="0" w:color="000000"/>
              <w:right w:val="single" w:sz="4" w:space="0" w:color="000000"/>
            </w:tcBorders>
            <w:shd w:val="clear" w:color="auto" w:fill="auto"/>
            <w:noWrap/>
            <w:vAlign w:val="center"/>
            <w:hideMark/>
          </w:tcPr>
          <w:p w14:paraId="0B41E6AA" w14:textId="77777777" w:rsidR="003F76CB" w:rsidRPr="00B6793F" w:rsidRDefault="003F76CB" w:rsidP="003F76CB">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bl>
    <w:p w14:paraId="2FFFA491" w14:textId="6CF9F7D0" w:rsidR="003F76CB" w:rsidRPr="00B6793F" w:rsidRDefault="003F76CB" w:rsidP="00601267">
      <w:pPr>
        <w:spacing w:after="0" w:line="240" w:lineRule="auto"/>
        <w:ind w:firstLine="284"/>
        <w:jc w:val="center"/>
        <w:rPr>
          <w:rFonts w:ascii="Garamond" w:hAnsi="Garamond"/>
          <w:b/>
          <w:sz w:val="24"/>
        </w:rPr>
      </w:pPr>
    </w:p>
    <w:p w14:paraId="4CA4D5C1" w14:textId="560B1491" w:rsidR="00BF4C32" w:rsidRPr="00B6793F" w:rsidRDefault="00BF4C32" w:rsidP="00601267">
      <w:pPr>
        <w:spacing w:after="0" w:line="240" w:lineRule="auto"/>
        <w:ind w:firstLine="284"/>
        <w:jc w:val="center"/>
        <w:rPr>
          <w:rFonts w:ascii="Garamond" w:hAnsi="Garamond"/>
          <w:b/>
          <w:sz w:val="24"/>
        </w:rPr>
      </w:pPr>
    </w:p>
    <w:tbl>
      <w:tblPr>
        <w:tblW w:w="5088" w:type="pct"/>
        <w:jc w:val="center"/>
        <w:tblLook w:val="04A0" w:firstRow="1" w:lastRow="0" w:firstColumn="1" w:lastColumn="0" w:noHBand="0" w:noVBand="1"/>
      </w:tblPr>
      <w:tblGrid>
        <w:gridCol w:w="400"/>
        <w:gridCol w:w="1961"/>
        <w:gridCol w:w="886"/>
        <w:gridCol w:w="971"/>
        <w:gridCol w:w="818"/>
        <w:gridCol w:w="2339"/>
        <w:gridCol w:w="1658"/>
        <w:gridCol w:w="991"/>
        <w:gridCol w:w="1013"/>
        <w:gridCol w:w="758"/>
        <w:gridCol w:w="1121"/>
        <w:gridCol w:w="1266"/>
        <w:gridCol w:w="11"/>
      </w:tblGrid>
      <w:tr w:rsidR="008F45AE" w:rsidRPr="00B6793F" w14:paraId="7DFC8392" w14:textId="77777777" w:rsidTr="008F45AE">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491D240B" w14:textId="6E2C5971" w:rsidR="008F45AE" w:rsidRPr="00B6793F" w:rsidRDefault="008F45AE" w:rsidP="008F45AE">
            <w:pPr>
              <w:spacing w:after="0" w:line="240" w:lineRule="auto"/>
              <w:jc w:val="center"/>
              <w:rPr>
                <w:rFonts w:ascii="Arial" w:eastAsia="Times New Roman" w:hAnsi="Arial" w:cs="Arial"/>
                <w:b/>
                <w:bCs/>
                <w:color w:val="000000"/>
                <w:sz w:val="12"/>
                <w:szCs w:val="8"/>
                <w:lang w:eastAsia="sq-AL"/>
              </w:rPr>
            </w:pPr>
            <w:bookmarkStart w:id="8" w:name="RANGE!A1:L21"/>
            <w:r w:rsidRPr="00B6793F">
              <w:rPr>
                <w:rFonts w:ascii="Arial" w:eastAsia="Times New Roman" w:hAnsi="Arial" w:cs="Arial"/>
                <w:b/>
                <w:bCs/>
                <w:color w:val="000000"/>
                <w:sz w:val="12"/>
                <w:szCs w:val="8"/>
                <w:lang w:eastAsia="sq-AL"/>
              </w:rPr>
              <w:t>PROGRAMI I PËRGJITHSHËM ANALITIK I PROJEKTAKTEVE PËR VITIN 2026</w:t>
            </w:r>
            <w:bookmarkEnd w:id="8"/>
          </w:p>
        </w:tc>
      </w:tr>
      <w:tr w:rsidR="008F45AE" w:rsidRPr="00B6793F" w14:paraId="355032A7" w14:textId="77777777" w:rsidTr="008F45AE">
        <w:trPr>
          <w:trHeight w:val="18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F2F2F2"/>
            <w:vAlign w:val="center"/>
            <w:hideMark/>
          </w:tcPr>
          <w:p w14:paraId="3B43DBB3" w14:textId="42548674" w:rsidR="008F45AE" w:rsidRPr="00B6793F" w:rsidRDefault="008F45AE" w:rsidP="008F45AE">
            <w:pPr>
              <w:spacing w:after="0" w:line="240" w:lineRule="auto"/>
              <w:jc w:val="center"/>
              <w:rPr>
                <w:rFonts w:ascii="Arial" w:eastAsia="Times New Roman" w:hAnsi="Arial" w:cs="Arial"/>
                <w:b/>
                <w:bCs/>
                <w:color w:val="000000"/>
                <w:sz w:val="12"/>
                <w:szCs w:val="8"/>
                <w:lang w:eastAsia="sq-AL"/>
              </w:rPr>
            </w:pPr>
            <w:r w:rsidRPr="00B6793F">
              <w:rPr>
                <w:rFonts w:ascii="Arial" w:eastAsia="Times New Roman" w:hAnsi="Arial" w:cs="Arial"/>
                <w:b/>
                <w:bCs/>
                <w:color w:val="000000"/>
                <w:sz w:val="12"/>
                <w:szCs w:val="8"/>
                <w:lang w:eastAsia="sq-AL"/>
              </w:rPr>
              <w:t>MINISTRI SHTETIT PËR ADMINISTRATËN PUBLIKE DHE ANTIKORRUPSIONIN</w:t>
            </w:r>
          </w:p>
        </w:tc>
      </w:tr>
      <w:tr w:rsidR="008F45AE" w:rsidRPr="00B6793F" w14:paraId="3855E28D" w14:textId="77777777" w:rsidTr="008F45AE">
        <w:trPr>
          <w:gridAfter w:val="1"/>
          <w:wAfter w:w="5" w:type="pct"/>
          <w:trHeight w:val="180"/>
          <w:jc w:val="center"/>
        </w:trPr>
        <w:tc>
          <w:tcPr>
            <w:tcW w:w="141" w:type="pct"/>
            <w:tcBorders>
              <w:top w:val="single" w:sz="4" w:space="0" w:color="auto"/>
              <w:left w:val="single" w:sz="4" w:space="0" w:color="auto"/>
              <w:bottom w:val="nil"/>
              <w:right w:val="single" w:sz="4" w:space="0" w:color="auto"/>
            </w:tcBorders>
            <w:shd w:val="clear" w:color="000000" w:fill="C00000"/>
            <w:vAlign w:val="center"/>
            <w:hideMark/>
          </w:tcPr>
          <w:p w14:paraId="60B3F53A"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Nr.</w:t>
            </w:r>
          </w:p>
        </w:tc>
        <w:tc>
          <w:tcPr>
            <w:tcW w:w="691" w:type="pct"/>
            <w:tcBorders>
              <w:top w:val="single" w:sz="4" w:space="0" w:color="auto"/>
              <w:left w:val="nil"/>
              <w:bottom w:val="nil"/>
              <w:right w:val="single" w:sz="4" w:space="0" w:color="auto"/>
            </w:tcBorders>
            <w:shd w:val="clear" w:color="000000" w:fill="C00000"/>
            <w:vAlign w:val="center"/>
            <w:hideMark/>
          </w:tcPr>
          <w:p w14:paraId="72D393A0"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Titulli i projektaktit</w:t>
            </w:r>
          </w:p>
        </w:tc>
        <w:tc>
          <w:tcPr>
            <w:tcW w:w="312" w:type="pct"/>
            <w:tcBorders>
              <w:top w:val="single" w:sz="4" w:space="0" w:color="auto"/>
              <w:left w:val="nil"/>
              <w:bottom w:val="nil"/>
              <w:right w:val="single" w:sz="4" w:space="0" w:color="auto"/>
            </w:tcBorders>
            <w:shd w:val="clear" w:color="000000" w:fill="C00000"/>
            <w:vAlign w:val="center"/>
            <w:hideMark/>
          </w:tcPr>
          <w:p w14:paraId="39D34DFF"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Lloji i projektaktit</w:t>
            </w:r>
          </w:p>
        </w:tc>
        <w:tc>
          <w:tcPr>
            <w:tcW w:w="342" w:type="pct"/>
            <w:tcBorders>
              <w:top w:val="single" w:sz="4" w:space="0" w:color="auto"/>
              <w:left w:val="nil"/>
              <w:bottom w:val="nil"/>
              <w:right w:val="single" w:sz="4" w:space="0" w:color="auto"/>
            </w:tcBorders>
            <w:shd w:val="clear" w:color="000000" w:fill="C00000"/>
            <w:vAlign w:val="center"/>
            <w:hideMark/>
          </w:tcPr>
          <w:p w14:paraId="7A6406A0"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Ministri propozues</w:t>
            </w:r>
          </w:p>
        </w:tc>
        <w:tc>
          <w:tcPr>
            <w:tcW w:w="288" w:type="pct"/>
            <w:tcBorders>
              <w:top w:val="single" w:sz="4" w:space="0" w:color="auto"/>
              <w:left w:val="nil"/>
              <w:bottom w:val="nil"/>
              <w:right w:val="single" w:sz="4" w:space="0" w:color="auto"/>
            </w:tcBorders>
            <w:shd w:val="clear" w:color="000000" w:fill="C00000"/>
            <w:vAlign w:val="center"/>
            <w:hideMark/>
          </w:tcPr>
          <w:p w14:paraId="6A5F23E7" w14:textId="77777777" w:rsidR="008F45AE" w:rsidRPr="00B6793F" w:rsidRDefault="008F45AE" w:rsidP="008F45AE">
            <w:pPr>
              <w:spacing w:after="0" w:line="240" w:lineRule="auto"/>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Katërmujori</w:t>
            </w:r>
          </w:p>
        </w:tc>
        <w:tc>
          <w:tcPr>
            <w:tcW w:w="824" w:type="pct"/>
            <w:tcBorders>
              <w:top w:val="single" w:sz="4" w:space="0" w:color="auto"/>
              <w:left w:val="nil"/>
              <w:bottom w:val="nil"/>
              <w:right w:val="single" w:sz="4" w:space="0" w:color="auto"/>
            </w:tcBorders>
            <w:shd w:val="clear" w:color="000000" w:fill="C00000"/>
            <w:vAlign w:val="center"/>
            <w:hideMark/>
          </w:tcPr>
          <w:p w14:paraId="5EF157D1"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Arsyet kryesore për propozimin e projektaktit</w:t>
            </w:r>
          </w:p>
        </w:tc>
        <w:tc>
          <w:tcPr>
            <w:tcW w:w="584" w:type="pct"/>
            <w:tcBorders>
              <w:top w:val="single" w:sz="4" w:space="0" w:color="auto"/>
              <w:left w:val="nil"/>
              <w:bottom w:val="nil"/>
              <w:right w:val="single" w:sz="4" w:space="0" w:color="auto"/>
            </w:tcBorders>
            <w:shd w:val="clear" w:color="000000" w:fill="C00000"/>
            <w:vAlign w:val="center"/>
            <w:hideMark/>
          </w:tcPr>
          <w:p w14:paraId="6BC2D347"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 xml:space="preserve">Çështjet kryesore që parashikon të rregullojë projektakti </w:t>
            </w:r>
          </w:p>
        </w:tc>
        <w:tc>
          <w:tcPr>
            <w:tcW w:w="349" w:type="pct"/>
            <w:tcBorders>
              <w:top w:val="single" w:sz="4" w:space="0" w:color="auto"/>
              <w:left w:val="nil"/>
              <w:bottom w:val="nil"/>
              <w:right w:val="single" w:sz="4" w:space="0" w:color="auto"/>
            </w:tcBorders>
            <w:shd w:val="clear" w:color="000000" w:fill="C00000"/>
            <w:vAlign w:val="center"/>
            <w:hideMark/>
          </w:tcPr>
          <w:p w14:paraId="2C302947"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parashikuar projektakti në PKIE?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po, të specifikohet kapitulli përkatës</w:t>
            </w:r>
          </w:p>
        </w:tc>
        <w:tc>
          <w:tcPr>
            <w:tcW w:w="357" w:type="pct"/>
            <w:tcBorders>
              <w:top w:val="single" w:sz="4" w:space="0" w:color="auto"/>
              <w:left w:val="nil"/>
              <w:bottom w:val="nil"/>
              <w:right w:val="single" w:sz="4" w:space="0" w:color="auto"/>
            </w:tcBorders>
            <w:shd w:val="clear" w:color="000000" w:fill="C00000"/>
            <w:vAlign w:val="center"/>
            <w:hideMark/>
          </w:tcPr>
          <w:p w14:paraId="4EAC6494"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Përputhshmëria e projektaktit me programin politik qeverisës 2025-2029</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përputhet, të jepet  referenca e saktë në progam</w:t>
            </w:r>
          </w:p>
        </w:tc>
        <w:tc>
          <w:tcPr>
            <w:tcW w:w="267" w:type="pct"/>
            <w:tcBorders>
              <w:top w:val="single" w:sz="4" w:space="0" w:color="auto"/>
              <w:left w:val="nil"/>
              <w:bottom w:val="nil"/>
              <w:right w:val="single" w:sz="4" w:space="0" w:color="auto"/>
            </w:tcBorders>
            <w:shd w:val="clear" w:color="000000" w:fill="C00000"/>
            <w:vAlign w:val="center"/>
            <w:hideMark/>
          </w:tcPr>
          <w:p w14:paraId="469B6F29"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A është akt i një rëndësie të veçantë e prioritare?</w:t>
            </w:r>
          </w:p>
        </w:tc>
        <w:tc>
          <w:tcPr>
            <w:tcW w:w="395" w:type="pct"/>
            <w:tcBorders>
              <w:top w:val="single" w:sz="4" w:space="0" w:color="auto"/>
              <w:left w:val="nil"/>
              <w:bottom w:val="nil"/>
              <w:right w:val="single" w:sz="4" w:space="0" w:color="auto"/>
            </w:tcBorders>
            <w:shd w:val="clear" w:color="000000" w:fill="C00000"/>
            <w:vAlign w:val="center"/>
            <w:hideMark/>
          </w:tcPr>
          <w:p w14:paraId="5404593A"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Lidhja e projektaktit me strategjitë kombëtare dhe sektoriale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Nëse lidhet, të specifikohen strategjitë</w:t>
            </w:r>
          </w:p>
        </w:tc>
        <w:tc>
          <w:tcPr>
            <w:tcW w:w="446" w:type="pct"/>
            <w:tcBorders>
              <w:top w:val="single" w:sz="4" w:space="0" w:color="auto"/>
              <w:left w:val="nil"/>
              <w:bottom w:val="nil"/>
              <w:right w:val="single" w:sz="4" w:space="0" w:color="auto"/>
            </w:tcBorders>
            <w:shd w:val="clear" w:color="000000" w:fill="C00000"/>
            <w:vAlign w:val="center"/>
            <w:hideMark/>
          </w:tcPr>
          <w:p w14:paraId="45DFDE09" w14:textId="77777777" w:rsidR="008F45AE" w:rsidRPr="00B6793F" w:rsidRDefault="008F45AE" w:rsidP="008F45AE">
            <w:pPr>
              <w:spacing w:after="0" w:line="240" w:lineRule="auto"/>
              <w:jc w:val="center"/>
              <w:rPr>
                <w:rFonts w:ascii="Arial" w:eastAsia="Times New Roman" w:hAnsi="Arial" w:cs="Arial"/>
                <w:b/>
                <w:bCs/>
                <w:color w:val="FFFFFF"/>
                <w:sz w:val="8"/>
                <w:szCs w:val="8"/>
                <w:lang w:eastAsia="sq-AL"/>
              </w:rPr>
            </w:pPr>
            <w:r w:rsidRPr="00B6793F">
              <w:rPr>
                <w:rFonts w:ascii="Arial" w:eastAsia="Times New Roman" w:hAnsi="Arial" w:cs="Arial"/>
                <w:b/>
                <w:bCs/>
                <w:color w:val="FFFFFF"/>
                <w:sz w:val="8"/>
                <w:szCs w:val="8"/>
                <w:lang w:eastAsia="sq-AL"/>
              </w:rPr>
              <w:t>Ndikimet e mundshme ekonomike, financiare, sociale dhe mjedisore</w:t>
            </w:r>
            <w:r w:rsidRPr="00B6793F">
              <w:rPr>
                <w:rFonts w:ascii="Arial" w:eastAsia="Times New Roman" w:hAnsi="Arial" w:cs="Arial"/>
                <w:b/>
                <w:bCs/>
                <w:color w:val="FFFFFF"/>
                <w:sz w:val="8"/>
                <w:szCs w:val="8"/>
                <w:lang w:eastAsia="sq-AL"/>
              </w:rPr>
              <w:br/>
            </w:r>
            <w:r w:rsidRPr="00B6793F">
              <w:rPr>
                <w:rFonts w:ascii="Arial" w:eastAsia="Times New Roman" w:hAnsi="Arial" w:cs="Arial"/>
                <w:b/>
                <w:bCs/>
                <w:color w:val="FFFFFF"/>
                <w:sz w:val="8"/>
                <w:szCs w:val="8"/>
                <w:lang w:eastAsia="sq-AL"/>
              </w:rPr>
              <w:br/>
              <w:t xml:space="preserve">Përgjigjuni me Po/Jo për ndikimet përkatëse </w:t>
            </w:r>
          </w:p>
        </w:tc>
      </w:tr>
      <w:tr w:rsidR="008F45AE" w:rsidRPr="00B6793F" w14:paraId="5223BB32" w14:textId="77777777" w:rsidTr="008F45AE">
        <w:trPr>
          <w:gridAfter w:val="1"/>
          <w:wAfter w:w="5" w:type="pct"/>
          <w:trHeight w:val="180"/>
          <w:jc w:val="center"/>
        </w:trPr>
        <w:tc>
          <w:tcPr>
            <w:tcW w:w="14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E1088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w:t>
            </w:r>
          </w:p>
        </w:tc>
        <w:tc>
          <w:tcPr>
            <w:tcW w:w="691" w:type="pct"/>
            <w:tcBorders>
              <w:top w:val="single" w:sz="4" w:space="0" w:color="000000"/>
              <w:left w:val="nil"/>
              <w:bottom w:val="single" w:sz="4" w:space="0" w:color="000000"/>
              <w:right w:val="single" w:sz="4" w:space="0" w:color="000000"/>
            </w:tcBorders>
            <w:shd w:val="clear" w:color="auto" w:fill="auto"/>
            <w:vAlign w:val="center"/>
            <w:hideMark/>
          </w:tcPr>
          <w:p w14:paraId="4111CE1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planin vjetor të pranimit në institucionet e administratës shtetërore pjesë të shërbimit civil, për vitin 2026</w:t>
            </w:r>
          </w:p>
        </w:tc>
        <w:tc>
          <w:tcPr>
            <w:tcW w:w="312" w:type="pct"/>
            <w:tcBorders>
              <w:top w:val="single" w:sz="4" w:space="0" w:color="000000"/>
              <w:left w:val="nil"/>
              <w:bottom w:val="single" w:sz="4" w:space="0" w:color="000000"/>
              <w:right w:val="single" w:sz="4" w:space="0" w:color="000000"/>
            </w:tcBorders>
            <w:shd w:val="clear" w:color="auto" w:fill="auto"/>
            <w:vAlign w:val="center"/>
            <w:hideMark/>
          </w:tcPr>
          <w:p w14:paraId="631BD2B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single" w:sz="4" w:space="0" w:color="000000"/>
              <w:left w:val="nil"/>
              <w:bottom w:val="single" w:sz="4" w:space="0" w:color="000000"/>
              <w:right w:val="single" w:sz="4" w:space="0" w:color="000000"/>
            </w:tcBorders>
            <w:shd w:val="clear" w:color="auto" w:fill="auto"/>
            <w:vAlign w:val="center"/>
            <w:hideMark/>
          </w:tcPr>
          <w:p w14:paraId="3D6ED30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single" w:sz="4" w:space="0" w:color="000000"/>
              <w:left w:val="nil"/>
              <w:bottom w:val="single" w:sz="4" w:space="0" w:color="000000"/>
              <w:right w:val="single" w:sz="4" w:space="0" w:color="000000"/>
            </w:tcBorders>
            <w:shd w:val="clear" w:color="000000" w:fill="FFFFFF"/>
            <w:noWrap/>
            <w:vAlign w:val="center"/>
            <w:hideMark/>
          </w:tcPr>
          <w:p w14:paraId="5FA37223"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824" w:type="pct"/>
            <w:tcBorders>
              <w:top w:val="single" w:sz="4" w:space="0" w:color="000000"/>
              <w:left w:val="nil"/>
              <w:bottom w:val="single" w:sz="4" w:space="0" w:color="000000"/>
              <w:right w:val="single" w:sz="4" w:space="0" w:color="000000"/>
            </w:tcBorders>
            <w:shd w:val="clear" w:color="auto" w:fill="auto"/>
            <w:vAlign w:val="center"/>
            <w:hideMark/>
          </w:tcPr>
          <w:p w14:paraId="1C5E8F7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i planit për plotësimin e vendeve vakante në shërbimin civil në institucionet e administratës shtetërore, pjesë të fushës së veprimit të këtij legjislacioni, për vitin 2026</w:t>
            </w:r>
          </w:p>
        </w:tc>
        <w:tc>
          <w:tcPr>
            <w:tcW w:w="584" w:type="pct"/>
            <w:tcBorders>
              <w:top w:val="single" w:sz="4" w:space="0" w:color="000000"/>
              <w:left w:val="nil"/>
              <w:bottom w:val="single" w:sz="4" w:space="0" w:color="000000"/>
              <w:right w:val="single" w:sz="4" w:space="0" w:color="000000"/>
            </w:tcBorders>
            <w:shd w:val="clear" w:color="auto" w:fill="auto"/>
            <w:vAlign w:val="center"/>
            <w:hideMark/>
          </w:tcPr>
          <w:p w14:paraId="72B1BD0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Përcaktimi i numrit të përgjithshëm të vendeve vakante të planifikuara për rekrutim gjatë vitit 2025, si dhe detajimi i këtij numri sipas kategorive të shërbimit civil;                                                                </w:t>
            </w:r>
            <w:r w:rsidRPr="00B6793F">
              <w:rPr>
                <w:rFonts w:ascii="Arial" w:eastAsia="Times New Roman" w:hAnsi="Arial" w:cs="Arial"/>
                <w:color w:val="000000"/>
                <w:sz w:val="8"/>
                <w:szCs w:val="8"/>
                <w:lang w:eastAsia="sq-AL"/>
              </w:rPr>
              <w:br/>
              <w:t xml:space="preserve">2. Përcaktimi i grupeve të administrimit të përgjithshëm dhe të posaçëm në kategorinë ekzekutive për të cilat planifikohen vende vakante për rekrutim për vitin 2025;                        </w:t>
            </w:r>
            <w:r w:rsidRPr="00B6793F">
              <w:rPr>
                <w:rFonts w:ascii="Arial" w:eastAsia="Times New Roman" w:hAnsi="Arial" w:cs="Arial"/>
                <w:color w:val="000000"/>
                <w:sz w:val="8"/>
                <w:szCs w:val="8"/>
                <w:lang w:eastAsia="sq-AL"/>
              </w:rPr>
              <w:br/>
              <w:t xml:space="preserve">3. Përcaktimi i institucioneve të administratës shtetërore ku planifikohen vendet vakante për rekrutim gjatë vitit 2025. </w:t>
            </w:r>
          </w:p>
        </w:tc>
        <w:tc>
          <w:tcPr>
            <w:tcW w:w="349" w:type="pct"/>
            <w:tcBorders>
              <w:top w:val="single" w:sz="4" w:space="0" w:color="000000"/>
              <w:left w:val="nil"/>
              <w:bottom w:val="single" w:sz="4" w:space="0" w:color="000000"/>
              <w:right w:val="single" w:sz="4" w:space="0" w:color="000000"/>
            </w:tcBorders>
            <w:shd w:val="clear" w:color="auto" w:fill="auto"/>
            <w:vAlign w:val="center"/>
            <w:hideMark/>
          </w:tcPr>
          <w:p w14:paraId="27AD099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7" w:type="pct"/>
            <w:tcBorders>
              <w:top w:val="single" w:sz="4" w:space="0" w:color="000000"/>
              <w:left w:val="nil"/>
              <w:bottom w:val="single" w:sz="4" w:space="0" w:color="000000"/>
              <w:right w:val="single" w:sz="4" w:space="0" w:color="000000"/>
            </w:tcBorders>
            <w:shd w:val="clear" w:color="auto" w:fill="auto"/>
            <w:vAlign w:val="center"/>
            <w:hideMark/>
          </w:tcPr>
          <w:p w14:paraId="34549B5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single" w:sz="4" w:space="0" w:color="000000"/>
              <w:left w:val="nil"/>
              <w:bottom w:val="single" w:sz="4" w:space="0" w:color="000000"/>
              <w:right w:val="single" w:sz="4" w:space="0" w:color="000000"/>
            </w:tcBorders>
            <w:shd w:val="clear" w:color="auto" w:fill="auto"/>
            <w:vAlign w:val="center"/>
            <w:hideMark/>
          </w:tcPr>
          <w:p w14:paraId="2CD799F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single" w:sz="4" w:space="0" w:color="000000"/>
              <w:left w:val="nil"/>
              <w:bottom w:val="single" w:sz="4" w:space="0" w:color="000000"/>
              <w:right w:val="single" w:sz="4" w:space="0" w:color="000000"/>
            </w:tcBorders>
            <w:shd w:val="clear" w:color="auto" w:fill="auto"/>
            <w:vAlign w:val="center"/>
            <w:hideMark/>
          </w:tcPr>
          <w:p w14:paraId="663A784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46" w:type="pct"/>
            <w:tcBorders>
              <w:top w:val="single" w:sz="4" w:space="0" w:color="000000"/>
              <w:left w:val="nil"/>
              <w:bottom w:val="single" w:sz="4" w:space="0" w:color="000000"/>
              <w:right w:val="single" w:sz="4" w:space="0" w:color="000000"/>
            </w:tcBorders>
            <w:shd w:val="clear" w:color="auto" w:fill="auto"/>
            <w:noWrap/>
            <w:vAlign w:val="center"/>
            <w:hideMark/>
          </w:tcPr>
          <w:p w14:paraId="6C2492E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37796808"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3FD157F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2</w:t>
            </w:r>
          </w:p>
        </w:tc>
        <w:tc>
          <w:tcPr>
            <w:tcW w:w="691" w:type="pct"/>
            <w:tcBorders>
              <w:top w:val="nil"/>
              <w:left w:val="nil"/>
              <w:bottom w:val="single" w:sz="4" w:space="0" w:color="000000"/>
              <w:right w:val="single" w:sz="4" w:space="0" w:color="000000"/>
            </w:tcBorders>
            <w:shd w:val="clear" w:color="auto" w:fill="auto"/>
            <w:vAlign w:val="center"/>
            <w:hideMark/>
          </w:tcPr>
          <w:p w14:paraId="5D2765CE"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hapjen e procedurës së pranimit në kategorinë e ulët dhe të mesme drejtuese edhe për kandidatë të tjerë jashtë shërbimit civil, për vitin 2026</w:t>
            </w:r>
          </w:p>
        </w:tc>
        <w:tc>
          <w:tcPr>
            <w:tcW w:w="312" w:type="pct"/>
            <w:tcBorders>
              <w:top w:val="nil"/>
              <w:left w:val="nil"/>
              <w:bottom w:val="single" w:sz="4" w:space="0" w:color="000000"/>
              <w:right w:val="single" w:sz="4" w:space="0" w:color="000000"/>
            </w:tcBorders>
            <w:shd w:val="clear" w:color="auto" w:fill="auto"/>
            <w:vAlign w:val="center"/>
            <w:hideMark/>
          </w:tcPr>
          <w:p w14:paraId="4B7984F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0FEE347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000000" w:fill="FFFFFF"/>
            <w:noWrap/>
            <w:vAlign w:val="center"/>
            <w:hideMark/>
          </w:tcPr>
          <w:p w14:paraId="405ECEE8"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824" w:type="pct"/>
            <w:tcBorders>
              <w:top w:val="nil"/>
              <w:left w:val="nil"/>
              <w:bottom w:val="single" w:sz="4" w:space="0" w:color="000000"/>
              <w:right w:val="single" w:sz="4" w:space="0" w:color="000000"/>
            </w:tcBorders>
            <w:shd w:val="clear" w:color="auto" w:fill="auto"/>
            <w:vAlign w:val="center"/>
            <w:hideMark/>
          </w:tcPr>
          <w:p w14:paraId="10347DC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Miratimi nga Këshilli i Ministrave i mundësisë që procedura e plotësimit të pozicioneve të lira të kategorisë së ulët dhe të mesme drejtuese, për të cilët lëvizja paralele është mbyllur pa fitues, të jetë e hapur edhe për kandidatë të tjerë nga jashtë shërbimit civil, që plotësojnë kushtet dhe kërkesat për vendet e lira </w:t>
            </w:r>
          </w:p>
        </w:tc>
        <w:tc>
          <w:tcPr>
            <w:tcW w:w="584" w:type="pct"/>
            <w:tcBorders>
              <w:top w:val="nil"/>
              <w:left w:val="nil"/>
              <w:bottom w:val="single" w:sz="4" w:space="0" w:color="000000"/>
              <w:right w:val="single" w:sz="4" w:space="0" w:color="000000"/>
            </w:tcBorders>
            <w:shd w:val="clear" w:color="auto" w:fill="auto"/>
            <w:vAlign w:val="center"/>
            <w:hideMark/>
          </w:tcPr>
          <w:p w14:paraId="48CA6A4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Përcaktimi për secilën kategori (të ulët apo të mesme drejtuese) i numrit të pozicioneve për të cilët do të përdoret procedura sipas këtij vendimi;                                                                                                      </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2. Përcaktimi në mënyrë nominative i pozicioneve në të cilat mund konkurojnë edhe kandidatë nga jashtë shërbimit civil.</w:t>
            </w:r>
          </w:p>
        </w:tc>
        <w:tc>
          <w:tcPr>
            <w:tcW w:w="349" w:type="pct"/>
            <w:tcBorders>
              <w:top w:val="nil"/>
              <w:left w:val="nil"/>
              <w:bottom w:val="single" w:sz="4" w:space="0" w:color="000000"/>
              <w:right w:val="single" w:sz="4" w:space="0" w:color="000000"/>
            </w:tcBorders>
            <w:shd w:val="clear" w:color="auto" w:fill="auto"/>
            <w:vAlign w:val="center"/>
            <w:hideMark/>
          </w:tcPr>
          <w:p w14:paraId="185AF81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7" w:type="pct"/>
            <w:tcBorders>
              <w:top w:val="nil"/>
              <w:left w:val="nil"/>
              <w:bottom w:val="single" w:sz="4" w:space="0" w:color="000000"/>
              <w:right w:val="single" w:sz="4" w:space="0" w:color="000000"/>
            </w:tcBorders>
            <w:shd w:val="clear" w:color="auto" w:fill="auto"/>
            <w:vAlign w:val="center"/>
            <w:hideMark/>
          </w:tcPr>
          <w:p w14:paraId="74ED225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484C1B9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2ACBF0A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46" w:type="pct"/>
            <w:tcBorders>
              <w:top w:val="nil"/>
              <w:left w:val="nil"/>
              <w:bottom w:val="single" w:sz="4" w:space="0" w:color="000000"/>
              <w:right w:val="single" w:sz="4" w:space="0" w:color="000000"/>
            </w:tcBorders>
            <w:shd w:val="clear" w:color="auto" w:fill="auto"/>
            <w:noWrap/>
            <w:vAlign w:val="center"/>
            <w:hideMark/>
          </w:tcPr>
          <w:p w14:paraId="6CDB633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6C4A32FC"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4798BFE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3</w:t>
            </w:r>
          </w:p>
        </w:tc>
        <w:tc>
          <w:tcPr>
            <w:tcW w:w="691" w:type="pct"/>
            <w:tcBorders>
              <w:top w:val="nil"/>
              <w:left w:val="nil"/>
              <w:bottom w:val="single" w:sz="4" w:space="0" w:color="000000"/>
              <w:right w:val="single" w:sz="4" w:space="0" w:color="000000"/>
            </w:tcBorders>
            <w:shd w:val="clear" w:color="auto" w:fill="auto"/>
            <w:vAlign w:val="center"/>
            <w:hideMark/>
          </w:tcPr>
          <w:p w14:paraId="4A075903"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hapjen e procedurës së pranimit të drejtpërdrejtë në TND edhe për kandidatë të tjerë jashtë shërbimit civil dhe për përdorimin e procedurës së pranimit të drejtpërdrejtë në TND, për vitin 2026</w:t>
            </w:r>
          </w:p>
        </w:tc>
        <w:tc>
          <w:tcPr>
            <w:tcW w:w="312" w:type="pct"/>
            <w:tcBorders>
              <w:top w:val="nil"/>
              <w:left w:val="nil"/>
              <w:bottom w:val="single" w:sz="4" w:space="0" w:color="000000"/>
              <w:right w:val="single" w:sz="4" w:space="0" w:color="000000"/>
            </w:tcBorders>
            <w:shd w:val="clear" w:color="auto" w:fill="auto"/>
            <w:vAlign w:val="center"/>
            <w:hideMark/>
          </w:tcPr>
          <w:p w14:paraId="16EE9C3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5AEC82F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000000" w:fill="FFFFFF"/>
            <w:noWrap/>
            <w:vAlign w:val="center"/>
            <w:hideMark/>
          </w:tcPr>
          <w:p w14:paraId="3E68F70D"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824" w:type="pct"/>
            <w:tcBorders>
              <w:top w:val="nil"/>
              <w:left w:val="nil"/>
              <w:bottom w:val="single" w:sz="4" w:space="0" w:color="000000"/>
              <w:right w:val="single" w:sz="4" w:space="0" w:color="000000"/>
            </w:tcBorders>
            <w:shd w:val="clear" w:color="auto" w:fill="auto"/>
            <w:vAlign w:val="center"/>
            <w:hideMark/>
          </w:tcPr>
          <w:p w14:paraId="5BDA85D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Miratimi nga Këshilli i Ministrave i mundësisë për përdormin e procedurës së pranimit të drejtpërdrejtë në TND për vitin 2026, si dhe i mundësisë që për këto pozicione të mund të aplikojnë edhe kandidatë të tjerë nga jashtë shërbimit civil, që plotësojnë kushtet dhe kërkesat e veçanta</w:t>
            </w:r>
          </w:p>
        </w:tc>
        <w:tc>
          <w:tcPr>
            <w:tcW w:w="584" w:type="pct"/>
            <w:tcBorders>
              <w:top w:val="nil"/>
              <w:left w:val="nil"/>
              <w:bottom w:val="single" w:sz="4" w:space="0" w:color="000000"/>
              <w:right w:val="single" w:sz="4" w:space="0" w:color="000000"/>
            </w:tcBorders>
            <w:shd w:val="clear" w:color="auto" w:fill="auto"/>
            <w:vAlign w:val="center"/>
            <w:hideMark/>
          </w:tcPr>
          <w:p w14:paraId="694D53F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1. Numri i pozicioneve për të cilat do të përdoret procedura e pranimit të drejtpërdrejtë në TND;                                                         </w:t>
            </w:r>
            <w:r w:rsidRPr="00B6793F">
              <w:rPr>
                <w:rFonts w:ascii="Arial" w:eastAsia="Times New Roman" w:hAnsi="Arial" w:cs="Arial"/>
                <w:color w:val="000000"/>
                <w:sz w:val="8"/>
                <w:szCs w:val="8"/>
                <w:lang w:eastAsia="sq-AL"/>
              </w:rPr>
              <w:br/>
              <w:t>2. Kriteret minimale të pranimit për këtë procedurë për kandidatët nga jashtë shërbimit civil janë</w:t>
            </w:r>
          </w:p>
        </w:tc>
        <w:tc>
          <w:tcPr>
            <w:tcW w:w="349" w:type="pct"/>
            <w:tcBorders>
              <w:top w:val="nil"/>
              <w:left w:val="nil"/>
              <w:bottom w:val="single" w:sz="4" w:space="0" w:color="000000"/>
              <w:right w:val="single" w:sz="4" w:space="0" w:color="000000"/>
            </w:tcBorders>
            <w:shd w:val="clear" w:color="auto" w:fill="auto"/>
            <w:vAlign w:val="center"/>
            <w:hideMark/>
          </w:tcPr>
          <w:p w14:paraId="569AC97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7" w:type="pct"/>
            <w:tcBorders>
              <w:top w:val="nil"/>
              <w:left w:val="nil"/>
              <w:bottom w:val="single" w:sz="4" w:space="0" w:color="000000"/>
              <w:right w:val="single" w:sz="4" w:space="0" w:color="000000"/>
            </w:tcBorders>
            <w:shd w:val="clear" w:color="auto" w:fill="auto"/>
            <w:vAlign w:val="center"/>
            <w:hideMark/>
          </w:tcPr>
          <w:p w14:paraId="0B2F2CC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2BD491C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14E9327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46" w:type="pct"/>
            <w:tcBorders>
              <w:top w:val="nil"/>
              <w:left w:val="nil"/>
              <w:bottom w:val="single" w:sz="4" w:space="0" w:color="000000"/>
              <w:right w:val="single" w:sz="4" w:space="0" w:color="000000"/>
            </w:tcBorders>
            <w:shd w:val="clear" w:color="auto" w:fill="auto"/>
            <w:noWrap/>
            <w:vAlign w:val="center"/>
            <w:hideMark/>
          </w:tcPr>
          <w:p w14:paraId="514201C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688AE5D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7592E0A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4</w:t>
            </w:r>
          </w:p>
        </w:tc>
        <w:tc>
          <w:tcPr>
            <w:tcW w:w="691" w:type="pct"/>
            <w:tcBorders>
              <w:top w:val="nil"/>
              <w:left w:val="nil"/>
              <w:bottom w:val="single" w:sz="4" w:space="0" w:color="000000"/>
              <w:right w:val="single" w:sz="4" w:space="0" w:color="000000"/>
            </w:tcBorders>
            <w:shd w:val="clear" w:color="auto" w:fill="auto"/>
            <w:vAlign w:val="center"/>
            <w:hideMark/>
          </w:tcPr>
          <w:p w14:paraId="1EC0A70E"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miratimin e rregullave, kritereve dhe masës për trajtime të tjera financiare të të punësuarve në institucionet e administratës publike, si dhe fushave dhe nënfushave prioritare të zhvillimit të vendit”</w:t>
            </w:r>
          </w:p>
        </w:tc>
        <w:tc>
          <w:tcPr>
            <w:tcW w:w="312" w:type="pct"/>
            <w:tcBorders>
              <w:top w:val="nil"/>
              <w:left w:val="nil"/>
              <w:bottom w:val="single" w:sz="4" w:space="0" w:color="000000"/>
              <w:right w:val="single" w:sz="4" w:space="0" w:color="000000"/>
            </w:tcBorders>
            <w:shd w:val="clear" w:color="auto" w:fill="auto"/>
            <w:vAlign w:val="center"/>
            <w:hideMark/>
          </w:tcPr>
          <w:p w14:paraId="5FD595D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1FE1ECBD"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000000" w:fill="FFFFFF"/>
            <w:noWrap/>
            <w:vAlign w:val="center"/>
            <w:hideMark/>
          </w:tcPr>
          <w:p w14:paraId="3943D8C4"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w:t>
            </w:r>
          </w:p>
        </w:tc>
        <w:tc>
          <w:tcPr>
            <w:tcW w:w="824" w:type="pct"/>
            <w:tcBorders>
              <w:top w:val="nil"/>
              <w:left w:val="nil"/>
              <w:bottom w:val="single" w:sz="4" w:space="0" w:color="000000"/>
              <w:right w:val="single" w:sz="4" w:space="0" w:color="000000"/>
            </w:tcBorders>
            <w:shd w:val="clear" w:color="auto" w:fill="auto"/>
            <w:vAlign w:val="center"/>
            <w:hideMark/>
          </w:tcPr>
          <w:p w14:paraId="7ADFA354"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që rrjedh nga ligji nr. 35/2013, i ndryshuar për t'u miratuar nga Këshilli i Ministrave rregullat, kriteret dhe masa e trajtimeve te tjera financiare dhe fushat dhe nënfushat prioritare të zhvillimit të vendit </w:t>
            </w:r>
          </w:p>
        </w:tc>
        <w:tc>
          <w:tcPr>
            <w:tcW w:w="584" w:type="pct"/>
            <w:tcBorders>
              <w:top w:val="nil"/>
              <w:left w:val="nil"/>
              <w:bottom w:val="single" w:sz="4" w:space="0" w:color="000000"/>
              <w:right w:val="single" w:sz="4" w:space="0" w:color="000000"/>
            </w:tcBorders>
            <w:shd w:val="clear" w:color="auto" w:fill="auto"/>
            <w:vAlign w:val="center"/>
            <w:hideMark/>
          </w:tcPr>
          <w:p w14:paraId="7089BC5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përkufizimet, kriteret,  rregullat, procedurën dhe masat e trajtimeve të tjera financiare, si dhe fushat dhe nënfushat prioritare të zhvillimit të vendit, me qëllim krijimin e një sistemi të drejtë, transparent dhe të qendrueshëm që nxit performancën e lartë dhe inovacionin në administratën publike. Nëpërmjet miratimit të këtij projektvendimi VKM nr. 419/2023, shfuqizohet. </w:t>
            </w:r>
          </w:p>
        </w:tc>
        <w:tc>
          <w:tcPr>
            <w:tcW w:w="349" w:type="pct"/>
            <w:tcBorders>
              <w:top w:val="nil"/>
              <w:left w:val="nil"/>
              <w:bottom w:val="single" w:sz="4" w:space="0" w:color="000000"/>
              <w:right w:val="single" w:sz="4" w:space="0" w:color="000000"/>
            </w:tcBorders>
            <w:shd w:val="clear" w:color="auto" w:fill="auto"/>
            <w:vAlign w:val="center"/>
            <w:hideMark/>
          </w:tcPr>
          <w:p w14:paraId="6F0AFB97"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57" w:type="pct"/>
            <w:tcBorders>
              <w:top w:val="nil"/>
              <w:left w:val="nil"/>
              <w:bottom w:val="single" w:sz="4" w:space="0" w:color="000000"/>
              <w:right w:val="single" w:sz="4" w:space="0" w:color="000000"/>
            </w:tcBorders>
            <w:shd w:val="clear" w:color="auto" w:fill="auto"/>
            <w:vAlign w:val="center"/>
            <w:hideMark/>
          </w:tcPr>
          <w:p w14:paraId="1362D3A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515E9AF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356CB64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446" w:type="pct"/>
            <w:tcBorders>
              <w:top w:val="nil"/>
              <w:left w:val="nil"/>
              <w:bottom w:val="single" w:sz="4" w:space="0" w:color="000000"/>
              <w:right w:val="single" w:sz="4" w:space="0" w:color="000000"/>
            </w:tcBorders>
            <w:shd w:val="clear" w:color="auto" w:fill="auto"/>
            <w:vAlign w:val="center"/>
            <w:hideMark/>
          </w:tcPr>
          <w:p w14:paraId="2699778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25D07F95"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33A0F9C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5</w:t>
            </w:r>
          </w:p>
        </w:tc>
        <w:tc>
          <w:tcPr>
            <w:tcW w:w="691" w:type="pct"/>
            <w:tcBorders>
              <w:top w:val="nil"/>
              <w:left w:val="nil"/>
              <w:bottom w:val="single" w:sz="4" w:space="0" w:color="000000"/>
              <w:right w:val="single" w:sz="4" w:space="0" w:color="000000"/>
            </w:tcBorders>
            <w:shd w:val="clear" w:color="auto" w:fill="auto"/>
            <w:vAlign w:val="center"/>
            <w:hideMark/>
          </w:tcPr>
          <w:p w14:paraId="419AD408"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rregullat e hollësishme për sistemin e brendshëm të performancës</w:t>
            </w:r>
          </w:p>
        </w:tc>
        <w:tc>
          <w:tcPr>
            <w:tcW w:w="312" w:type="pct"/>
            <w:tcBorders>
              <w:top w:val="nil"/>
              <w:left w:val="nil"/>
              <w:bottom w:val="single" w:sz="4" w:space="0" w:color="000000"/>
              <w:right w:val="single" w:sz="4" w:space="0" w:color="000000"/>
            </w:tcBorders>
            <w:shd w:val="clear" w:color="auto" w:fill="auto"/>
            <w:vAlign w:val="center"/>
            <w:hideMark/>
          </w:tcPr>
          <w:p w14:paraId="6BC50C1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016E091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755F109D"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824" w:type="pct"/>
            <w:tcBorders>
              <w:top w:val="nil"/>
              <w:left w:val="nil"/>
              <w:bottom w:val="single" w:sz="4" w:space="0" w:color="000000"/>
              <w:right w:val="single" w:sz="4" w:space="0" w:color="000000"/>
            </w:tcBorders>
            <w:shd w:val="clear" w:color="auto" w:fill="auto"/>
            <w:vAlign w:val="center"/>
            <w:hideMark/>
          </w:tcPr>
          <w:p w14:paraId="5B0D5AC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90/2012, i ndryshuar për t'u miratuar nga Këshilli i Ministrave rregullat e hollësishme të zbatimit të sistemit të brendshëm të performancës</w:t>
            </w:r>
          </w:p>
        </w:tc>
        <w:tc>
          <w:tcPr>
            <w:tcW w:w="584" w:type="pct"/>
            <w:tcBorders>
              <w:top w:val="nil"/>
              <w:left w:val="nil"/>
              <w:bottom w:val="single" w:sz="4" w:space="0" w:color="000000"/>
              <w:right w:val="single" w:sz="4" w:space="0" w:color="000000"/>
            </w:tcBorders>
            <w:shd w:val="clear" w:color="auto" w:fill="auto"/>
            <w:vAlign w:val="center"/>
            <w:hideMark/>
          </w:tcPr>
          <w:p w14:paraId="2A5FB64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Nëpërmjet ndryshimeve që pritet të miratohen në ligjin nr. 90/2012, përcaktohet edhe krijimi i një sistemi të detyrueshëm, të uniformizuar të mbikëqyrjes/llogaridhënies së trupave joministrore, bazuar në rezultatet/perfomancën e institucionit që konsiston në mbikëqyrjen profesionale nga një njësi e shërbimit civil në kuadër të ministrisë mëmë, dhe instrumente të strukturuara në mënyrë eksplicite të planifikimit, raportimit, dhe vlerësimit. Për të bërë të mundur zbatimin në praktikë të këtij përcaktimi, është i nevojshëm miratimi i vendimit përkatës të Këshillit të Ministrave, ku do të miratohen rregullat e hollësishme të zbatimit të tij.  Ky rregullim adreson dhe rekomandimin e OECD/SIGMA për përmirësimin e sistemit tërësor të mbikqyrjes institucionale nga ministria tek institucionet e varësisëutive, bazuar edhe në rekomandimet e lëna nga raport progresi dhe vlerësimi i SIGMA.  </w:t>
            </w:r>
          </w:p>
        </w:tc>
        <w:tc>
          <w:tcPr>
            <w:tcW w:w="349" w:type="pct"/>
            <w:tcBorders>
              <w:top w:val="nil"/>
              <w:left w:val="nil"/>
              <w:bottom w:val="single" w:sz="4" w:space="0" w:color="000000"/>
              <w:right w:val="single" w:sz="4" w:space="0" w:color="000000"/>
            </w:tcBorders>
            <w:shd w:val="clear" w:color="auto" w:fill="auto"/>
            <w:vAlign w:val="center"/>
            <w:hideMark/>
          </w:tcPr>
          <w:p w14:paraId="34E131B7"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3E3D047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45E1DC1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04C45BE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7C06A40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5051058C"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4ABB508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6</w:t>
            </w:r>
          </w:p>
        </w:tc>
        <w:tc>
          <w:tcPr>
            <w:tcW w:w="691" w:type="pct"/>
            <w:tcBorders>
              <w:top w:val="nil"/>
              <w:left w:val="nil"/>
              <w:bottom w:val="single" w:sz="4" w:space="0" w:color="000000"/>
              <w:right w:val="single" w:sz="4" w:space="0" w:color="000000"/>
            </w:tcBorders>
            <w:shd w:val="clear" w:color="auto" w:fill="auto"/>
            <w:vAlign w:val="center"/>
            <w:hideMark/>
          </w:tcPr>
          <w:p w14:paraId="0F0CCC8B"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rregullave të organizimit dhe funksionimit të kabineteve ndihmëse dhe të organizimit të bredshëm të institucioneve të administratës shtetërore, të procedurave të hollësishme për përgatitjen, propozimin, konsultimin dhe miratimin e organizimit të brendshëm, si dhe miratimin e rregullave të detajuara për delegimin </w:t>
            </w:r>
          </w:p>
        </w:tc>
        <w:tc>
          <w:tcPr>
            <w:tcW w:w="312" w:type="pct"/>
            <w:tcBorders>
              <w:top w:val="nil"/>
              <w:left w:val="nil"/>
              <w:bottom w:val="single" w:sz="4" w:space="0" w:color="000000"/>
              <w:right w:val="single" w:sz="4" w:space="0" w:color="000000"/>
            </w:tcBorders>
            <w:shd w:val="clear" w:color="auto" w:fill="auto"/>
            <w:vAlign w:val="center"/>
            <w:hideMark/>
          </w:tcPr>
          <w:p w14:paraId="790FBC3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6BB5AF3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3410251A"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824" w:type="pct"/>
            <w:tcBorders>
              <w:top w:val="nil"/>
              <w:left w:val="nil"/>
              <w:bottom w:val="single" w:sz="4" w:space="0" w:color="000000"/>
              <w:right w:val="single" w:sz="4" w:space="0" w:color="000000"/>
            </w:tcBorders>
            <w:shd w:val="clear" w:color="auto" w:fill="auto"/>
            <w:vAlign w:val="center"/>
            <w:hideMark/>
          </w:tcPr>
          <w:p w14:paraId="6A6C38F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që rrjedh nga ligji nr. 90/2012, i ndryshuar për t'u miratuar nga Këshilli i Ministrave rregullat e hollësishme të organizimit të brendshëm të institucioneve të administratës shtetërore, rregullat e delegimit dhe numri minimal i punonjësve për krijimin e një institucioni varësie </w:t>
            </w:r>
          </w:p>
        </w:tc>
        <w:tc>
          <w:tcPr>
            <w:tcW w:w="584" w:type="pct"/>
            <w:tcBorders>
              <w:top w:val="nil"/>
              <w:left w:val="nil"/>
              <w:bottom w:val="single" w:sz="4" w:space="0" w:color="000000"/>
              <w:right w:val="single" w:sz="4" w:space="0" w:color="000000"/>
            </w:tcBorders>
            <w:shd w:val="clear" w:color="auto" w:fill="auto"/>
            <w:vAlign w:val="center"/>
            <w:hideMark/>
          </w:tcPr>
          <w:p w14:paraId="54D2A33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miratimin e:</w:t>
            </w:r>
            <w:r w:rsidRPr="00B6793F">
              <w:rPr>
                <w:rFonts w:ascii="Arial" w:eastAsia="Times New Roman" w:hAnsi="Arial" w:cs="Arial"/>
                <w:color w:val="000000"/>
                <w:sz w:val="8"/>
                <w:szCs w:val="8"/>
                <w:lang w:eastAsia="sq-AL"/>
              </w:rPr>
              <w:br/>
              <w:t xml:space="preserve">(i) rregullave dhe procedurave për organizimin e brendshëm të institucioneve të administratës shtetërore, përfshirë këtu edhe për drejtoritë me status të veçantë; </w:t>
            </w:r>
            <w:r w:rsidRPr="00B6793F">
              <w:rPr>
                <w:rFonts w:ascii="Arial" w:eastAsia="Times New Roman" w:hAnsi="Arial" w:cs="Arial"/>
                <w:color w:val="000000"/>
                <w:sz w:val="8"/>
                <w:szCs w:val="8"/>
                <w:lang w:eastAsia="sq-AL"/>
              </w:rPr>
              <w:br/>
              <w:t xml:space="preserve">(ii) rregullave të delegimit dhe; </w:t>
            </w:r>
            <w:r w:rsidRPr="00B6793F">
              <w:rPr>
                <w:rFonts w:ascii="Arial" w:eastAsia="Times New Roman" w:hAnsi="Arial" w:cs="Arial"/>
                <w:color w:val="000000"/>
                <w:sz w:val="8"/>
                <w:szCs w:val="8"/>
                <w:lang w:eastAsia="sq-AL"/>
              </w:rPr>
              <w:br/>
              <w:t>(iii) numrin minimal të punonjësve për krijimin e një institucioni varësie, mështetur në ndryshimet që priten të miratohen në ligjin nr. 90/2012. Nëpërmjet këtij vendimi, VKM nr. 893/2012, i ndryshuar do të shfuqizohet</w:t>
            </w:r>
          </w:p>
        </w:tc>
        <w:tc>
          <w:tcPr>
            <w:tcW w:w="349" w:type="pct"/>
            <w:tcBorders>
              <w:top w:val="nil"/>
              <w:left w:val="nil"/>
              <w:bottom w:val="single" w:sz="4" w:space="0" w:color="000000"/>
              <w:right w:val="single" w:sz="4" w:space="0" w:color="000000"/>
            </w:tcBorders>
            <w:shd w:val="clear" w:color="auto" w:fill="auto"/>
            <w:vAlign w:val="center"/>
            <w:hideMark/>
          </w:tcPr>
          <w:p w14:paraId="2FCB568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26C28C8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1096B01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7FEE95B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7EF3214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4BE7F783"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4F4EBAD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7</w:t>
            </w:r>
          </w:p>
        </w:tc>
        <w:tc>
          <w:tcPr>
            <w:tcW w:w="691" w:type="pct"/>
            <w:tcBorders>
              <w:top w:val="nil"/>
              <w:left w:val="nil"/>
              <w:bottom w:val="single" w:sz="4" w:space="0" w:color="000000"/>
              <w:right w:val="single" w:sz="4" w:space="0" w:color="000000"/>
            </w:tcBorders>
            <w:shd w:val="clear" w:color="auto" w:fill="auto"/>
            <w:vAlign w:val="center"/>
            <w:hideMark/>
          </w:tcPr>
          <w:p w14:paraId="1A62313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w:t>
            </w:r>
            <w:r w:rsidRPr="00B6793F">
              <w:rPr>
                <w:rFonts w:ascii="Arial" w:eastAsia="Times New Roman" w:hAnsi="Arial" w:cs="Arial"/>
                <w:color w:val="242424"/>
                <w:sz w:val="8"/>
                <w:szCs w:val="8"/>
                <w:lang w:eastAsia="sq-AL"/>
              </w:rPr>
              <w:t>VKM "Për përcaktimin e marrëdhënies së punës, strukturën dhe kriteret e përzgjedhjes së punonjësve të njësisë përgjegjëse të sinjalizimit në autoritetet publike"</w:t>
            </w:r>
          </w:p>
        </w:tc>
        <w:tc>
          <w:tcPr>
            <w:tcW w:w="312" w:type="pct"/>
            <w:tcBorders>
              <w:top w:val="nil"/>
              <w:left w:val="nil"/>
              <w:bottom w:val="single" w:sz="4" w:space="0" w:color="000000"/>
              <w:right w:val="single" w:sz="4" w:space="0" w:color="000000"/>
            </w:tcBorders>
            <w:shd w:val="clear" w:color="auto" w:fill="auto"/>
            <w:vAlign w:val="center"/>
            <w:hideMark/>
          </w:tcPr>
          <w:p w14:paraId="4407729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w:t>
            </w:r>
          </w:p>
        </w:tc>
        <w:tc>
          <w:tcPr>
            <w:tcW w:w="342" w:type="pct"/>
            <w:tcBorders>
              <w:top w:val="nil"/>
              <w:left w:val="nil"/>
              <w:bottom w:val="single" w:sz="4" w:space="0" w:color="000000"/>
              <w:right w:val="single" w:sz="4" w:space="0" w:color="000000"/>
            </w:tcBorders>
            <w:shd w:val="clear" w:color="auto" w:fill="auto"/>
            <w:vAlign w:val="center"/>
            <w:hideMark/>
          </w:tcPr>
          <w:p w14:paraId="6CC3A94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MAPA</w:t>
            </w:r>
          </w:p>
        </w:tc>
        <w:tc>
          <w:tcPr>
            <w:tcW w:w="288" w:type="pct"/>
            <w:tcBorders>
              <w:top w:val="nil"/>
              <w:left w:val="nil"/>
              <w:bottom w:val="single" w:sz="4" w:space="0" w:color="000000"/>
              <w:right w:val="single" w:sz="4" w:space="0" w:color="000000"/>
            </w:tcBorders>
            <w:shd w:val="clear" w:color="auto" w:fill="auto"/>
            <w:vAlign w:val="center"/>
            <w:hideMark/>
          </w:tcPr>
          <w:p w14:paraId="2941D8E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824" w:type="pct"/>
            <w:tcBorders>
              <w:top w:val="nil"/>
              <w:left w:val="nil"/>
              <w:bottom w:val="single" w:sz="4" w:space="0" w:color="000000"/>
              <w:right w:val="single" w:sz="4" w:space="0" w:color="000000"/>
            </w:tcBorders>
            <w:shd w:val="clear" w:color="auto" w:fill="auto"/>
            <w:vAlign w:val="center"/>
            <w:hideMark/>
          </w:tcPr>
          <w:p w14:paraId="5E2A836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Implementimi i Ligjit nr. 60/2016 "Për sinjalizimin dhe mbrojtjen e sinjalizuesve"</w:t>
            </w:r>
          </w:p>
        </w:tc>
        <w:tc>
          <w:tcPr>
            <w:tcW w:w="584" w:type="pct"/>
            <w:tcBorders>
              <w:top w:val="nil"/>
              <w:left w:val="nil"/>
              <w:bottom w:val="single" w:sz="4" w:space="0" w:color="000000"/>
              <w:right w:val="single" w:sz="4" w:space="0" w:color="000000"/>
            </w:tcBorders>
            <w:shd w:val="clear" w:color="auto" w:fill="auto"/>
            <w:vAlign w:val="center"/>
            <w:hideMark/>
          </w:tcPr>
          <w:p w14:paraId="2000322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Të përcaktojë marrëdhëniet e punës, strukturën dhe kriteret e përzgjedhjes të punonjësve të njësisë përgjegjëse në autoritetet publike</w:t>
            </w:r>
          </w:p>
        </w:tc>
        <w:tc>
          <w:tcPr>
            <w:tcW w:w="349" w:type="pct"/>
            <w:tcBorders>
              <w:top w:val="nil"/>
              <w:left w:val="nil"/>
              <w:bottom w:val="single" w:sz="4" w:space="0" w:color="000000"/>
              <w:right w:val="single" w:sz="4" w:space="0" w:color="000000"/>
            </w:tcBorders>
            <w:shd w:val="clear" w:color="auto" w:fill="auto"/>
            <w:vAlign w:val="center"/>
            <w:hideMark/>
          </w:tcPr>
          <w:p w14:paraId="4290E84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Kapitulli 23 </w:t>
            </w:r>
          </w:p>
        </w:tc>
        <w:tc>
          <w:tcPr>
            <w:tcW w:w="357" w:type="pct"/>
            <w:tcBorders>
              <w:top w:val="nil"/>
              <w:left w:val="nil"/>
              <w:bottom w:val="single" w:sz="4" w:space="0" w:color="000000"/>
              <w:right w:val="single" w:sz="4" w:space="0" w:color="000000"/>
            </w:tcBorders>
            <w:shd w:val="clear" w:color="auto" w:fill="auto"/>
            <w:vAlign w:val="center"/>
            <w:hideMark/>
          </w:tcPr>
          <w:p w14:paraId="4C2C7530"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w:t>
            </w:r>
          </w:p>
        </w:tc>
        <w:tc>
          <w:tcPr>
            <w:tcW w:w="267" w:type="pct"/>
            <w:tcBorders>
              <w:top w:val="nil"/>
              <w:left w:val="nil"/>
              <w:bottom w:val="single" w:sz="4" w:space="0" w:color="000000"/>
              <w:right w:val="single" w:sz="4" w:space="0" w:color="000000"/>
            </w:tcBorders>
            <w:shd w:val="clear" w:color="auto" w:fill="auto"/>
            <w:vAlign w:val="center"/>
            <w:hideMark/>
          </w:tcPr>
          <w:p w14:paraId="60989A8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596C78E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per miratimin e Udherrefyesi I shtetit te se drejtes, no 736, dt 9.12.2023 </w:t>
            </w:r>
            <w:r w:rsidRPr="00B6793F">
              <w:rPr>
                <w:rFonts w:ascii="Arial" w:eastAsia="Times New Roman" w:hAnsi="Arial" w:cs="Arial"/>
                <w:color w:val="000000"/>
                <w:sz w:val="8"/>
                <w:szCs w:val="8"/>
                <w:lang w:eastAsia="sq-AL"/>
              </w:rPr>
              <w:br/>
              <w:t>Strategjia ndërsektoriale Kundër Korrupsionit (SNKK) 2024-2030</w:t>
            </w:r>
          </w:p>
        </w:tc>
        <w:tc>
          <w:tcPr>
            <w:tcW w:w="446" w:type="pct"/>
            <w:tcBorders>
              <w:top w:val="nil"/>
              <w:left w:val="nil"/>
              <w:bottom w:val="single" w:sz="4" w:space="0" w:color="000000"/>
              <w:right w:val="single" w:sz="4" w:space="0" w:color="000000"/>
            </w:tcBorders>
            <w:shd w:val="clear" w:color="auto" w:fill="auto"/>
            <w:noWrap/>
            <w:vAlign w:val="center"/>
            <w:hideMark/>
          </w:tcPr>
          <w:p w14:paraId="3166B2D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0B9EB1A4"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1D0F3DC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8</w:t>
            </w:r>
          </w:p>
        </w:tc>
        <w:tc>
          <w:tcPr>
            <w:tcW w:w="691" w:type="pct"/>
            <w:tcBorders>
              <w:top w:val="nil"/>
              <w:left w:val="nil"/>
              <w:bottom w:val="single" w:sz="4" w:space="0" w:color="000000"/>
              <w:right w:val="single" w:sz="4" w:space="0" w:color="000000"/>
            </w:tcBorders>
            <w:shd w:val="clear" w:color="auto" w:fill="auto"/>
            <w:vAlign w:val="center"/>
            <w:hideMark/>
          </w:tcPr>
          <w:p w14:paraId="6CC19EF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rregullat për përmbajtjen e detajuar, formën dhe procedurën e shqyrtimit paraprak të raportit të analizës organizativ-funksionale dhe vendimmarrjen mbi vazhdimësinë e saj, si dhe procesin e hartimit e miratimit të aktit ligjor apo nënligjor përkatës</w:t>
            </w:r>
          </w:p>
        </w:tc>
        <w:tc>
          <w:tcPr>
            <w:tcW w:w="312" w:type="pct"/>
            <w:tcBorders>
              <w:top w:val="nil"/>
              <w:left w:val="nil"/>
              <w:bottom w:val="single" w:sz="4" w:space="0" w:color="000000"/>
              <w:right w:val="single" w:sz="4" w:space="0" w:color="000000"/>
            </w:tcBorders>
            <w:shd w:val="clear" w:color="auto" w:fill="auto"/>
            <w:vAlign w:val="center"/>
            <w:hideMark/>
          </w:tcPr>
          <w:p w14:paraId="5AFC088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11DFEFB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56FB5289"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w:t>
            </w:r>
          </w:p>
        </w:tc>
        <w:tc>
          <w:tcPr>
            <w:tcW w:w="824" w:type="pct"/>
            <w:tcBorders>
              <w:top w:val="nil"/>
              <w:left w:val="nil"/>
              <w:bottom w:val="single" w:sz="4" w:space="0" w:color="000000"/>
              <w:right w:val="single" w:sz="4" w:space="0" w:color="000000"/>
            </w:tcBorders>
            <w:shd w:val="clear" w:color="auto" w:fill="auto"/>
            <w:vAlign w:val="center"/>
            <w:hideMark/>
          </w:tcPr>
          <w:p w14:paraId="029A279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që rrjedh nga ligji nr. 90/2012, i ndryshuar për t'u miratuar nga Këshilli i Ministrave rregullat e hollësishme për procedurën dhe vendimmarrjen në lidhje me krijimin, bashkimin, ndryshimet dhe shuarjen e institucioneve të administratës shtetërore </w:t>
            </w:r>
          </w:p>
        </w:tc>
        <w:tc>
          <w:tcPr>
            <w:tcW w:w="584" w:type="pct"/>
            <w:tcBorders>
              <w:top w:val="nil"/>
              <w:left w:val="nil"/>
              <w:bottom w:val="single" w:sz="4" w:space="0" w:color="000000"/>
              <w:right w:val="single" w:sz="4" w:space="0" w:color="000000"/>
            </w:tcBorders>
            <w:shd w:val="clear" w:color="auto" w:fill="auto"/>
            <w:vAlign w:val="center"/>
            <w:hideMark/>
          </w:tcPr>
          <w:p w14:paraId="6EEC985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Ndryshimet që pritet të miratohen në ligjin nr. 90/2012, ndërmjet të tjerash përcaktojnë një sistem të detyrueshëm të përgatitjes dhe vlerësimit e kontrollit të iniciativave për ndryshime institucionale me dy shtylla kryesore: </w:t>
            </w:r>
            <w:r w:rsidRPr="00B6793F">
              <w:rPr>
                <w:rFonts w:ascii="Arial" w:eastAsia="Times New Roman" w:hAnsi="Arial" w:cs="Arial"/>
                <w:color w:val="000000"/>
                <w:sz w:val="8"/>
                <w:szCs w:val="8"/>
                <w:lang w:eastAsia="sq-AL"/>
              </w:rPr>
              <w:br/>
            </w:r>
            <w:r w:rsidRPr="00B6793F">
              <w:rPr>
                <w:rFonts w:ascii="Arial" w:eastAsia="Times New Roman" w:hAnsi="Arial" w:cs="Arial"/>
                <w:color w:val="000000"/>
                <w:sz w:val="8"/>
                <w:szCs w:val="8"/>
                <w:lang w:eastAsia="sq-AL"/>
              </w:rPr>
              <w:br/>
              <w:t>i) ministritë kryejnë analizë të thelluar dhe të detyrueshme ex ante përpara se të fillojë hartimi i akteve ligjore për ndryshime institucionale si p.sh: krijimi i një institucioni/agjencie të re, etj; dhe</w:t>
            </w:r>
            <w:r w:rsidRPr="00B6793F">
              <w:rPr>
                <w:rFonts w:ascii="Arial" w:eastAsia="Times New Roman" w:hAnsi="Arial" w:cs="Arial"/>
                <w:color w:val="000000"/>
                <w:sz w:val="8"/>
                <w:szCs w:val="8"/>
                <w:lang w:eastAsia="sq-AL"/>
              </w:rPr>
              <w:br/>
              <w:t xml:space="preserve">ii) Departamenti i Administratës Publike (DAP) ngarkohet qartazi dhe në mënyrë eksplicite si njësi ekskluzive e zhvillimit të politikave të Qeverisë Shqiptare në fushën e organizimit të administratës publike. Për të bërë të mundur zbatimin efektiv të këtij sistemi, ligji autorizon Këshillin e Ministrave të miratojë përmbajtjen e detajuar, formën dhe procedurën e shqyrtimit paraprak të raportit të analizës organizativ-funksionale dhe vendimmarrjen mbi vazhdimësinë e saj, si dhe procesin e hartimit e miratimit të aktit ligjor apo nënligjor përkatës.  </w:t>
            </w:r>
          </w:p>
        </w:tc>
        <w:tc>
          <w:tcPr>
            <w:tcW w:w="349" w:type="pct"/>
            <w:tcBorders>
              <w:top w:val="nil"/>
              <w:left w:val="nil"/>
              <w:bottom w:val="single" w:sz="4" w:space="0" w:color="000000"/>
              <w:right w:val="single" w:sz="4" w:space="0" w:color="000000"/>
            </w:tcBorders>
            <w:shd w:val="clear" w:color="auto" w:fill="auto"/>
            <w:vAlign w:val="center"/>
            <w:hideMark/>
          </w:tcPr>
          <w:p w14:paraId="059CA04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64BD21B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N/A</w:t>
            </w:r>
          </w:p>
        </w:tc>
        <w:tc>
          <w:tcPr>
            <w:tcW w:w="267" w:type="pct"/>
            <w:tcBorders>
              <w:top w:val="nil"/>
              <w:left w:val="nil"/>
              <w:bottom w:val="single" w:sz="4" w:space="0" w:color="000000"/>
              <w:right w:val="single" w:sz="4" w:space="0" w:color="000000"/>
            </w:tcBorders>
            <w:shd w:val="clear" w:color="auto" w:fill="auto"/>
            <w:vAlign w:val="center"/>
            <w:hideMark/>
          </w:tcPr>
          <w:p w14:paraId="46C2B76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3703C3E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267FB06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2C45B0D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621194B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9</w:t>
            </w:r>
          </w:p>
        </w:tc>
        <w:tc>
          <w:tcPr>
            <w:tcW w:w="691" w:type="pct"/>
            <w:tcBorders>
              <w:top w:val="nil"/>
              <w:left w:val="nil"/>
              <w:bottom w:val="single" w:sz="4" w:space="0" w:color="000000"/>
              <w:right w:val="single" w:sz="4" w:space="0" w:color="000000"/>
            </w:tcBorders>
            <w:shd w:val="clear" w:color="auto" w:fill="auto"/>
            <w:vAlign w:val="center"/>
            <w:hideMark/>
          </w:tcPr>
          <w:p w14:paraId="57838D98"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pranimin, lëvizjen paralele, periudhën e provës dhe emërimin në kategorinë ekzekutive</w:t>
            </w:r>
          </w:p>
        </w:tc>
        <w:tc>
          <w:tcPr>
            <w:tcW w:w="312" w:type="pct"/>
            <w:tcBorders>
              <w:top w:val="nil"/>
              <w:left w:val="nil"/>
              <w:bottom w:val="single" w:sz="4" w:space="0" w:color="000000"/>
              <w:right w:val="single" w:sz="4" w:space="0" w:color="000000"/>
            </w:tcBorders>
            <w:shd w:val="clear" w:color="auto" w:fill="auto"/>
            <w:vAlign w:val="center"/>
            <w:hideMark/>
          </w:tcPr>
          <w:p w14:paraId="6CDBDAE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4968E1B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57A76286"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4B7B87F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procedura e pranimit, lëvizjes paralele, periudhës së provës, dhe emërimit në kategorinë ekzekutive</w:t>
            </w:r>
          </w:p>
        </w:tc>
        <w:tc>
          <w:tcPr>
            <w:tcW w:w="584" w:type="pct"/>
            <w:tcBorders>
              <w:top w:val="nil"/>
              <w:left w:val="nil"/>
              <w:bottom w:val="single" w:sz="4" w:space="0" w:color="000000"/>
              <w:right w:val="single" w:sz="4" w:space="0" w:color="000000"/>
            </w:tcBorders>
            <w:shd w:val="clear" w:color="auto" w:fill="auto"/>
            <w:vAlign w:val="center"/>
            <w:hideMark/>
          </w:tcPr>
          <w:p w14:paraId="5D1D08E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procedrën dhe rregullat për pranimin, lëvizjen paralele, periudhën e provës, konfirmimin, emërimin në kategorinë ekzekutive, mbështetur në ndryshimet që pritet të miratohen në ligjin nr. 152/2013, të ndryshuar. Miratimi i këtij vendimi synon përmirësimin e pocesit të rekrutimit në nëpunësve në kategorinë ekzekutive, bazuar edhe në rekomandimet e lëna nga raport progresi dhe vlerësimi i SIGMA.  Nëpërmjet miratimit të këtij projektvendimi VKM nr. 243, datë 18.3.2015, i ndryshuar shfuqizohet. </w:t>
            </w:r>
          </w:p>
        </w:tc>
        <w:tc>
          <w:tcPr>
            <w:tcW w:w="349" w:type="pct"/>
            <w:tcBorders>
              <w:top w:val="nil"/>
              <w:left w:val="nil"/>
              <w:bottom w:val="single" w:sz="4" w:space="0" w:color="000000"/>
              <w:right w:val="single" w:sz="4" w:space="0" w:color="000000"/>
            </w:tcBorders>
            <w:shd w:val="clear" w:color="auto" w:fill="auto"/>
            <w:vAlign w:val="center"/>
            <w:hideMark/>
          </w:tcPr>
          <w:p w14:paraId="3DEB091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7CC79CC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10D662B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0B952FC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75572C2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3B69EA90"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089E8F9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10</w:t>
            </w:r>
          </w:p>
        </w:tc>
        <w:tc>
          <w:tcPr>
            <w:tcW w:w="691" w:type="pct"/>
            <w:tcBorders>
              <w:top w:val="nil"/>
              <w:left w:val="nil"/>
              <w:bottom w:val="single" w:sz="4" w:space="0" w:color="000000"/>
              <w:right w:val="single" w:sz="4" w:space="0" w:color="000000"/>
            </w:tcBorders>
            <w:shd w:val="clear" w:color="auto" w:fill="auto"/>
            <w:vAlign w:val="center"/>
            <w:hideMark/>
          </w:tcPr>
          <w:p w14:paraId="45F63E29"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plotësimin e vendeve të lira në kategorinë e ulët drejtuese, të mesme drejtues dhe të lartë drejtuese</w:t>
            </w:r>
          </w:p>
        </w:tc>
        <w:tc>
          <w:tcPr>
            <w:tcW w:w="312" w:type="pct"/>
            <w:tcBorders>
              <w:top w:val="nil"/>
              <w:left w:val="nil"/>
              <w:bottom w:val="single" w:sz="4" w:space="0" w:color="000000"/>
              <w:right w:val="single" w:sz="4" w:space="0" w:color="000000"/>
            </w:tcBorders>
            <w:shd w:val="clear" w:color="auto" w:fill="auto"/>
            <w:vAlign w:val="center"/>
            <w:hideMark/>
          </w:tcPr>
          <w:p w14:paraId="12BB833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3EA6748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12D24AAC"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28876F3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procedura e plotësimit të vendeve të punës në kategorinë e ulët, të mesme dhe të lartë drejtuese</w:t>
            </w:r>
          </w:p>
        </w:tc>
        <w:tc>
          <w:tcPr>
            <w:tcW w:w="584" w:type="pct"/>
            <w:tcBorders>
              <w:top w:val="nil"/>
              <w:left w:val="nil"/>
              <w:bottom w:val="single" w:sz="4" w:space="0" w:color="000000"/>
              <w:right w:val="single" w:sz="4" w:space="0" w:color="000000"/>
            </w:tcBorders>
            <w:shd w:val="clear" w:color="auto" w:fill="auto"/>
            <w:vAlign w:val="center"/>
            <w:hideMark/>
          </w:tcPr>
          <w:p w14:paraId="6EC27CC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procedrën dhe rregullat për pranimin, lëvizjen paralele, periudhën e provës, konfirmimin, emërimin në kategorinë ulët, të mesme dhe të lartë drejtuese, mbështetur në ndryshimet që pritet të miratohen në ligjin nr. 152/2013, të ndryshuar. Miratimi i këtij vendimi synon përmirësimin e pocesit të rekrutimit të nëpunësve të këtyre kategorive, bazuar edhe në rekomandimet e lëna nga raport progresi dhe vlerësimi i SIGMA.  Nëpërmjet miratimit të këtij projektvendimi VKM nr. 242, datë 18.3.2015, i ndryshuar dhe VKM nr. 118, datë 5.3.2014, i ndryshuar shfuqizohen. </w:t>
            </w:r>
          </w:p>
        </w:tc>
        <w:tc>
          <w:tcPr>
            <w:tcW w:w="349" w:type="pct"/>
            <w:tcBorders>
              <w:top w:val="nil"/>
              <w:left w:val="nil"/>
              <w:bottom w:val="single" w:sz="4" w:space="0" w:color="000000"/>
              <w:right w:val="single" w:sz="4" w:space="0" w:color="000000"/>
            </w:tcBorders>
            <w:shd w:val="clear" w:color="auto" w:fill="auto"/>
            <w:vAlign w:val="center"/>
            <w:hideMark/>
          </w:tcPr>
          <w:p w14:paraId="363AACE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0408BBA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5E14521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4C9EBE7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00FE6B6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77CFA95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695861F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11</w:t>
            </w:r>
          </w:p>
        </w:tc>
        <w:tc>
          <w:tcPr>
            <w:tcW w:w="691" w:type="pct"/>
            <w:tcBorders>
              <w:top w:val="nil"/>
              <w:left w:val="nil"/>
              <w:bottom w:val="single" w:sz="4" w:space="0" w:color="000000"/>
              <w:right w:val="single" w:sz="4" w:space="0" w:color="000000"/>
            </w:tcBorders>
            <w:shd w:val="clear" w:color="auto" w:fill="auto"/>
            <w:vAlign w:val="center"/>
            <w:hideMark/>
          </w:tcPr>
          <w:p w14:paraId="7EB41DBE"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w:t>
            </w:r>
            <w:r w:rsidRPr="00B6793F">
              <w:rPr>
                <w:rFonts w:ascii="Arial" w:eastAsia="Times New Roman" w:hAnsi="Arial" w:cs="Arial"/>
                <w:sz w:val="8"/>
                <w:szCs w:val="8"/>
                <w:lang w:eastAsia="sq-AL"/>
              </w:rPr>
              <w:br/>
              <w:t>përshkrimin dhe klasifikimin e pozicioneve të punës në institucionet e administratës shtetërore dhe institucionet e pavarura</w:t>
            </w:r>
          </w:p>
        </w:tc>
        <w:tc>
          <w:tcPr>
            <w:tcW w:w="312" w:type="pct"/>
            <w:tcBorders>
              <w:top w:val="nil"/>
              <w:left w:val="nil"/>
              <w:bottom w:val="single" w:sz="4" w:space="0" w:color="000000"/>
              <w:right w:val="single" w:sz="4" w:space="0" w:color="000000"/>
            </w:tcBorders>
            <w:shd w:val="clear" w:color="auto" w:fill="auto"/>
            <w:vAlign w:val="center"/>
            <w:hideMark/>
          </w:tcPr>
          <w:p w14:paraId="5EE6055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3968F76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0AE75DB2"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6902292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a) klasat e zbatueshme për secilën nga kategoritë; b) përshkrimin e përgjithshëm të punës për çdo kategori dhe klasë; c) kërkesat e përgjithshme për pranimin në çdo kategori dhe klasë; ç)  emërtesën e pozicioneve që bëjnë pjesë në çdo klasë dhe kategori; d) metodologjinë e klasifikimit të një pozicioni në një kategori dhe klasë të caktuar.</w:t>
            </w:r>
          </w:p>
        </w:tc>
        <w:tc>
          <w:tcPr>
            <w:tcW w:w="584" w:type="pct"/>
            <w:tcBorders>
              <w:top w:val="nil"/>
              <w:left w:val="nil"/>
              <w:bottom w:val="single" w:sz="4" w:space="0" w:color="000000"/>
              <w:right w:val="single" w:sz="4" w:space="0" w:color="000000"/>
            </w:tcBorders>
            <w:shd w:val="clear" w:color="auto" w:fill="auto"/>
            <w:vAlign w:val="center"/>
            <w:hideMark/>
          </w:tcPr>
          <w:p w14:paraId="12F11BC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klasat e zbatueshme për secilën nga kategoritë e shërbimit civil, përshkrimin e përgjithshëm të punës për çdo kategori dhe klasë, kërkesat e përgjithshme për pranimin në çdo kategori dhe klasë, metodologjinë e klasifikimit të një pozicioni në një kategori dhe klasë të caktua, mbështetur në ndryshimet që pritet të miratohen në ligjin nr. 152/2013, të ndryshuar. Miratimi i këtij vendimi synon përmirësimin e pocesit të në këto drejtime dhe ka ndikim në procesin e rekrutimit dhe të vlerësimit të nëpunësve civilë dhe në menaxhimin e nëpunësve civilë.  Nëpërmjet miratimit të këtij projektvendimi VKM nr. 142, datë 12.3.2014, i ndryshuar shfuqizohet. </w:t>
            </w:r>
          </w:p>
        </w:tc>
        <w:tc>
          <w:tcPr>
            <w:tcW w:w="349" w:type="pct"/>
            <w:tcBorders>
              <w:top w:val="nil"/>
              <w:left w:val="nil"/>
              <w:bottom w:val="single" w:sz="4" w:space="0" w:color="000000"/>
              <w:right w:val="single" w:sz="4" w:space="0" w:color="000000"/>
            </w:tcBorders>
            <w:shd w:val="clear" w:color="auto" w:fill="auto"/>
            <w:vAlign w:val="center"/>
            <w:hideMark/>
          </w:tcPr>
          <w:p w14:paraId="46C26E2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2C08294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5025611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450A7B5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3E2A4CC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61E09306"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74A1041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12</w:t>
            </w:r>
          </w:p>
        </w:tc>
        <w:tc>
          <w:tcPr>
            <w:tcW w:w="691" w:type="pct"/>
            <w:tcBorders>
              <w:top w:val="nil"/>
              <w:left w:val="nil"/>
              <w:bottom w:val="single" w:sz="4" w:space="0" w:color="000000"/>
              <w:right w:val="single" w:sz="4" w:space="0" w:color="000000"/>
            </w:tcBorders>
            <w:shd w:val="clear" w:color="auto" w:fill="auto"/>
            <w:vAlign w:val="center"/>
            <w:hideMark/>
          </w:tcPr>
          <w:p w14:paraId="6025CB54"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transferimin e përkohshëm dhe të përhershëm të nëpunësve civilë dhe dhe pezullimin e lirimin nga shërbimi civil</w:t>
            </w:r>
          </w:p>
        </w:tc>
        <w:tc>
          <w:tcPr>
            <w:tcW w:w="312" w:type="pct"/>
            <w:tcBorders>
              <w:top w:val="nil"/>
              <w:left w:val="nil"/>
              <w:bottom w:val="single" w:sz="4" w:space="0" w:color="000000"/>
              <w:right w:val="single" w:sz="4" w:space="0" w:color="000000"/>
            </w:tcBorders>
            <w:shd w:val="clear" w:color="auto" w:fill="auto"/>
            <w:vAlign w:val="center"/>
            <w:hideMark/>
          </w:tcPr>
          <w:p w14:paraId="24F6368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14977B5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12629FD4"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6C9A53D7"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procedura për transferimin e përhershëm dhe të përkohshëm të nëpunësve civilë dhe procedura për pezullimin dhe lirimin nga shërbimi civil</w:t>
            </w:r>
          </w:p>
        </w:tc>
        <w:tc>
          <w:tcPr>
            <w:tcW w:w="584" w:type="pct"/>
            <w:tcBorders>
              <w:top w:val="nil"/>
              <w:left w:val="nil"/>
              <w:bottom w:val="single" w:sz="4" w:space="0" w:color="000000"/>
              <w:right w:val="single" w:sz="4" w:space="0" w:color="000000"/>
            </w:tcBorders>
            <w:shd w:val="clear" w:color="auto" w:fill="auto"/>
            <w:vAlign w:val="center"/>
            <w:hideMark/>
          </w:tcPr>
          <w:p w14:paraId="778F586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procedrën dhe rregullat për transferimin, pezullimin dhe lririm nga shërbimi civil, mbështetur në ndryshimet që pritet të miratohen në ligjin nr. 152/2013, të ndryshuar. Miratimi i këtij vendimi synon përmirësimin e këtyre proceseve dhe ka ndikim në një menaxhim më të mirë të nëpunësve civilë.  Nëpërmjet miratimit të këtij projektvendimi VKM nr. 124, datë 17.2.2016 dhe VKM nr. 125, datë 17.2.2016, shfuqizohen. </w:t>
            </w:r>
          </w:p>
        </w:tc>
        <w:tc>
          <w:tcPr>
            <w:tcW w:w="349" w:type="pct"/>
            <w:tcBorders>
              <w:top w:val="nil"/>
              <w:left w:val="nil"/>
              <w:bottom w:val="single" w:sz="4" w:space="0" w:color="000000"/>
              <w:right w:val="single" w:sz="4" w:space="0" w:color="000000"/>
            </w:tcBorders>
            <w:shd w:val="clear" w:color="auto" w:fill="auto"/>
            <w:vAlign w:val="center"/>
            <w:hideMark/>
          </w:tcPr>
          <w:p w14:paraId="513FB75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146986E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2F69474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74DF3B5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32F4515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7B50CB1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7F753E0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w:t>
            </w:r>
          </w:p>
        </w:tc>
        <w:tc>
          <w:tcPr>
            <w:tcW w:w="691" w:type="pct"/>
            <w:tcBorders>
              <w:top w:val="nil"/>
              <w:left w:val="nil"/>
              <w:bottom w:val="single" w:sz="4" w:space="0" w:color="000000"/>
              <w:right w:val="single" w:sz="4" w:space="0" w:color="000000"/>
            </w:tcBorders>
            <w:shd w:val="clear" w:color="auto" w:fill="auto"/>
            <w:vAlign w:val="center"/>
            <w:hideMark/>
          </w:tcPr>
          <w:p w14:paraId="4FD934C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vlerësimin e rezultateve në punë të nëpunësve civilë</w:t>
            </w:r>
          </w:p>
        </w:tc>
        <w:tc>
          <w:tcPr>
            <w:tcW w:w="312" w:type="pct"/>
            <w:tcBorders>
              <w:top w:val="nil"/>
              <w:left w:val="nil"/>
              <w:bottom w:val="single" w:sz="4" w:space="0" w:color="000000"/>
              <w:right w:val="single" w:sz="4" w:space="0" w:color="000000"/>
            </w:tcBorders>
            <w:shd w:val="clear" w:color="auto" w:fill="auto"/>
            <w:noWrap/>
            <w:vAlign w:val="center"/>
            <w:hideMark/>
          </w:tcPr>
          <w:p w14:paraId="5ACADD4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3398F4D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0DF4DCF5"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05CD4D1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procedura për vlerësimin e rezultateve në punë të nëpunësve civilë në institucionet e administratës shtetërore, institucionet e pavarura dhe njësitë e qeverisjes vendore dhe kompetencat për vlerësimin</w:t>
            </w:r>
          </w:p>
        </w:tc>
        <w:tc>
          <w:tcPr>
            <w:tcW w:w="584" w:type="pct"/>
            <w:tcBorders>
              <w:top w:val="nil"/>
              <w:left w:val="nil"/>
              <w:bottom w:val="single" w:sz="4" w:space="0" w:color="000000"/>
              <w:right w:val="single" w:sz="4" w:space="0" w:color="000000"/>
            </w:tcBorders>
            <w:shd w:val="clear" w:color="auto" w:fill="auto"/>
            <w:vAlign w:val="center"/>
            <w:hideMark/>
          </w:tcPr>
          <w:p w14:paraId="30142E8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nivelet e vlerësimit të rezultateve në punë të nëpunësve civilë, metodologjinë e vlerësimit, si dhe procesin e vlerësimit, mbështetur në ndryshimet që pritet të miratohen në ligjin nr. 152/2013, të ndryshuar. Miratimi i këtij vendimi synon përmirësimin e procesit të vlerësimit të rezultateve në punë të nëpunësve civilë dhe lidhjen e këtij procesi me shpërblimin e tyre. Nëpërmjet miratimit të këtij projektvendimi VKM nr. 109/2014, i ndryshuar shfuqizohet. </w:t>
            </w:r>
          </w:p>
        </w:tc>
        <w:tc>
          <w:tcPr>
            <w:tcW w:w="349" w:type="pct"/>
            <w:tcBorders>
              <w:top w:val="nil"/>
              <w:left w:val="nil"/>
              <w:bottom w:val="single" w:sz="4" w:space="0" w:color="000000"/>
              <w:right w:val="single" w:sz="4" w:space="0" w:color="000000"/>
            </w:tcBorders>
            <w:shd w:val="clear" w:color="auto" w:fill="auto"/>
            <w:vAlign w:val="center"/>
            <w:hideMark/>
          </w:tcPr>
          <w:p w14:paraId="11498E1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4DDDDAA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531A3CF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30A2AD9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6BE996F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08CC6B3E"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658CBB2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14</w:t>
            </w:r>
          </w:p>
        </w:tc>
        <w:tc>
          <w:tcPr>
            <w:tcW w:w="691" w:type="pct"/>
            <w:tcBorders>
              <w:top w:val="nil"/>
              <w:left w:val="nil"/>
              <w:bottom w:val="single" w:sz="4" w:space="0" w:color="000000"/>
              <w:right w:val="single" w:sz="4" w:space="0" w:color="000000"/>
            </w:tcBorders>
            <w:shd w:val="clear" w:color="auto" w:fill="auto"/>
            <w:vAlign w:val="center"/>
            <w:hideMark/>
          </w:tcPr>
          <w:p w14:paraId="62F39F4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miratimin e procedurës për rikthimin e nëpunësve civilë në detyrë në zbatim të vendimit gjyqësor të formës së prerë </w:t>
            </w:r>
          </w:p>
        </w:tc>
        <w:tc>
          <w:tcPr>
            <w:tcW w:w="312" w:type="pct"/>
            <w:tcBorders>
              <w:top w:val="nil"/>
              <w:left w:val="nil"/>
              <w:bottom w:val="single" w:sz="4" w:space="0" w:color="000000"/>
              <w:right w:val="single" w:sz="4" w:space="0" w:color="000000"/>
            </w:tcBorders>
            <w:shd w:val="clear" w:color="auto" w:fill="auto"/>
            <w:noWrap/>
            <w:vAlign w:val="center"/>
            <w:hideMark/>
          </w:tcPr>
          <w:p w14:paraId="3731584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7B14898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5DEE371F"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16C589F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Detyrim që rrjedh nga ligji nr. 152/2013, i ndryshuar për t'u miratuar nga Këshilli i Ministrave procedura e rikthimit në detyrë të nëpunësve civilë në zbatim të vendimit gjyqësor të formës së prerë. </w:t>
            </w:r>
          </w:p>
        </w:tc>
        <w:tc>
          <w:tcPr>
            <w:tcW w:w="584" w:type="pct"/>
            <w:tcBorders>
              <w:top w:val="nil"/>
              <w:left w:val="nil"/>
              <w:bottom w:val="single" w:sz="4" w:space="0" w:color="000000"/>
              <w:right w:val="single" w:sz="4" w:space="0" w:color="000000"/>
            </w:tcBorders>
            <w:shd w:val="clear" w:color="auto" w:fill="auto"/>
            <w:vAlign w:val="center"/>
            <w:hideMark/>
          </w:tcPr>
          <w:p w14:paraId="334B6DB3"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miratimin e procedurës së zbatimit të vendimeve gjyqësore të formës së prerë për rikthimin e nëpunësve civilë në detyrë, duke plotësuar kështu bazën ligjore për këtë proces, mbështetur në ndryshimet që pritet të miratohen në ligjin nr. 152/2013, të ndryshuar dhe bazuar edhe në rekomandimet e lëna nga BE dhe raporti i SIGMA.</w:t>
            </w:r>
          </w:p>
        </w:tc>
        <w:tc>
          <w:tcPr>
            <w:tcW w:w="349" w:type="pct"/>
            <w:tcBorders>
              <w:top w:val="nil"/>
              <w:left w:val="nil"/>
              <w:bottom w:val="single" w:sz="4" w:space="0" w:color="000000"/>
              <w:right w:val="single" w:sz="4" w:space="0" w:color="000000"/>
            </w:tcBorders>
            <w:shd w:val="clear" w:color="auto" w:fill="auto"/>
            <w:vAlign w:val="center"/>
            <w:hideMark/>
          </w:tcPr>
          <w:p w14:paraId="6FBC4E1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260D591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691FCE2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04347F3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6D023587"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18A612BC"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253ACBE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15</w:t>
            </w:r>
          </w:p>
        </w:tc>
        <w:tc>
          <w:tcPr>
            <w:tcW w:w="691" w:type="pct"/>
            <w:tcBorders>
              <w:top w:val="nil"/>
              <w:left w:val="nil"/>
              <w:bottom w:val="single" w:sz="4" w:space="0" w:color="000000"/>
              <w:right w:val="single" w:sz="4" w:space="0" w:color="000000"/>
            </w:tcBorders>
            <w:shd w:val="clear" w:color="auto" w:fill="auto"/>
            <w:vAlign w:val="center"/>
            <w:hideMark/>
          </w:tcPr>
          <w:p w14:paraId="5BADB82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Për disa shtesa dhe ndryshime në vendimin nr. 833, datë 28.10.2020, të Këshillit të Ministrave, "Për rregullat e hollësishme për përmbajtjen, procedurën dhe administrimin e dosjeve të personelit e të Regjistrit Qendror të Personelit"</w:t>
            </w:r>
          </w:p>
        </w:tc>
        <w:tc>
          <w:tcPr>
            <w:tcW w:w="312" w:type="pct"/>
            <w:tcBorders>
              <w:top w:val="nil"/>
              <w:left w:val="nil"/>
              <w:bottom w:val="single" w:sz="4" w:space="0" w:color="000000"/>
              <w:right w:val="single" w:sz="4" w:space="0" w:color="000000"/>
            </w:tcBorders>
            <w:shd w:val="clear" w:color="auto" w:fill="auto"/>
            <w:noWrap/>
            <w:vAlign w:val="center"/>
            <w:hideMark/>
          </w:tcPr>
          <w:p w14:paraId="327EC2C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44041E5F"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6D0DEB90"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4A12F75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rregullat e mbajtjes së dosjes së personeli dhe si të administrimit të RQP</w:t>
            </w:r>
          </w:p>
        </w:tc>
        <w:tc>
          <w:tcPr>
            <w:tcW w:w="584" w:type="pct"/>
            <w:tcBorders>
              <w:top w:val="nil"/>
              <w:left w:val="nil"/>
              <w:bottom w:val="single" w:sz="4" w:space="0" w:color="000000"/>
              <w:right w:val="single" w:sz="4" w:space="0" w:color="000000"/>
            </w:tcBorders>
            <w:shd w:val="clear" w:color="auto" w:fill="auto"/>
            <w:vAlign w:val="center"/>
            <w:hideMark/>
          </w:tcPr>
          <w:p w14:paraId="54A77A2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disa përmirësime në përmbajtjen dhe mbajtjen e dosjes së personelit, si dhe të menaxhimit, përdorimit dhe vënies në funksion të plotë të Regjistrit Qendror të Personelit, mbështetur në ndryshimet që priten të miratohen në ligjin nr. 152/2013, të ndryshuar.</w:t>
            </w:r>
          </w:p>
        </w:tc>
        <w:tc>
          <w:tcPr>
            <w:tcW w:w="349" w:type="pct"/>
            <w:tcBorders>
              <w:top w:val="nil"/>
              <w:left w:val="nil"/>
              <w:bottom w:val="single" w:sz="4" w:space="0" w:color="000000"/>
              <w:right w:val="single" w:sz="4" w:space="0" w:color="000000"/>
            </w:tcBorders>
            <w:shd w:val="clear" w:color="auto" w:fill="auto"/>
            <w:vAlign w:val="center"/>
            <w:hideMark/>
          </w:tcPr>
          <w:p w14:paraId="38070BA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0157EB4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24EAC1B1"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5D15592D"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 nr. 472, datë 31.7.2025</w:t>
            </w:r>
            <w:r w:rsidRPr="00B6793F">
              <w:rPr>
                <w:rFonts w:ascii="Arial" w:eastAsia="Times New Roman" w:hAnsi="Arial" w:cs="Arial"/>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170AE95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3B6507E7"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36297A4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16</w:t>
            </w:r>
          </w:p>
        </w:tc>
        <w:tc>
          <w:tcPr>
            <w:tcW w:w="691" w:type="pct"/>
            <w:tcBorders>
              <w:top w:val="nil"/>
              <w:left w:val="nil"/>
              <w:bottom w:val="single" w:sz="4" w:space="0" w:color="000000"/>
              <w:right w:val="single" w:sz="4" w:space="0" w:color="000000"/>
            </w:tcBorders>
            <w:shd w:val="clear" w:color="auto" w:fill="auto"/>
            <w:vAlign w:val="center"/>
            <w:hideMark/>
          </w:tcPr>
          <w:p w14:paraId="7044062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shtesa dhe ndryshime në vendimin nr. 115, datë 05/03/2014, të Këshillit të Ministrave, "Për përcaktimin e procedurës disiplinore dhe të rregullave për përbërjen dhe vendimmarrjen në komisionin disiplinor në shërbimin civil" </w:t>
            </w:r>
          </w:p>
        </w:tc>
        <w:tc>
          <w:tcPr>
            <w:tcW w:w="312" w:type="pct"/>
            <w:tcBorders>
              <w:top w:val="nil"/>
              <w:left w:val="nil"/>
              <w:bottom w:val="single" w:sz="4" w:space="0" w:color="000000"/>
              <w:right w:val="single" w:sz="4" w:space="0" w:color="000000"/>
            </w:tcBorders>
            <w:shd w:val="clear" w:color="auto" w:fill="auto"/>
            <w:noWrap/>
            <w:vAlign w:val="center"/>
            <w:hideMark/>
          </w:tcPr>
          <w:p w14:paraId="7CACC747"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0B65E92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5FAE4878"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3C1F127D"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Detyrim që rrjedh nga ligji nr. 152/2013, i ndryshuar për t'u miratuar nga Këshilli i Ministrave rregullat dhe procedurat në lidhje me ecurinë disiplinore dhe komisionet disiplinore në shërbimin civil</w:t>
            </w:r>
          </w:p>
        </w:tc>
        <w:tc>
          <w:tcPr>
            <w:tcW w:w="584" w:type="pct"/>
            <w:tcBorders>
              <w:top w:val="nil"/>
              <w:left w:val="nil"/>
              <w:bottom w:val="single" w:sz="4" w:space="0" w:color="000000"/>
              <w:right w:val="single" w:sz="4" w:space="0" w:color="000000"/>
            </w:tcBorders>
            <w:shd w:val="clear" w:color="auto" w:fill="auto"/>
            <w:vAlign w:val="center"/>
            <w:hideMark/>
          </w:tcPr>
          <w:p w14:paraId="0F1518A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disa përmirësime në në procedurën e msave disiplinore dhe vendimmarrjen në komisionet disiplinore, mbështetur në ndryshimet që priten të miratohen në ligjin nr. 152/2013, të ndryshuar.</w:t>
            </w:r>
          </w:p>
        </w:tc>
        <w:tc>
          <w:tcPr>
            <w:tcW w:w="349" w:type="pct"/>
            <w:tcBorders>
              <w:top w:val="nil"/>
              <w:left w:val="nil"/>
              <w:bottom w:val="single" w:sz="4" w:space="0" w:color="000000"/>
              <w:right w:val="single" w:sz="4" w:space="0" w:color="000000"/>
            </w:tcBorders>
            <w:shd w:val="clear" w:color="auto" w:fill="auto"/>
            <w:vAlign w:val="center"/>
            <w:hideMark/>
          </w:tcPr>
          <w:p w14:paraId="375FB74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6E07EFB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4185460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30DB897A"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7135E37C"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6B7C849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2DED0C8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17</w:t>
            </w:r>
          </w:p>
        </w:tc>
        <w:tc>
          <w:tcPr>
            <w:tcW w:w="691" w:type="pct"/>
            <w:tcBorders>
              <w:top w:val="nil"/>
              <w:left w:val="nil"/>
              <w:bottom w:val="single" w:sz="4" w:space="0" w:color="000000"/>
              <w:right w:val="single" w:sz="4" w:space="0" w:color="000000"/>
            </w:tcBorders>
            <w:shd w:val="clear" w:color="auto" w:fill="auto"/>
            <w:vAlign w:val="center"/>
            <w:hideMark/>
          </w:tcPr>
          <w:p w14:paraId="7A054D55"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"Për disa shtesa dhe ndryshime në vendimin nr. 138, datë 12.3.2014, të Këshillit të Ministrave, "Për rregullat e organizimit e të funksionimit të Shkollës Shqiptare të Administratës Publike, trajnimin e nëpunësve civilë, si dhe të çdo individi tjetër jashtë shërbimit civil", i ndryshuar </w:t>
            </w:r>
          </w:p>
        </w:tc>
        <w:tc>
          <w:tcPr>
            <w:tcW w:w="312" w:type="pct"/>
            <w:tcBorders>
              <w:top w:val="nil"/>
              <w:left w:val="nil"/>
              <w:bottom w:val="single" w:sz="4" w:space="0" w:color="000000"/>
              <w:right w:val="single" w:sz="4" w:space="0" w:color="000000"/>
            </w:tcBorders>
            <w:shd w:val="clear" w:color="auto" w:fill="auto"/>
            <w:vAlign w:val="center"/>
            <w:hideMark/>
          </w:tcPr>
          <w:p w14:paraId="3874B6FB"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709C93D2"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41DFDAEC"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43DE5E7C"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Detyrim që rrjedh nga ligji nr. 152/2013, i ndryshuar për t'u miratuar nga Këshilli i Ministrave rregullat e organizimit dhe funksionimit të ASPA-s dhe çështjet në lidhjet me programet e trajnimet dhe trajnimin e nëpunësve të administratës publike dhe të çdo individi tjetër jashtë administratës publike</w:t>
            </w:r>
          </w:p>
        </w:tc>
        <w:tc>
          <w:tcPr>
            <w:tcW w:w="584" w:type="pct"/>
            <w:tcBorders>
              <w:top w:val="nil"/>
              <w:left w:val="nil"/>
              <w:bottom w:val="single" w:sz="4" w:space="0" w:color="000000"/>
              <w:right w:val="single" w:sz="4" w:space="0" w:color="000000"/>
            </w:tcBorders>
            <w:shd w:val="clear" w:color="auto" w:fill="auto"/>
            <w:vAlign w:val="center"/>
            <w:hideMark/>
          </w:tcPr>
          <w:p w14:paraId="44DB9137"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Projektvendimi synon disa përmirësime në nëlidhje me programet e trajnimit të ofruara nga ASPA, mbështetur në ndryshimet që priten të miratohen në ligjin nr. 152/2013, të ndryshuar.</w:t>
            </w:r>
          </w:p>
        </w:tc>
        <w:tc>
          <w:tcPr>
            <w:tcW w:w="349" w:type="pct"/>
            <w:tcBorders>
              <w:top w:val="nil"/>
              <w:left w:val="nil"/>
              <w:bottom w:val="single" w:sz="4" w:space="0" w:color="000000"/>
              <w:right w:val="single" w:sz="4" w:space="0" w:color="000000"/>
            </w:tcBorders>
            <w:shd w:val="clear" w:color="auto" w:fill="auto"/>
            <w:vAlign w:val="center"/>
            <w:hideMark/>
          </w:tcPr>
          <w:p w14:paraId="365EC079"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6C0AC576"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74462218"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4196F80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VKM nr. 472, datë 31.7.2025</w:t>
            </w:r>
            <w:r w:rsidRPr="00B6793F">
              <w:rPr>
                <w:rFonts w:ascii="Arial" w:eastAsia="Times New Roman" w:hAnsi="Arial" w:cs="Arial"/>
                <w:color w:val="000000"/>
                <w:sz w:val="8"/>
                <w:szCs w:val="8"/>
                <w:lang w:eastAsia="sq-AL"/>
              </w:rPr>
              <w:br/>
              <w:t>"Për miratimin e strategjisë ndërsektoriale të reformës në administratën publike 2025–2030, planit të veprimit 2025-2027 dhe pasaportës së treguesve"                                                                          VKM nr. 737, datë 13.12.2023, "Për miratimin e Udhërrefyesit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57B590B0"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r w:rsidR="008F45AE" w:rsidRPr="00B6793F" w14:paraId="4BC24BAB" w14:textId="77777777" w:rsidTr="008F45AE">
        <w:trPr>
          <w:gridAfter w:val="1"/>
          <w:wAfter w:w="5" w:type="pct"/>
          <w:trHeight w:val="180"/>
          <w:jc w:val="center"/>
        </w:trPr>
        <w:tc>
          <w:tcPr>
            <w:tcW w:w="141" w:type="pct"/>
            <w:tcBorders>
              <w:top w:val="nil"/>
              <w:left w:val="single" w:sz="4" w:space="0" w:color="000000"/>
              <w:bottom w:val="single" w:sz="4" w:space="0" w:color="000000"/>
              <w:right w:val="single" w:sz="4" w:space="0" w:color="000000"/>
            </w:tcBorders>
            <w:shd w:val="clear" w:color="auto" w:fill="auto"/>
            <w:vAlign w:val="center"/>
            <w:hideMark/>
          </w:tcPr>
          <w:p w14:paraId="22F811E4"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18</w:t>
            </w:r>
          </w:p>
        </w:tc>
        <w:tc>
          <w:tcPr>
            <w:tcW w:w="691" w:type="pct"/>
            <w:tcBorders>
              <w:top w:val="nil"/>
              <w:left w:val="nil"/>
              <w:bottom w:val="single" w:sz="4" w:space="0" w:color="000000"/>
              <w:right w:val="single" w:sz="4" w:space="0" w:color="000000"/>
            </w:tcBorders>
            <w:shd w:val="clear" w:color="auto" w:fill="auto"/>
            <w:vAlign w:val="center"/>
            <w:hideMark/>
          </w:tcPr>
          <w:p w14:paraId="21D31ABE"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Për punësimin e përkohshëm të studentëve të ekselencës në institucionet e administratës publike</w:t>
            </w:r>
          </w:p>
        </w:tc>
        <w:tc>
          <w:tcPr>
            <w:tcW w:w="312" w:type="pct"/>
            <w:tcBorders>
              <w:top w:val="nil"/>
              <w:left w:val="nil"/>
              <w:bottom w:val="single" w:sz="4" w:space="0" w:color="000000"/>
              <w:right w:val="single" w:sz="4" w:space="0" w:color="000000"/>
            </w:tcBorders>
            <w:shd w:val="clear" w:color="auto" w:fill="auto"/>
            <w:vAlign w:val="center"/>
            <w:hideMark/>
          </w:tcPr>
          <w:p w14:paraId="3AB5A65E"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Projektvendim</w:t>
            </w:r>
          </w:p>
        </w:tc>
        <w:tc>
          <w:tcPr>
            <w:tcW w:w="342" w:type="pct"/>
            <w:tcBorders>
              <w:top w:val="nil"/>
              <w:left w:val="nil"/>
              <w:bottom w:val="single" w:sz="4" w:space="0" w:color="000000"/>
              <w:right w:val="single" w:sz="4" w:space="0" w:color="000000"/>
            </w:tcBorders>
            <w:shd w:val="clear" w:color="auto" w:fill="auto"/>
            <w:vAlign w:val="center"/>
            <w:hideMark/>
          </w:tcPr>
          <w:p w14:paraId="65BC3897"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Ministri i Shtetit për Administratën Publike dhe Antikorrupsionin</w:t>
            </w:r>
          </w:p>
        </w:tc>
        <w:tc>
          <w:tcPr>
            <w:tcW w:w="288" w:type="pct"/>
            <w:tcBorders>
              <w:top w:val="nil"/>
              <w:left w:val="nil"/>
              <w:bottom w:val="single" w:sz="4" w:space="0" w:color="000000"/>
              <w:right w:val="single" w:sz="4" w:space="0" w:color="000000"/>
            </w:tcBorders>
            <w:shd w:val="clear" w:color="auto" w:fill="auto"/>
            <w:vAlign w:val="center"/>
            <w:hideMark/>
          </w:tcPr>
          <w:p w14:paraId="00D3EDE6" w14:textId="77777777" w:rsidR="008F45AE" w:rsidRPr="00B6793F" w:rsidRDefault="008F45AE" w:rsidP="008F45AE">
            <w:pPr>
              <w:spacing w:after="0" w:line="240" w:lineRule="auto"/>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Katërmujori III</w:t>
            </w:r>
          </w:p>
        </w:tc>
        <w:tc>
          <w:tcPr>
            <w:tcW w:w="824" w:type="pct"/>
            <w:tcBorders>
              <w:top w:val="nil"/>
              <w:left w:val="nil"/>
              <w:bottom w:val="single" w:sz="4" w:space="0" w:color="000000"/>
              <w:right w:val="single" w:sz="4" w:space="0" w:color="000000"/>
            </w:tcBorders>
            <w:shd w:val="clear" w:color="auto" w:fill="auto"/>
            <w:vAlign w:val="center"/>
            <w:hideMark/>
          </w:tcPr>
          <w:p w14:paraId="5D5A3964"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 xml:space="preserve">Detyrim që rrjedh nga ligji nr. 152/2013, i ndryshuar për t'u miratuar nga Këshilli i Ministrave rregullat dhe procedura e hollësishme për punësimin e studentëve të ekselencës </w:t>
            </w:r>
          </w:p>
        </w:tc>
        <w:tc>
          <w:tcPr>
            <w:tcW w:w="584" w:type="pct"/>
            <w:tcBorders>
              <w:top w:val="nil"/>
              <w:left w:val="nil"/>
              <w:bottom w:val="single" w:sz="4" w:space="0" w:color="000000"/>
              <w:right w:val="single" w:sz="4" w:space="0" w:color="000000"/>
            </w:tcBorders>
            <w:shd w:val="clear" w:color="auto" w:fill="auto"/>
            <w:vAlign w:val="center"/>
            <w:hideMark/>
          </w:tcPr>
          <w:p w14:paraId="69588AF1"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 xml:space="preserve">Projektvendimi propozon të miratojë procedrën dhe rregullat për krijimin e kushtet të nevojshme për punësimin e studentëve të ekselencës, në mënyrë që ata të kenë mundësi të krijojnë eksperienca të përshtatshme pune, me qëllim zhvillimin e karrierës së tyre të mëvonshme në administratën publike, mbështetur në ndryshimet që pritet të miratohen në ligjin nr. 152/2013, të ndryshuar. Nëpërmjet miratimit të këtij projektvendimi VKM nr. 586, datë 30.8.2019, shfuqizohet. </w:t>
            </w:r>
          </w:p>
        </w:tc>
        <w:tc>
          <w:tcPr>
            <w:tcW w:w="349" w:type="pct"/>
            <w:tcBorders>
              <w:top w:val="nil"/>
              <w:left w:val="nil"/>
              <w:bottom w:val="single" w:sz="4" w:space="0" w:color="000000"/>
              <w:right w:val="single" w:sz="4" w:space="0" w:color="000000"/>
            </w:tcBorders>
            <w:shd w:val="clear" w:color="auto" w:fill="auto"/>
            <w:vAlign w:val="center"/>
            <w:hideMark/>
          </w:tcPr>
          <w:p w14:paraId="04D72E26"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Themelorët/PAR</w:t>
            </w:r>
          </w:p>
        </w:tc>
        <w:tc>
          <w:tcPr>
            <w:tcW w:w="357" w:type="pct"/>
            <w:tcBorders>
              <w:top w:val="nil"/>
              <w:left w:val="nil"/>
              <w:bottom w:val="single" w:sz="4" w:space="0" w:color="000000"/>
              <w:right w:val="single" w:sz="4" w:space="0" w:color="000000"/>
            </w:tcBorders>
            <w:shd w:val="clear" w:color="auto" w:fill="auto"/>
            <w:vAlign w:val="center"/>
            <w:hideMark/>
          </w:tcPr>
          <w:p w14:paraId="4E121F2D"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1.3. Administrata Publike, Antikorrupsioni dhe Transparenca</w:t>
            </w:r>
          </w:p>
        </w:tc>
        <w:tc>
          <w:tcPr>
            <w:tcW w:w="267" w:type="pct"/>
            <w:tcBorders>
              <w:top w:val="nil"/>
              <w:left w:val="nil"/>
              <w:bottom w:val="single" w:sz="4" w:space="0" w:color="000000"/>
              <w:right w:val="single" w:sz="4" w:space="0" w:color="000000"/>
            </w:tcBorders>
            <w:shd w:val="clear" w:color="auto" w:fill="auto"/>
            <w:vAlign w:val="center"/>
            <w:hideMark/>
          </w:tcPr>
          <w:p w14:paraId="2842E41B"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Jo</w:t>
            </w:r>
          </w:p>
        </w:tc>
        <w:tc>
          <w:tcPr>
            <w:tcW w:w="395" w:type="pct"/>
            <w:tcBorders>
              <w:top w:val="nil"/>
              <w:left w:val="nil"/>
              <w:bottom w:val="single" w:sz="4" w:space="0" w:color="000000"/>
              <w:right w:val="single" w:sz="4" w:space="0" w:color="000000"/>
            </w:tcBorders>
            <w:shd w:val="clear" w:color="auto" w:fill="auto"/>
            <w:vAlign w:val="center"/>
            <w:hideMark/>
          </w:tcPr>
          <w:p w14:paraId="2935A2B9" w14:textId="77777777" w:rsidR="008F45AE" w:rsidRPr="00B6793F" w:rsidRDefault="008F45AE" w:rsidP="008F45AE">
            <w:pPr>
              <w:spacing w:after="0" w:line="240" w:lineRule="auto"/>
              <w:jc w:val="center"/>
              <w:rPr>
                <w:rFonts w:ascii="Arial" w:eastAsia="Times New Roman" w:hAnsi="Arial" w:cs="Arial"/>
                <w:sz w:val="8"/>
                <w:szCs w:val="8"/>
                <w:lang w:eastAsia="sq-AL"/>
              </w:rPr>
            </w:pPr>
            <w:r w:rsidRPr="00B6793F">
              <w:rPr>
                <w:rFonts w:ascii="Arial" w:eastAsia="Times New Roman" w:hAnsi="Arial" w:cs="Arial"/>
                <w:sz w:val="8"/>
                <w:szCs w:val="8"/>
                <w:lang w:eastAsia="sq-AL"/>
              </w:rPr>
              <w:t>VKM nr. 472, datë 31.7.2025</w:t>
            </w:r>
            <w:r w:rsidRPr="00B6793F">
              <w:rPr>
                <w:rFonts w:ascii="Arial" w:eastAsia="Times New Roman" w:hAnsi="Arial" w:cs="Arial"/>
                <w:sz w:val="8"/>
                <w:szCs w:val="8"/>
                <w:lang w:eastAsia="sq-AL"/>
              </w:rPr>
              <w:br/>
              <w:t>"Për miratimin e strategjisë ndërsektoriale të reformës në administratën publike 2025–2030, planit të veprimit 2025-2027 dhe pasaportës së treguesve"                                                                          VKM nr. 737, datë 13.12.2023, "Për miratimin e Udhërrefyësit për Reformën në Administratën Publike 2023-2030"</w:t>
            </w:r>
          </w:p>
        </w:tc>
        <w:tc>
          <w:tcPr>
            <w:tcW w:w="446" w:type="pct"/>
            <w:tcBorders>
              <w:top w:val="nil"/>
              <w:left w:val="nil"/>
              <w:bottom w:val="single" w:sz="4" w:space="0" w:color="000000"/>
              <w:right w:val="single" w:sz="4" w:space="0" w:color="000000"/>
            </w:tcBorders>
            <w:shd w:val="clear" w:color="auto" w:fill="auto"/>
            <w:noWrap/>
            <w:vAlign w:val="center"/>
            <w:hideMark/>
          </w:tcPr>
          <w:p w14:paraId="09B04E8E" w14:textId="77777777" w:rsidR="008F45AE" w:rsidRPr="00B6793F" w:rsidRDefault="008F45AE" w:rsidP="008F45AE">
            <w:pPr>
              <w:spacing w:after="0" w:line="240" w:lineRule="auto"/>
              <w:jc w:val="center"/>
              <w:rPr>
                <w:rFonts w:ascii="Arial" w:eastAsia="Times New Roman" w:hAnsi="Arial" w:cs="Arial"/>
                <w:color w:val="000000"/>
                <w:sz w:val="8"/>
                <w:szCs w:val="8"/>
                <w:lang w:eastAsia="sq-AL"/>
              </w:rPr>
            </w:pPr>
            <w:r w:rsidRPr="00B6793F">
              <w:rPr>
                <w:rFonts w:ascii="Arial" w:eastAsia="Times New Roman" w:hAnsi="Arial" w:cs="Arial"/>
                <w:color w:val="000000"/>
                <w:sz w:val="8"/>
                <w:szCs w:val="8"/>
                <w:lang w:eastAsia="sq-AL"/>
              </w:rPr>
              <w:t>Jo</w:t>
            </w:r>
          </w:p>
        </w:tc>
      </w:tr>
    </w:tbl>
    <w:p w14:paraId="0220D838" w14:textId="77777777" w:rsidR="008F45AE" w:rsidRPr="00B6793F" w:rsidRDefault="008F45AE" w:rsidP="00601267">
      <w:pPr>
        <w:spacing w:after="0" w:line="240" w:lineRule="auto"/>
        <w:ind w:firstLine="284"/>
        <w:jc w:val="center"/>
        <w:rPr>
          <w:rFonts w:ascii="Garamond" w:hAnsi="Garamond"/>
          <w:b/>
          <w:sz w:val="24"/>
        </w:rPr>
      </w:pPr>
    </w:p>
    <w:sectPr w:rsidR="008F45AE" w:rsidRPr="00B6793F" w:rsidSect="00AC5BDD">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C2E6F" w14:textId="77777777" w:rsidR="00B6793F" w:rsidRDefault="00B6793F" w:rsidP="00AD1976">
      <w:pPr>
        <w:spacing w:after="0" w:line="240" w:lineRule="auto"/>
      </w:pPr>
      <w:r>
        <w:separator/>
      </w:r>
    </w:p>
  </w:endnote>
  <w:endnote w:type="continuationSeparator" w:id="0">
    <w:p w14:paraId="6BD1B8D9" w14:textId="77777777" w:rsidR="00B6793F" w:rsidRDefault="00B6793F" w:rsidP="00AD1976">
      <w:pPr>
        <w:spacing w:after="0" w:line="240" w:lineRule="auto"/>
      </w:pPr>
      <w:r>
        <w:continuationSeparator/>
      </w:r>
    </w:p>
  </w:endnote>
  <w:endnote w:type="continuationNotice" w:id="1">
    <w:p w14:paraId="024F2DA1" w14:textId="77777777" w:rsidR="00AC7DB1" w:rsidRDefault="00AC7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6F426" w14:textId="77777777" w:rsidR="00B6793F" w:rsidRDefault="00B6793F" w:rsidP="00AD1976">
      <w:pPr>
        <w:spacing w:after="0" w:line="240" w:lineRule="auto"/>
      </w:pPr>
      <w:r>
        <w:separator/>
      </w:r>
    </w:p>
  </w:footnote>
  <w:footnote w:type="continuationSeparator" w:id="0">
    <w:p w14:paraId="435C8AE6" w14:textId="77777777" w:rsidR="00B6793F" w:rsidRDefault="00B6793F" w:rsidP="00AD1976">
      <w:pPr>
        <w:spacing w:after="0" w:line="240" w:lineRule="auto"/>
      </w:pPr>
      <w:r>
        <w:continuationSeparator/>
      </w:r>
    </w:p>
  </w:footnote>
  <w:footnote w:type="continuationNotice" w:id="1">
    <w:p w14:paraId="39D0F136" w14:textId="77777777" w:rsidR="00AC7DB1" w:rsidRDefault="00AC7D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GrammaticalErrors/>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89A"/>
    <w:rsid w:val="000E0324"/>
    <w:rsid w:val="00251F00"/>
    <w:rsid w:val="002601B7"/>
    <w:rsid w:val="00260EFF"/>
    <w:rsid w:val="00293A4B"/>
    <w:rsid w:val="002E1DE3"/>
    <w:rsid w:val="00350C6B"/>
    <w:rsid w:val="00376794"/>
    <w:rsid w:val="00386E15"/>
    <w:rsid w:val="003C1912"/>
    <w:rsid w:val="003F60B9"/>
    <w:rsid w:val="003F76CB"/>
    <w:rsid w:val="004C7CDB"/>
    <w:rsid w:val="00565A95"/>
    <w:rsid w:val="00601267"/>
    <w:rsid w:val="00601C10"/>
    <w:rsid w:val="006A42A4"/>
    <w:rsid w:val="006A689A"/>
    <w:rsid w:val="006A7673"/>
    <w:rsid w:val="00716217"/>
    <w:rsid w:val="00723C7D"/>
    <w:rsid w:val="00735FB7"/>
    <w:rsid w:val="007B55B4"/>
    <w:rsid w:val="007C778E"/>
    <w:rsid w:val="00805898"/>
    <w:rsid w:val="008679C7"/>
    <w:rsid w:val="008907F7"/>
    <w:rsid w:val="008A5624"/>
    <w:rsid w:val="008A575E"/>
    <w:rsid w:val="008F45AE"/>
    <w:rsid w:val="0096393A"/>
    <w:rsid w:val="00973AA3"/>
    <w:rsid w:val="009D47DA"/>
    <w:rsid w:val="009F5EE2"/>
    <w:rsid w:val="00A12A77"/>
    <w:rsid w:val="00A53D1E"/>
    <w:rsid w:val="00AC5BDD"/>
    <w:rsid w:val="00AC7DB1"/>
    <w:rsid w:val="00AD1976"/>
    <w:rsid w:val="00AE0340"/>
    <w:rsid w:val="00B06A7D"/>
    <w:rsid w:val="00B219B3"/>
    <w:rsid w:val="00B6793F"/>
    <w:rsid w:val="00B76D08"/>
    <w:rsid w:val="00BF4C32"/>
    <w:rsid w:val="00C46D19"/>
    <w:rsid w:val="00C87014"/>
    <w:rsid w:val="00CD184D"/>
    <w:rsid w:val="00CE3C96"/>
    <w:rsid w:val="00D34058"/>
    <w:rsid w:val="00D363B0"/>
    <w:rsid w:val="00DA36B8"/>
    <w:rsid w:val="00DC3C27"/>
    <w:rsid w:val="00DE4A77"/>
    <w:rsid w:val="00E41B62"/>
    <w:rsid w:val="00E57538"/>
    <w:rsid w:val="00EA0173"/>
    <w:rsid w:val="00EC32DC"/>
    <w:rsid w:val="00F5649B"/>
    <w:rsid w:val="00F930D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54EA"/>
  <w15:chartTrackingRefBased/>
  <w15:docId w15:val="{7EE7A219-D66E-4F56-A447-3E230116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5BDD"/>
    <w:rPr>
      <w:color w:val="467886"/>
      <w:u w:val="single"/>
    </w:rPr>
  </w:style>
  <w:style w:type="paragraph" w:styleId="Header">
    <w:name w:val="header"/>
    <w:basedOn w:val="Normal"/>
    <w:link w:val="HeaderChar"/>
    <w:uiPriority w:val="99"/>
    <w:unhideWhenUsed/>
    <w:rsid w:val="00AD1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976"/>
  </w:style>
  <w:style w:type="paragraph" w:styleId="Footer">
    <w:name w:val="footer"/>
    <w:basedOn w:val="Normal"/>
    <w:link w:val="FooterChar"/>
    <w:uiPriority w:val="99"/>
    <w:unhideWhenUsed/>
    <w:rsid w:val="00AD1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55621">
      <w:bodyDiv w:val="1"/>
      <w:marLeft w:val="0"/>
      <w:marRight w:val="0"/>
      <w:marTop w:val="0"/>
      <w:marBottom w:val="0"/>
      <w:divBdr>
        <w:top w:val="none" w:sz="0" w:space="0" w:color="auto"/>
        <w:left w:val="none" w:sz="0" w:space="0" w:color="auto"/>
        <w:bottom w:val="none" w:sz="0" w:space="0" w:color="auto"/>
        <w:right w:val="none" w:sz="0" w:space="0" w:color="auto"/>
      </w:divBdr>
    </w:div>
    <w:div w:id="660619293">
      <w:bodyDiv w:val="1"/>
      <w:marLeft w:val="0"/>
      <w:marRight w:val="0"/>
      <w:marTop w:val="0"/>
      <w:marBottom w:val="0"/>
      <w:divBdr>
        <w:top w:val="none" w:sz="0" w:space="0" w:color="auto"/>
        <w:left w:val="none" w:sz="0" w:space="0" w:color="auto"/>
        <w:bottom w:val="none" w:sz="0" w:space="0" w:color="auto"/>
        <w:right w:val="none" w:sz="0" w:space="0" w:color="auto"/>
      </w:divBdr>
    </w:div>
    <w:div w:id="732317308">
      <w:bodyDiv w:val="1"/>
      <w:marLeft w:val="0"/>
      <w:marRight w:val="0"/>
      <w:marTop w:val="0"/>
      <w:marBottom w:val="0"/>
      <w:divBdr>
        <w:top w:val="none" w:sz="0" w:space="0" w:color="auto"/>
        <w:left w:val="none" w:sz="0" w:space="0" w:color="auto"/>
        <w:bottom w:val="none" w:sz="0" w:space="0" w:color="auto"/>
        <w:right w:val="none" w:sz="0" w:space="0" w:color="auto"/>
      </w:divBdr>
    </w:div>
    <w:div w:id="872839642">
      <w:bodyDiv w:val="1"/>
      <w:marLeft w:val="0"/>
      <w:marRight w:val="0"/>
      <w:marTop w:val="0"/>
      <w:marBottom w:val="0"/>
      <w:divBdr>
        <w:top w:val="none" w:sz="0" w:space="0" w:color="auto"/>
        <w:left w:val="none" w:sz="0" w:space="0" w:color="auto"/>
        <w:bottom w:val="none" w:sz="0" w:space="0" w:color="auto"/>
        <w:right w:val="none" w:sz="0" w:space="0" w:color="auto"/>
      </w:divBdr>
    </w:div>
    <w:div w:id="1026908352">
      <w:bodyDiv w:val="1"/>
      <w:marLeft w:val="0"/>
      <w:marRight w:val="0"/>
      <w:marTop w:val="0"/>
      <w:marBottom w:val="0"/>
      <w:divBdr>
        <w:top w:val="none" w:sz="0" w:space="0" w:color="auto"/>
        <w:left w:val="none" w:sz="0" w:space="0" w:color="auto"/>
        <w:bottom w:val="none" w:sz="0" w:space="0" w:color="auto"/>
        <w:right w:val="none" w:sz="0" w:space="0" w:color="auto"/>
      </w:divBdr>
    </w:div>
    <w:div w:id="1062562197">
      <w:bodyDiv w:val="1"/>
      <w:marLeft w:val="0"/>
      <w:marRight w:val="0"/>
      <w:marTop w:val="0"/>
      <w:marBottom w:val="0"/>
      <w:divBdr>
        <w:top w:val="none" w:sz="0" w:space="0" w:color="auto"/>
        <w:left w:val="none" w:sz="0" w:space="0" w:color="auto"/>
        <w:bottom w:val="none" w:sz="0" w:space="0" w:color="auto"/>
        <w:right w:val="none" w:sz="0" w:space="0" w:color="auto"/>
      </w:divBdr>
    </w:div>
    <w:div w:id="1078747841">
      <w:bodyDiv w:val="1"/>
      <w:marLeft w:val="0"/>
      <w:marRight w:val="0"/>
      <w:marTop w:val="0"/>
      <w:marBottom w:val="0"/>
      <w:divBdr>
        <w:top w:val="none" w:sz="0" w:space="0" w:color="auto"/>
        <w:left w:val="none" w:sz="0" w:space="0" w:color="auto"/>
        <w:bottom w:val="none" w:sz="0" w:space="0" w:color="auto"/>
        <w:right w:val="none" w:sz="0" w:space="0" w:color="auto"/>
      </w:divBdr>
    </w:div>
    <w:div w:id="1122457149">
      <w:bodyDiv w:val="1"/>
      <w:marLeft w:val="0"/>
      <w:marRight w:val="0"/>
      <w:marTop w:val="0"/>
      <w:marBottom w:val="0"/>
      <w:divBdr>
        <w:top w:val="none" w:sz="0" w:space="0" w:color="auto"/>
        <w:left w:val="none" w:sz="0" w:space="0" w:color="auto"/>
        <w:bottom w:val="none" w:sz="0" w:space="0" w:color="auto"/>
        <w:right w:val="none" w:sz="0" w:space="0" w:color="auto"/>
      </w:divBdr>
    </w:div>
    <w:div w:id="1123503164">
      <w:bodyDiv w:val="1"/>
      <w:marLeft w:val="0"/>
      <w:marRight w:val="0"/>
      <w:marTop w:val="0"/>
      <w:marBottom w:val="0"/>
      <w:divBdr>
        <w:top w:val="none" w:sz="0" w:space="0" w:color="auto"/>
        <w:left w:val="none" w:sz="0" w:space="0" w:color="auto"/>
        <w:bottom w:val="none" w:sz="0" w:space="0" w:color="auto"/>
        <w:right w:val="none" w:sz="0" w:space="0" w:color="auto"/>
      </w:divBdr>
    </w:div>
    <w:div w:id="1314409837">
      <w:bodyDiv w:val="1"/>
      <w:marLeft w:val="0"/>
      <w:marRight w:val="0"/>
      <w:marTop w:val="0"/>
      <w:marBottom w:val="0"/>
      <w:divBdr>
        <w:top w:val="none" w:sz="0" w:space="0" w:color="auto"/>
        <w:left w:val="none" w:sz="0" w:space="0" w:color="auto"/>
        <w:bottom w:val="none" w:sz="0" w:space="0" w:color="auto"/>
        <w:right w:val="none" w:sz="0" w:space="0" w:color="auto"/>
      </w:divBdr>
    </w:div>
    <w:div w:id="1366566444">
      <w:bodyDiv w:val="1"/>
      <w:marLeft w:val="0"/>
      <w:marRight w:val="0"/>
      <w:marTop w:val="0"/>
      <w:marBottom w:val="0"/>
      <w:divBdr>
        <w:top w:val="none" w:sz="0" w:space="0" w:color="auto"/>
        <w:left w:val="none" w:sz="0" w:space="0" w:color="auto"/>
        <w:bottom w:val="none" w:sz="0" w:space="0" w:color="auto"/>
        <w:right w:val="none" w:sz="0" w:space="0" w:color="auto"/>
      </w:divBdr>
    </w:div>
    <w:div w:id="1591230903">
      <w:bodyDiv w:val="1"/>
      <w:marLeft w:val="0"/>
      <w:marRight w:val="0"/>
      <w:marTop w:val="0"/>
      <w:marBottom w:val="0"/>
      <w:divBdr>
        <w:top w:val="none" w:sz="0" w:space="0" w:color="auto"/>
        <w:left w:val="none" w:sz="0" w:space="0" w:color="auto"/>
        <w:bottom w:val="none" w:sz="0" w:space="0" w:color="auto"/>
        <w:right w:val="none" w:sz="0" w:space="0" w:color="auto"/>
      </w:divBdr>
    </w:div>
    <w:div w:id="1881168466">
      <w:bodyDiv w:val="1"/>
      <w:marLeft w:val="0"/>
      <w:marRight w:val="0"/>
      <w:marTop w:val="0"/>
      <w:marBottom w:val="0"/>
      <w:divBdr>
        <w:top w:val="none" w:sz="0" w:space="0" w:color="auto"/>
        <w:left w:val="none" w:sz="0" w:space="0" w:color="auto"/>
        <w:bottom w:val="none" w:sz="0" w:space="0" w:color="auto"/>
        <w:right w:val="none" w:sz="0" w:space="0" w:color="auto"/>
      </w:divBdr>
    </w:div>
    <w:div w:id="1956133318">
      <w:bodyDiv w:val="1"/>
      <w:marLeft w:val="0"/>
      <w:marRight w:val="0"/>
      <w:marTop w:val="0"/>
      <w:marBottom w:val="0"/>
      <w:divBdr>
        <w:top w:val="none" w:sz="0" w:space="0" w:color="auto"/>
        <w:left w:val="none" w:sz="0" w:space="0" w:color="auto"/>
        <w:bottom w:val="none" w:sz="0" w:space="0" w:color="auto"/>
        <w:right w:val="none" w:sz="0" w:space="0" w:color="auto"/>
      </w:divBdr>
    </w:div>
    <w:div w:id="213393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ur-lex.europa.eu/eli/reg/2024/1689/oj/e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812</Nr_x002e__x0020_akti>
    <Data_x0020_e_x0020_Krijimit xmlns="0e656187-b300-4fb0-8bf4-3a50f872073c">2026-01-05T10:41:44Z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Për miratimin e programit të përgjithshëm analitik  të projektakteve, që do të paraqiten për shqyrtim  në Këshillin e Ministrave gjatë vitit 2026</Titulli>
    <Modifikuesi xmlns="0e656187-b300-4fb0-8bf4-3a50f872073c">Etlevahaxhia</Modifikuesi>
    <Nr_x002e__x0020_prot_x0020_QBZ xmlns="0e656187-b300-4fb0-8bf4-3a50f872073c">2270</Nr_x002e__x0020_prot_x0020_QBZ>
    <Data_x0020_e_x0020_Modifikimit xmlns="0e656187-b300-4fb0-8bf4-3a50f872073c">2026-01-05T12:08:06Z</Data_x0020_e_x0020_Modifikimit>
    <Dekretuar xmlns="0e656187-b300-4fb0-8bf4-3a50f872073c">false</Dekretuar>
    <Data xmlns="0e656187-b300-4fb0-8bf4-3a50f872073c">2025-12-30T00:00:00Z</Data>
    <Nr_x002e__x0020_protokolli_x0020_i_x0020_aktit xmlns="0e656187-b300-4fb0-8bf4-3a50f872073c">6359/3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443066E9AEE4511AB7B8150EF7C69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443066E9AEE4511AB7B8150EF7C69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9EB22AE-A3BE-49A1-9B72-2F76DF1890B4}">
  <ds:schemaRefs>
    <ds:schemaRef ds:uri="http://schemas.microsoft.com/office/2006/metadata/properties"/>
    <ds:schemaRef ds:uri="http://www.w3.org/XML/1998/namespace"/>
    <ds:schemaRef ds:uri="http://purl.org/dc/dcmitype/"/>
    <ds:schemaRef ds:uri="http://schemas.microsoft.com/office/2006/documentManagement/types"/>
    <ds:schemaRef ds:uri="0e656187-b300-4fb0-8bf4-3a50f872073c"/>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E7D91444-B2F0-4111-92DC-597BA95E16DA}">
  <ds:schemaRefs>
    <ds:schemaRef ds:uri="http://schemas.microsoft.com/sharepoint/v3/contenttype/forms"/>
  </ds:schemaRefs>
</ds:datastoreItem>
</file>

<file path=customXml/itemProps3.xml><?xml version="1.0" encoding="utf-8"?>
<ds:datastoreItem xmlns:ds="http://schemas.openxmlformats.org/officeDocument/2006/customXml" ds:itemID="{790D9C46-3D64-4EEA-9439-211FA14E3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73DCCB-6547-49AD-ACCD-29671655DB1C}">
  <ds:schemaRefs>
    <ds:schemaRef ds:uri="http://schemas.microsoft.com/sharepoint/v3/contenttype/forms"/>
  </ds:schemaRefs>
</ds:datastoreItem>
</file>

<file path=customXml/itemProps5.xml><?xml version="1.0" encoding="utf-8"?>
<ds:datastoreItem xmlns:ds="http://schemas.openxmlformats.org/officeDocument/2006/customXml" ds:itemID="{D02B24A1-B323-4246-A317-31FF1E7D4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33</Pages>
  <Words>55599</Words>
  <Characters>316920</Characters>
  <Application>Microsoft Office Word</Application>
  <DocSecurity>0</DocSecurity>
  <Lines>2641</Lines>
  <Paragraphs>743</Paragraphs>
  <ScaleCrop>false</ScaleCrop>
  <HeadingPairs>
    <vt:vector size="2" baseType="variant">
      <vt:variant>
        <vt:lpstr>Title</vt:lpstr>
      </vt:variant>
      <vt:variant>
        <vt:i4>1</vt:i4>
      </vt:variant>
    </vt:vector>
  </HeadingPairs>
  <TitlesOfParts>
    <vt:vector size="1" baseType="lpstr">
      <vt:lpstr>Për miratimin e programit të përgjithshëm analitik të projektakteve, që do të paraqiten për shqyrtim në Këshillin e Ministrave gjatë vitit 2026</vt:lpstr>
    </vt:vector>
  </TitlesOfParts>
  <Company/>
  <LinksUpToDate>false</LinksUpToDate>
  <CharactersWithSpaces>371776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përgjithshëm analitik të projektakteve, që do të paraqiten për shqyrtim në Këshillin e Ministrave gjatë vitit 2026</dc:title>
  <dc:creator>Entela Suli</dc:creator>
  <cp:lastModifiedBy>Alma Lisaku</cp:lastModifiedBy>
  <cp:revision>37</cp:revision>
  <dcterms:created xsi:type="dcterms:W3CDTF">2026-01-05T09:48:00Z</dcterms:created>
  <dcterms:modified xsi:type="dcterms:W3CDTF">2026-01-05T13:15:00Z</dcterms:modified>
</cp:coreProperties>
</file>