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F1F2C" w14:textId="77777777" w:rsidR="00735BDA" w:rsidRPr="00A91A37" w:rsidRDefault="00735BDA" w:rsidP="00735BDA">
      <w:pPr>
        <w:keepNext/>
        <w:ind w:firstLine="284"/>
        <w:jc w:val="center"/>
        <w:rPr>
          <w:b/>
          <w:bCs/>
          <w:sz w:val="24"/>
          <w:szCs w:val="24"/>
          <w:lang w:val="sq-AL"/>
        </w:rPr>
      </w:pPr>
      <w:r w:rsidRPr="00A91A37">
        <w:rPr>
          <w:b/>
          <w:bCs/>
          <w:sz w:val="24"/>
          <w:szCs w:val="24"/>
          <w:lang w:val="sq-AL"/>
        </w:rPr>
        <w:t>VENDIM</w:t>
      </w:r>
    </w:p>
    <w:p w14:paraId="479F1F2D" w14:textId="376FBBCE" w:rsidR="00735BDA" w:rsidRPr="00A91A37" w:rsidRDefault="00735BDA" w:rsidP="00735BDA">
      <w:pPr>
        <w:ind w:firstLine="284"/>
        <w:jc w:val="center"/>
        <w:rPr>
          <w:b/>
          <w:bCs/>
          <w:sz w:val="24"/>
          <w:szCs w:val="24"/>
          <w:lang w:val="sq-AL"/>
        </w:rPr>
      </w:pPr>
      <w:r w:rsidRPr="00A91A37">
        <w:rPr>
          <w:b/>
          <w:bCs/>
          <w:sz w:val="24"/>
          <w:szCs w:val="24"/>
          <w:lang w:val="sq-AL"/>
        </w:rPr>
        <w:t>Nr.</w:t>
      </w:r>
      <w:r w:rsidR="00A91A37" w:rsidRPr="00A91A37">
        <w:rPr>
          <w:b/>
          <w:bCs/>
          <w:sz w:val="24"/>
          <w:szCs w:val="24"/>
          <w:lang w:val="sq-AL"/>
        </w:rPr>
        <w:t xml:space="preserve"> </w:t>
      </w:r>
      <w:r w:rsidRPr="00A91A37">
        <w:rPr>
          <w:b/>
          <w:bCs/>
          <w:sz w:val="24"/>
          <w:szCs w:val="24"/>
          <w:lang w:val="sq-AL"/>
        </w:rPr>
        <w:t>833, datë 30.12.2025</w:t>
      </w:r>
    </w:p>
    <w:p w14:paraId="479F1F2E" w14:textId="77777777" w:rsidR="00735BDA" w:rsidRPr="00A91A37" w:rsidRDefault="00735BDA" w:rsidP="00735BDA">
      <w:pPr>
        <w:ind w:firstLine="284"/>
        <w:jc w:val="center"/>
        <w:rPr>
          <w:sz w:val="24"/>
          <w:szCs w:val="24"/>
          <w:lang w:val="sq-AL"/>
        </w:rPr>
      </w:pPr>
    </w:p>
    <w:p w14:paraId="479F1F2F" w14:textId="7E77FCA8" w:rsidR="00735BDA" w:rsidRPr="00A91A37" w:rsidRDefault="00735BDA" w:rsidP="00735BDA">
      <w:pPr>
        <w:ind w:firstLine="284"/>
        <w:jc w:val="center"/>
        <w:rPr>
          <w:b/>
          <w:bCs/>
          <w:sz w:val="24"/>
          <w:szCs w:val="24"/>
          <w:lang w:val="sq-AL"/>
        </w:rPr>
      </w:pPr>
      <w:r w:rsidRPr="00A91A37">
        <w:rPr>
          <w:b/>
          <w:bCs/>
          <w:sz w:val="24"/>
          <w:szCs w:val="24"/>
          <w:lang w:val="sq-AL"/>
        </w:rPr>
        <w:t xml:space="preserve">PËR MIRATIMIN E </w:t>
      </w:r>
      <w:r w:rsidRPr="00A91A37">
        <w:rPr>
          <w:b/>
          <w:bCs/>
          <w:caps/>
          <w:sz w:val="24"/>
          <w:szCs w:val="24"/>
          <w:lang w:val="sq-AL"/>
        </w:rPr>
        <w:t>STANDARDEVE E TË KRITEREVE që mundësojnë</w:t>
      </w:r>
      <w:r w:rsidR="00A91A37" w:rsidRPr="00A91A37">
        <w:rPr>
          <w:b/>
          <w:bCs/>
          <w:caps/>
          <w:sz w:val="24"/>
          <w:szCs w:val="24"/>
          <w:lang w:val="sq-AL"/>
        </w:rPr>
        <w:t xml:space="preserve"> </w:t>
      </w:r>
      <w:r w:rsidRPr="00A91A37">
        <w:rPr>
          <w:b/>
          <w:bCs/>
          <w:caps/>
          <w:sz w:val="24"/>
          <w:szCs w:val="24"/>
          <w:lang w:val="sq-AL"/>
        </w:rPr>
        <w:t>ZBATIMIN E PARIMIT T</w:t>
      </w:r>
      <w:r w:rsidRPr="00A91A37">
        <w:rPr>
          <w:b/>
          <w:bCs/>
          <w:sz w:val="24"/>
          <w:szCs w:val="24"/>
          <w:lang w:val="sq-AL"/>
        </w:rPr>
        <w:t>Ë</w:t>
      </w:r>
      <w:r w:rsidRPr="00A91A37">
        <w:rPr>
          <w:b/>
          <w:bCs/>
          <w:caps/>
          <w:sz w:val="24"/>
          <w:szCs w:val="24"/>
          <w:lang w:val="sq-AL"/>
        </w:rPr>
        <w:t xml:space="preserve"> SHKENC</w:t>
      </w:r>
      <w:r w:rsidRPr="00A91A37">
        <w:rPr>
          <w:b/>
          <w:bCs/>
          <w:sz w:val="24"/>
          <w:szCs w:val="24"/>
          <w:lang w:val="sq-AL"/>
        </w:rPr>
        <w:t>Ë</w:t>
      </w:r>
      <w:r w:rsidRPr="00A91A37">
        <w:rPr>
          <w:b/>
          <w:bCs/>
          <w:caps/>
          <w:sz w:val="24"/>
          <w:szCs w:val="24"/>
          <w:lang w:val="sq-AL"/>
        </w:rPr>
        <w:t>S S</w:t>
      </w:r>
      <w:r w:rsidRPr="00A91A37">
        <w:rPr>
          <w:b/>
          <w:bCs/>
          <w:sz w:val="24"/>
          <w:szCs w:val="24"/>
          <w:lang w:val="sq-AL"/>
        </w:rPr>
        <w:t>Ë</w:t>
      </w:r>
      <w:r w:rsidRPr="00A91A37">
        <w:rPr>
          <w:b/>
          <w:bCs/>
          <w:caps/>
          <w:sz w:val="24"/>
          <w:szCs w:val="24"/>
          <w:lang w:val="sq-AL"/>
        </w:rPr>
        <w:t xml:space="preserve"> HAPUR dhe janë në përputhje me politikat e zonës evropiane të kërkimit</w:t>
      </w:r>
    </w:p>
    <w:p w14:paraId="479F1F30" w14:textId="7F7F623A" w:rsidR="00735BDA" w:rsidRPr="00D804AE" w:rsidRDefault="00D804AE" w:rsidP="00D804AE">
      <w:pPr>
        <w:pStyle w:val="Paragrafi"/>
        <w:ind w:firstLine="284"/>
        <w:jc w:val="center"/>
        <w:rPr>
          <w:rFonts w:ascii="Garamond" w:hAnsi="Garamond"/>
          <w:bCs/>
          <w:i/>
          <w:caps/>
          <w:sz w:val="24"/>
          <w:szCs w:val="24"/>
          <w:lang w:val="sq-AL"/>
        </w:rPr>
      </w:pPr>
      <w:r>
        <w:rPr>
          <w:rFonts w:ascii="Garamond" w:hAnsi="Garamond"/>
          <w:bCs/>
          <w:i/>
          <w:sz w:val="24"/>
          <w:szCs w:val="24"/>
          <w:lang w:val="sq-AL"/>
        </w:rPr>
        <w:t>(N</w:t>
      </w:r>
      <w:r w:rsidRPr="00D804AE">
        <w:rPr>
          <w:rFonts w:ascii="Garamond" w:hAnsi="Garamond"/>
          <w:bCs/>
          <w:i/>
          <w:sz w:val="24"/>
          <w:szCs w:val="24"/>
          <w:lang w:val="sq-AL"/>
        </w:rPr>
        <w:t>dryshuar me VKM</w:t>
      </w:r>
      <w:r>
        <w:rPr>
          <w:rFonts w:ascii="Garamond" w:hAnsi="Garamond"/>
          <w:bCs/>
          <w:i/>
          <w:sz w:val="24"/>
          <w:szCs w:val="24"/>
          <w:lang w:val="sq-AL"/>
        </w:rPr>
        <w:t xml:space="preserve"> nr. 309, datë 29.4.</w:t>
      </w:r>
      <w:r w:rsidRPr="00D804AE">
        <w:rPr>
          <w:rFonts w:ascii="Garamond" w:hAnsi="Garamond"/>
          <w:bCs/>
          <w:i/>
          <w:sz w:val="24"/>
          <w:szCs w:val="24"/>
          <w:lang w:val="sq-AL"/>
        </w:rPr>
        <w:t>2026)</w:t>
      </w:r>
    </w:p>
    <w:p w14:paraId="5E8772C3" w14:textId="5A1F0BBA" w:rsidR="00D804AE" w:rsidRPr="00D804AE" w:rsidRDefault="00D804AE" w:rsidP="00D804AE">
      <w:pPr>
        <w:pStyle w:val="Paragrafi"/>
        <w:ind w:firstLine="284"/>
        <w:jc w:val="right"/>
        <w:rPr>
          <w:rFonts w:ascii="Garamond" w:hAnsi="Garamond"/>
          <w:bCs/>
          <w:i/>
          <w:caps/>
          <w:sz w:val="24"/>
          <w:szCs w:val="24"/>
          <w:lang w:val="sq-AL"/>
        </w:rPr>
      </w:pPr>
      <w:r w:rsidRPr="00D804AE">
        <w:rPr>
          <w:rFonts w:ascii="Garamond" w:hAnsi="Garamond"/>
          <w:bCs/>
          <w:i/>
          <w:sz w:val="24"/>
          <w:szCs w:val="24"/>
          <w:lang w:val="sq-AL"/>
        </w:rPr>
        <w:t>(i përditësuar)</w:t>
      </w:r>
    </w:p>
    <w:p w14:paraId="086F7CC5" w14:textId="77777777" w:rsidR="00D804AE" w:rsidRPr="00D804AE" w:rsidRDefault="00D804AE" w:rsidP="00D804AE">
      <w:pPr>
        <w:pStyle w:val="Paragrafi"/>
        <w:ind w:firstLine="284"/>
        <w:jc w:val="center"/>
        <w:rPr>
          <w:rFonts w:ascii="Garamond" w:hAnsi="Garamond"/>
          <w:bCs/>
          <w:i/>
          <w:caps/>
          <w:sz w:val="24"/>
          <w:szCs w:val="24"/>
          <w:lang w:val="sq-AL"/>
        </w:rPr>
      </w:pPr>
    </w:p>
    <w:p w14:paraId="479F1F31" w14:textId="6D96DF4D"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Në mbështetje të nenit 100 të Kushtetutës dhe të pikës 6, të nenit 5, të ligjit nr.</w:t>
      </w:r>
      <w:r w:rsidR="00AD2963">
        <w:rPr>
          <w:rFonts w:ascii="Garamond" w:hAnsi="Garamond"/>
          <w:sz w:val="24"/>
          <w:szCs w:val="24"/>
          <w:lang w:val="sq-AL"/>
        </w:rPr>
        <w:t xml:space="preserve"> </w:t>
      </w:r>
      <w:r w:rsidRPr="00A91A37">
        <w:rPr>
          <w:rFonts w:ascii="Garamond" w:hAnsi="Garamond"/>
          <w:sz w:val="24"/>
          <w:szCs w:val="24"/>
          <w:lang w:val="sq-AL"/>
        </w:rPr>
        <w:t>109/2024, “Për shkencën dhe kërkimin shkencor në Republikën e Shqipërisë”, me propozimin e ministrit të Arsimit, Këshilli i Ministrave</w:t>
      </w:r>
    </w:p>
    <w:p w14:paraId="479F1F32" w14:textId="77777777" w:rsidR="00735BDA" w:rsidRPr="00A91A37" w:rsidRDefault="00735BDA" w:rsidP="00735BDA">
      <w:pPr>
        <w:pStyle w:val="Titull-Titull"/>
        <w:ind w:firstLine="284"/>
        <w:rPr>
          <w:lang w:val="sq-AL"/>
        </w:rPr>
      </w:pPr>
    </w:p>
    <w:p w14:paraId="479F1F33" w14:textId="77777777" w:rsidR="00735BDA" w:rsidRPr="00A91A37" w:rsidRDefault="00735BDA" w:rsidP="00735BDA">
      <w:pPr>
        <w:pStyle w:val="Titull-Titull"/>
        <w:ind w:firstLine="284"/>
        <w:rPr>
          <w:lang w:val="sq-AL"/>
        </w:rPr>
      </w:pPr>
      <w:r w:rsidRPr="00A91A37">
        <w:rPr>
          <w:lang w:val="sq-AL"/>
        </w:rPr>
        <w:t>VENDOSI:</w:t>
      </w:r>
    </w:p>
    <w:p w14:paraId="479F1F34" w14:textId="77777777" w:rsidR="00735BDA" w:rsidRPr="00A91A37" w:rsidRDefault="00735BDA" w:rsidP="00735BDA">
      <w:pPr>
        <w:pStyle w:val="Paragrafi"/>
        <w:tabs>
          <w:tab w:val="left" w:pos="260"/>
        </w:tabs>
        <w:ind w:firstLine="284"/>
        <w:rPr>
          <w:rFonts w:ascii="Garamond" w:hAnsi="Garamond"/>
          <w:sz w:val="24"/>
          <w:szCs w:val="24"/>
          <w:lang w:val="sq-AL"/>
        </w:rPr>
      </w:pPr>
    </w:p>
    <w:p w14:paraId="479F1F35"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 TË PËRGJITHSHME</w:t>
      </w:r>
    </w:p>
    <w:p w14:paraId="479F1F36"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1. Zbatimi i parimit të shkencës së hapur nga institucionet që zhvillojnë kërkim shkencor në Republikën e Shqipërisë realizohet në përputhje me standardet dhe kriteret e parashikuara në këtë vendim, të cilat janë në përputhje me ato të zonës evropiane të kërkimit.</w:t>
      </w:r>
    </w:p>
    <w:p w14:paraId="479F1F37" w14:textId="17059770" w:rsidR="00735BDA"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2. Zbatimi i parimit të shkencës së hapur në të gjithë veprimtarinë e kërkimit shkencor synon rritjen e bashkëpunimit kërkimor-shkencor dhe shkëmbimin e informacionit në dobi të shkencës dhe shoqërisë, duke e bërë veprimtarinë e kërkimit shkencor të arritshme dhe transparente për të gjithë.</w:t>
      </w:r>
    </w:p>
    <w:p w14:paraId="3DDD6AD9" w14:textId="77777777" w:rsidR="00D804AE" w:rsidRPr="00D804AE" w:rsidRDefault="00D804AE" w:rsidP="00D804AE">
      <w:pPr>
        <w:ind w:firstLine="284"/>
        <w:jc w:val="both"/>
        <w:rPr>
          <w:i/>
          <w:sz w:val="24"/>
          <w:szCs w:val="24"/>
        </w:rPr>
      </w:pPr>
      <w:r w:rsidRPr="00D804AE">
        <w:rPr>
          <w:i/>
          <w:sz w:val="24"/>
          <w:szCs w:val="24"/>
        </w:rPr>
        <w:t>3. Zbatimi i parimit të shkencës së hapur për përmbushjen e politikave të Zonës Evropiane të Kërkimit, në lidhje me pjesëmarrjen e shtetit shqiptar në një Konsorcium Evropian të Infrastrukturës së Kërkimit (KEIK/ERIC) realizohet në përputhje me rregulloren e Këshillit (BE) nr. 723/2009, datë 25 qershor 2009, e ndryshuar me rregulloren (BE) nr. 1261/2013, datë 2 dhjetor 2013, dhe legjislacionin kombëtar.</w:t>
      </w:r>
    </w:p>
    <w:p w14:paraId="7258EE15" w14:textId="77777777" w:rsidR="00D804AE" w:rsidRPr="00D804AE" w:rsidRDefault="00D804AE" w:rsidP="00D804AE">
      <w:pPr>
        <w:ind w:firstLine="284"/>
        <w:jc w:val="both"/>
        <w:rPr>
          <w:i/>
          <w:sz w:val="24"/>
          <w:szCs w:val="24"/>
        </w:rPr>
      </w:pPr>
      <w:r w:rsidRPr="00D804AE">
        <w:rPr>
          <w:i/>
          <w:sz w:val="24"/>
          <w:szCs w:val="24"/>
        </w:rPr>
        <w:t>4. Në këtë vendim, termat e mëposhtëm kanë këto kuptime:</w:t>
      </w:r>
    </w:p>
    <w:p w14:paraId="58B28101" w14:textId="77777777" w:rsidR="00D804AE" w:rsidRPr="00D804AE" w:rsidRDefault="00D804AE" w:rsidP="00D804AE">
      <w:pPr>
        <w:ind w:firstLine="284"/>
        <w:jc w:val="both"/>
        <w:rPr>
          <w:i/>
          <w:sz w:val="24"/>
          <w:szCs w:val="24"/>
        </w:rPr>
      </w:pPr>
      <w:r w:rsidRPr="00D804AE">
        <w:rPr>
          <w:i/>
          <w:sz w:val="24"/>
          <w:szCs w:val="24"/>
        </w:rPr>
        <w:t>a) “Rregullorja e Këshillit (BE) nr. 723/2009, e ndryshuar me rregulloren (BE) nr. 1261/2013”, rregullorja që përcakton kuadrin ligjor të Bashkimit Evropian për krijimin e konsorciumeve evropiane të infrastrukturës së kërkimit (ERIC), duke vendosur kërkesat, procedurat e pasojat juridike, që lidhen me themelimin, funksionimin dhe statusin e tyre, me qëllim mundësimin e ngritjes e të operimit të infrastrukturave kërkimore me interes të përbashkët evropian, në mbështetje të zhvillimit të Konsorciumit Evropian të Infrastrukturës Kërkimore;</w:t>
      </w:r>
    </w:p>
    <w:p w14:paraId="530BFA6C" w14:textId="77777777" w:rsidR="00D804AE" w:rsidRPr="00D804AE" w:rsidRDefault="00D804AE" w:rsidP="00D804AE">
      <w:pPr>
        <w:ind w:firstLine="284"/>
        <w:jc w:val="both"/>
        <w:rPr>
          <w:i/>
          <w:sz w:val="24"/>
          <w:szCs w:val="24"/>
        </w:rPr>
      </w:pPr>
      <w:r w:rsidRPr="00D804AE">
        <w:rPr>
          <w:i/>
          <w:sz w:val="24"/>
          <w:szCs w:val="24"/>
        </w:rPr>
        <w:t>b) “Infrastrukturë kërkimore”, objektet, burimet dhe shërbimet përkatëse, që përdoren nga persona juridikë dhe/ose kërkuesit shkencorë, që zhvillojnë veprimtari të kërkimit shkencor, për kryerjen e kërkimeve të nivelit të lartë në fushat përkatëse, duke përfshirë dhe pajisjet shkencore madhore ose grupe instrumentesh; burime të bazuara në njohuri, si: koleksione, arkiva ose struktura për informacion shkencor; infrastruktura të bazuara në teknologjinë e informacionit dhe komunikimit, si: rrjete, sisteme kompjuterike, programe dhe komunikim, si dhe çdo njësi tjetër me natyrë të veçantë, e domosdoshme për arritjen e ekselencës në kërkim.</w:t>
      </w:r>
    </w:p>
    <w:p w14:paraId="0D92F321" w14:textId="77777777" w:rsidR="00D804AE" w:rsidRPr="00D804AE" w:rsidRDefault="00D804AE" w:rsidP="00D804AE">
      <w:pPr>
        <w:ind w:firstLine="284"/>
        <w:jc w:val="both"/>
        <w:rPr>
          <w:i/>
          <w:sz w:val="24"/>
          <w:szCs w:val="24"/>
        </w:rPr>
      </w:pPr>
      <w:r w:rsidRPr="00D804AE">
        <w:rPr>
          <w:i/>
          <w:sz w:val="24"/>
          <w:szCs w:val="24"/>
        </w:rPr>
        <w:t>Infrastruktura të tilla mund të jenë të vendosura në një vend të vetëm ose të shpërndara në formën e një rrjeti të organizuar burimesh;</w:t>
      </w:r>
    </w:p>
    <w:p w14:paraId="5985F00F" w14:textId="77777777" w:rsidR="00D804AE" w:rsidRPr="00D804AE" w:rsidRDefault="00D804AE" w:rsidP="00D804AE">
      <w:pPr>
        <w:ind w:firstLine="284"/>
        <w:jc w:val="both"/>
        <w:rPr>
          <w:i/>
          <w:sz w:val="24"/>
          <w:szCs w:val="24"/>
        </w:rPr>
      </w:pPr>
      <w:r w:rsidRPr="00D804AE">
        <w:rPr>
          <w:i/>
          <w:sz w:val="24"/>
          <w:szCs w:val="24"/>
        </w:rPr>
        <w:t>c) “Konsorcium Evropian i Infrastrukturës së Kërkimit (ERIC)”, një subjekt juridik i krijuar në bazë të rregullores së Këshillit (BE) nr. 723/2009, të ndryshuar, që përbën një subjekt të së drejtës civile për krijimin dhe funksionimin e infrastrukturave kërkimore me interes evropian, i themeluar nga shtete anëtare, vende të asociuara, vende të treta ose organizata ndërqeveritare, me personalitet juridik për të realizuar veprimtari në fushën e kërkimit shkencor të zhvillimit teknologjik e demonstrimit, kryesisht mbi bazë joekonomike, për të mbështetur ekselencën shkencore, për të siguruar akses për komunitetin evropian të kërkimit e për të kontribuuar në zhvillimin e hapësirës evropiane të kërkimit dhe që nuk konsiderohet organ i Bashkimit Evropian dhe as organ publik kombëtar, përveç rasteve kur parashikohet shprehimisht ndryshe në legjislacion;</w:t>
      </w:r>
    </w:p>
    <w:p w14:paraId="02575CB3" w14:textId="77777777" w:rsidR="00D804AE" w:rsidRPr="00D804AE" w:rsidRDefault="00D804AE" w:rsidP="00D804AE">
      <w:pPr>
        <w:ind w:firstLine="284"/>
        <w:jc w:val="both"/>
        <w:rPr>
          <w:i/>
          <w:sz w:val="24"/>
          <w:szCs w:val="24"/>
        </w:rPr>
      </w:pPr>
      <w:r w:rsidRPr="00D804AE">
        <w:rPr>
          <w:i/>
          <w:sz w:val="24"/>
          <w:szCs w:val="24"/>
        </w:rPr>
        <w:lastRenderedPageBreak/>
        <w:t>ç) “Komunitet kërkimor”, kërkuesit shkencorë, institucionet e kërkimit, institucionet e arsimit të lartë dhe subjektet e tjera të së drejtës civile, që kryejnë veprimtari në fushën e kërkimit shkencor dhe zhvillimit teknologjik, në nivel kombëtar, evropian ose ndërkombëtar;</w:t>
      </w:r>
    </w:p>
    <w:p w14:paraId="6C8BEC0F" w14:textId="77777777" w:rsidR="00D804AE" w:rsidRPr="00D804AE" w:rsidRDefault="00D804AE" w:rsidP="00D804AE">
      <w:pPr>
        <w:ind w:firstLine="284"/>
        <w:jc w:val="both"/>
        <w:rPr>
          <w:i/>
          <w:sz w:val="24"/>
          <w:szCs w:val="24"/>
        </w:rPr>
      </w:pPr>
      <w:r w:rsidRPr="00D804AE">
        <w:rPr>
          <w:i/>
          <w:sz w:val="24"/>
          <w:szCs w:val="24"/>
        </w:rPr>
        <w:t>d) “Kërkim shkencor i nivelit të lartë”, veprimtari kërkimore të kryera nga komuniteti shkencor, që përmbushin standarde të larta shkencore dhe teknologjike, dhe që synojnë arritjen e ekselencës në kërkim, në përputhje me programet evropiane të kërkimit, zhvillimit teknologjik e demonstrimit;</w:t>
      </w:r>
    </w:p>
    <w:p w14:paraId="4EEBDBA9" w14:textId="77777777" w:rsidR="00D804AE" w:rsidRPr="00D804AE" w:rsidRDefault="00D804AE" w:rsidP="00D804AE">
      <w:pPr>
        <w:ind w:firstLine="284"/>
        <w:jc w:val="both"/>
        <w:rPr>
          <w:i/>
          <w:sz w:val="24"/>
          <w:szCs w:val="24"/>
        </w:rPr>
      </w:pPr>
      <w:r w:rsidRPr="00D804AE">
        <w:rPr>
          <w:i/>
          <w:sz w:val="24"/>
          <w:szCs w:val="24"/>
        </w:rPr>
        <w:t>dh) “Pajisje shkencore madhore”, pajisje, instrumente ose grupime instrumentesh me kompleksitet të lartë teknik dhe vlerë të konsiderueshme, të përdorura nga komuniteti shkencor për kryerjen e kërkimit shkencor të nivelit të lartë në kuadër të një infrastrukture kërkimore;</w:t>
      </w:r>
    </w:p>
    <w:p w14:paraId="4956B5A4" w14:textId="77777777" w:rsidR="00D804AE" w:rsidRPr="00D804AE" w:rsidRDefault="00D804AE" w:rsidP="00D804AE">
      <w:pPr>
        <w:ind w:firstLine="284"/>
        <w:jc w:val="both"/>
        <w:rPr>
          <w:i/>
          <w:sz w:val="24"/>
          <w:szCs w:val="24"/>
        </w:rPr>
      </w:pPr>
      <w:r w:rsidRPr="00D804AE">
        <w:rPr>
          <w:i/>
          <w:sz w:val="24"/>
          <w:szCs w:val="24"/>
        </w:rPr>
        <w:t>e) “Ekselencë në kërkim shkencor”, realizimi i veprimtarive kërkimore sipas standardeve më të larta shkencore e teknologjike, që kontribuojnë në përparimin e njohurive, forcimin e kapaciteteve kërkimore dhe zhvillimin e hapësirës evropiane të kërkimit;</w:t>
      </w:r>
    </w:p>
    <w:p w14:paraId="1E8326DA" w14:textId="77777777" w:rsidR="00D804AE" w:rsidRPr="00D804AE" w:rsidRDefault="00D804AE" w:rsidP="00D804AE">
      <w:pPr>
        <w:ind w:firstLine="284"/>
        <w:jc w:val="both"/>
        <w:rPr>
          <w:i/>
          <w:sz w:val="24"/>
          <w:szCs w:val="24"/>
        </w:rPr>
      </w:pPr>
      <w:r w:rsidRPr="00D804AE">
        <w:rPr>
          <w:i/>
          <w:sz w:val="24"/>
          <w:szCs w:val="24"/>
        </w:rPr>
        <w:t>ë) “Vend i tretë”, një shtet që nuk është shtet anëtar i Bashkimit Evropian;</w:t>
      </w:r>
    </w:p>
    <w:p w14:paraId="28763D9B" w14:textId="77777777" w:rsidR="00D804AE" w:rsidRPr="00D804AE" w:rsidRDefault="00D804AE" w:rsidP="00D804AE">
      <w:pPr>
        <w:ind w:firstLine="284"/>
        <w:jc w:val="both"/>
        <w:rPr>
          <w:i/>
          <w:sz w:val="24"/>
          <w:szCs w:val="24"/>
        </w:rPr>
      </w:pPr>
      <w:r w:rsidRPr="00D804AE">
        <w:rPr>
          <w:i/>
          <w:sz w:val="24"/>
          <w:szCs w:val="24"/>
        </w:rPr>
        <w:t>f) “Vend i asociuar”, një vend i tretë, që është palë në një marrëveshje ndërkombëtare me Bashkimin Evropian, në bazë të së cilës ai jep një kontribut financiar për të gjithë ose një pjesë të Programeve Kornizë të Bashkimit Evropian për Kërkim dhe Zhvillim Teknologjik;</w:t>
      </w:r>
    </w:p>
    <w:p w14:paraId="5B2636ED" w14:textId="77777777" w:rsidR="00D804AE" w:rsidRPr="00D804AE" w:rsidRDefault="00D804AE" w:rsidP="00D804AE">
      <w:pPr>
        <w:ind w:firstLine="284"/>
        <w:jc w:val="both"/>
        <w:rPr>
          <w:i/>
          <w:sz w:val="24"/>
          <w:szCs w:val="24"/>
        </w:rPr>
      </w:pPr>
      <w:r w:rsidRPr="00D804AE">
        <w:rPr>
          <w:i/>
          <w:sz w:val="24"/>
          <w:szCs w:val="24"/>
        </w:rPr>
        <w:t>g) “Vend anëtar i ERIC-ut”, një shtet që merr pjesë në një Konsorcium Evropian të Infrastrukturës Kërkimore (ERIC) me të drejta dhe detyrime të plota, në përputhje me rregulloren e Këshillit (BE) nr. 723/2009, të ndryshuar, statutin e ERIC-ut dhe vendimet e organeve të tij, përfshirë të drejtën e votës, përfaqësimin në organet drejtuese dhe detyrimin për të dhënë kontribute financiare ose kontribute të tjera të miratuara;</w:t>
      </w:r>
    </w:p>
    <w:p w14:paraId="4C8F55AA" w14:textId="1B66830B" w:rsidR="00D804AE" w:rsidRPr="00D804AE" w:rsidRDefault="00D804AE" w:rsidP="00D804AE">
      <w:pPr>
        <w:ind w:firstLine="284"/>
        <w:jc w:val="both"/>
        <w:rPr>
          <w:i/>
          <w:sz w:val="24"/>
          <w:szCs w:val="24"/>
        </w:rPr>
      </w:pPr>
      <w:r w:rsidRPr="00D804AE">
        <w:rPr>
          <w:i/>
          <w:sz w:val="24"/>
          <w:szCs w:val="24"/>
        </w:rPr>
        <w:t>gj) “Vend vëzhgues”, shteti që merr pjesë në një Konsorcium Evropian të Infrastrukturës së Kërkimit (ERIC) pa të drejtë vote, në përputhje me kushtet e përcaktuara në statutin e tij, me të drejtë pjesëmarrjeje në veprimtaritë dhe organet përkatëse, sipas rregullave të brendshme</w:t>
      </w:r>
      <w:r>
        <w:rPr>
          <w:i/>
          <w:sz w:val="24"/>
          <w:szCs w:val="24"/>
        </w:rPr>
        <w:t xml:space="preserve"> të krijimit të Konsorciumit.</w:t>
      </w:r>
    </w:p>
    <w:p w14:paraId="479F1F39"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II. STANDARDET E SHKENCËS SË HAPUR</w:t>
      </w:r>
    </w:p>
    <w:p w14:paraId="479F1F3A" w14:textId="77777777" w:rsidR="00735BDA" w:rsidRPr="00A91A37" w:rsidRDefault="00735BDA" w:rsidP="00735BDA">
      <w:pPr>
        <w:pStyle w:val="Paragrafi"/>
        <w:tabs>
          <w:tab w:val="left" w:pos="360"/>
        </w:tabs>
        <w:ind w:firstLine="284"/>
        <w:rPr>
          <w:rFonts w:ascii="Garamond" w:hAnsi="Garamond"/>
          <w:sz w:val="24"/>
          <w:szCs w:val="24"/>
          <w:lang w:val="sq-AL"/>
        </w:rPr>
      </w:pPr>
      <w:r w:rsidRPr="00A91A37">
        <w:rPr>
          <w:rFonts w:ascii="Garamond" w:hAnsi="Garamond"/>
          <w:sz w:val="24"/>
          <w:szCs w:val="24"/>
          <w:lang w:val="sq-AL"/>
        </w:rPr>
        <w:t>Qasja e hapur në veprimtarinë e kërkimit shkencor gjen zbatim në:</w:t>
      </w:r>
    </w:p>
    <w:p w14:paraId="479F1F3B" w14:textId="500173A0" w:rsidR="00735BDA" w:rsidRPr="00A91A37" w:rsidRDefault="00735BDA" w:rsidP="00735BDA">
      <w:pPr>
        <w:pStyle w:val="Paragrafi"/>
        <w:tabs>
          <w:tab w:val="left" w:pos="360"/>
        </w:tabs>
        <w:ind w:firstLine="284"/>
        <w:rPr>
          <w:rFonts w:ascii="Garamond" w:hAnsi="Garamond"/>
          <w:sz w:val="24"/>
          <w:szCs w:val="24"/>
          <w:lang w:val="sq-AL"/>
        </w:rPr>
      </w:pPr>
      <w:r w:rsidRPr="00A91A37">
        <w:rPr>
          <w:rFonts w:ascii="Garamond" w:hAnsi="Garamond"/>
          <w:sz w:val="24"/>
          <w:szCs w:val="24"/>
          <w:lang w:val="sq-AL"/>
        </w:rPr>
        <w:t>1. Publikimet shkencore, si më poshtë vijon</w:t>
      </w:r>
      <w:r w:rsidR="00AD2963">
        <w:rPr>
          <w:rFonts w:ascii="Garamond" w:hAnsi="Garamond"/>
          <w:sz w:val="24"/>
          <w:szCs w:val="24"/>
          <w:lang w:val="sq-AL"/>
        </w:rPr>
        <w:t>:</w:t>
      </w:r>
    </w:p>
    <w:p w14:paraId="479F1F3C"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a) Institucionet që zhvillojnë kërkim shkencor ofrojnë qasje të hapur në versionet digjitale të botimeve shkencore dhe rezultateve të kërkimit shkencor në rastin kur veprimtaritë e kërkimit shkencor financohen apo bashkëfinancohen me fonde publike.</w:t>
      </w:r>
    </w:p>
    <w:p w14:paraId="479F1F3D"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b) Institucionet që zhvillojnë kërkim shkencor, menjëherë pas publikimit të një punimi shkencor, e bëjnë atë të disponueshëm me akses të hapur, së bashku me të dhënat përkatëse të kërkimit dhe rezultatet e tjera kërkimore. Publikimi bëhet me akses të lirë, të menjëhershëm dhe të pakushtëzuar, sipas fushës së kërkimit shkencor në të cilën kërkuesi kryen hulumtimin.</w:t>
      </w:r>
    </w:p>
    <w:p w14:paraId="479F1F3E" w14:textId="77777777" w:rsidR="00735BDA" w:rsidRPr="00A91A37" w:rsidRDefault="00735BDA" w:rsidP="00735BDA">
      <w:pPr>
        <w:pStyle w:val="Paragrafi"/>
        <w:tabs>
          <w:tab w:val="left" w:pos="360"/>
        </w:tabs>
        <w:ind w:firstLine="284"/>
        <w:rPr>
          <w:rFonts w:ascii="Garamond" w:hAnsi="Garamond"/>
          <w:sz w:val="24"/>
          <w:szCs w:val="24"/>
          <w:lang w:val="sq-AL"/>
        </w:rPr>
      </w:pPr>
      <w:r w:rsidRPr="00A91A37">
        <w:rPr>
          <w:rFonts w:ascii="Garamond" w:hAnsi="Garamond"/>
          <w:sz w:val="24"/>
          <w:szCs w:val="24"/>
          <w:lang w:val="sq-AL"/>
        </w:rPr>
        <w:t>c) Qasja e hapur zbatohet duke mundësuar:</w:t>
      </w:r>
    </w:p>
    <w:p w14:paraId="479F1F3F"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 një format digjital, përmbajtja e të cilit mund të lexohet dhe të përpunohet lehtësisht nga kompjuterat ose dorëshkrimi i dorëzuar nga autori për botim, i depozituar në një arkiv digjital të sigurt për botimet shkencore;</w:t>
      </w:r>
    </w:p>
    <w:p w14:paraId="479F1F40"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ii. akses të menjëhershëm të hapur në botimin shkencor të ruajtur në arkivin digjital të cituar në nënndarjen “i”, të kësaj shkronje;</w:t>
      </w:r>
    </w:p>
    <w:p w14:paraId="479F1F41"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iii. ngarkimin e publikimeve në një databazë shtetërore të të dhënave.</w:t>
      </w:r>
    </w:p>
    <w:p w14:paraId="479F1F42" w14:textId="6D278720"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ç)</w:t>
      </w:r>
      <w:r w:rsidR="00A91A37" w:rsidRPr="00A91A37">
        <w:rPr>
          <w:rFonts w:ascii="Garamond" w:hAnsi="Garamond"/>
          <w:sz w:val="24"/>
          <w:szCs w:val="24"/>
          <w:lang w:val="sq-AL"/>
        </w:rPr>
        <w:t xml:space="preserve"> </w:t>
      </w:r>
      <w:r w:rsidRPr="00A91A37">
        <w:rPr>
          <w:rFonts w:ascii="Garamond" w:hAnsi="Garamond"/>
          <w:sz w:val="24"/>
          <w:szCs w:val="24"/>
          <w:lang w:val="sq-AL"/>
        </w:rPr>
        <w:t>Modalitetet e ruajtjes së arkivave digjitalë të sigurt për botime shkencore janë të njëjta me ato të Zonës Evropiane të Kërkimit si dhe ato ndërkombëtare.</w:t>
      </w:r>
    </w:p>
    <w:p w14:paraId="479F1F43" w14:textId="77777777" w:rsidR="00735BDA" w:rsidRPr="00A91A37" w:rsidRDefault="00735BDA" w:rsidP="00735BDA">
      <w:pPr>
        <w:pStyle w:val="Paragrafi"/>
        <w:tabs>
          <w:tab w:val="left" w:pos="360"/>
        </w:tabs>
        <w:ind w:firstLine="284"/>
        <w:rPr>
          <w:rFonts w:ascii="Garamond" w:hAnsi="Garamond"/>
          <w:sz w:val="24"/>
          <w:szCs w:val="24"/>
          <w:lang w:val="sq-AL"/>
        </w:rPr>
      </w:pPr>
      <w:r w:rsidRPr="00A91A37">
        <w:rPr>
          <w:rFonts w:ascii="Garamond" w:hAnsi="Garamond"/>
          <w:sz w:val="24"/>
          <w:szCs w:val="24"/>
          <w:lang w:val="sq-AL"/>
        </w:rPr>
        <w:t>d) Çdo publikim shkencor, fizik dhe digjital, i financuar nga fonde të buxhetit të shtetit, publikohet në gjuhën shqipe dhe në një prej gjuhëve zyrtare të Bashkimit Evropian.</w:t>
      </w:r>
    </w:p>
    <w:p w14:paraId="479F1F44" w14:textId="2E151063"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2.</w:t>
      </w:r>
      <w:r w:rsidR="00A91A37" w:rsidRPr="00A91A37">
        <w:rPr>
          <w:rFonts w:ascii="Garamond" w:hAnsi="Garamond"/>
          <w:sz w:val="24"/>
          <w:szCs w:val="24"/>
          <w:lang w:val="sq-AL"/>
        </w:rPr>
        <w:t xml:space="preserve"> </w:t>
      </w:r>
      <w:r w:rsidRPr="00A91A37">
        <w:rPr>
          <w:rFonts w:ascii="Garamond" w:hAnsi="Garamond"/>
          <w:sz w:val="24"/>
          <w:szCs w:val="24"/>
          <w:lang w:val="sq-AL"/>
        </w:rPr>
        <w:t>Të dhënat e kërkimit dhe rezultatet e tjera të kërkimit në formatin digjital, si më poshtë vijon:</w:t>
      </w:r>
    </w:p>
    <w:p w14:paraId="479F1F45" w14:textId="1119434F"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a) Në kushtet e financimit apo </w:t>
      </w:r>
      <w:r w:rsidR="00AD2963">
        <w:rPr>
          <w:rFonts w:ascii="Garamond" w:hAnsi="Garamond"/>
          <w:sz w:val="24"/>
          <w:szCs w:val="24"/>
          <w:lang w:val="sq-AL"/>
        </w:rPr>
        <w:t xml:space="preserve">të </w:t>
      </w:r>
      <w:r w:rsidRPr="00A91A37">
        <w:rPr>
          <w:rFonts w:ascii="Garamond" w:hAnsi="Garamond"/>
          <w:sz w:val="24"/>
          <w:szCs w:val="24"/>
          <w:lang w:val="sq-AL"/>
        </w:rPr>
        <w:t>bashkëfinancimit nga fonde publike dhe të aksesit të hapur në botimet shkencore, institucionet që zhvillojnë kërkim shkencor kanë detyrim:</w:t>
      </w:r>
    </w:p>
    <w:p w14:paraId="479F1F46"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 të hartojnë dhe të përditësojnë periodikisht një plan për menaxhimin e të dhënave kërkimore (PMDK);</w:t>
      </w:r>
    </w:p>
    <w:p w14:paraId="479F1F47"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ii. të menaxhojnë të dhënat e kërkimit shkencor dhe rezultatet e tjera të kërkimit shkencor të krijuara në kuadër të një bashkëfinancimi publik, duke ofruar përdorueshmëri kohore afatgjatë në </w:t>
      </w:r>
      <w:r w:rsidRPr="00A91A37">
        <w:rPr>
          <w:rFonts w:ascii="Garamond" w:hAnsi="Garamond"/>
          <w:sz w:val="24"/>
          <w:szCs w:val="24"/>
          <w:lang w:val="sq-AL"/>
        </w:rPr>
        <w:lastRenderedPageBreak/>
        <w:t>ruajtjen e të dhënave, në përputhje me parimet që bëjnë të dhënat e kërkimit dhe rezultatet e tjera kërkimore të gjetshme, të aksesueshme, të ndërveprueshme dhe të ripërdorshme;</w:t>
      </w:r>
    </w:p>
    <w:p w14:paraId="479F1F48"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iii. të mundësojnë një qasje të hapur në të dhënat e kërkimit shkencor dhe rezultatet e tjera të kërkimit shkencor, në përputhje me parimin “e hapur sa është e mundur dhe e mbyllur për aq sa është e nevojshme”. Qasja plotësisht e hapur në të dhënat dhe rezultatet e veprimtarive kërkimore-shkencore kufizohet në rastet e cenimit të pronësisë intelektuale, mbrojtjes së të dhënave personale, të kufizimeve të vendosura në marrëveshjen e grantit apo kufizimeve të tjera të parashikuara nga kuadri ligjor në fuqi. </w:t>
      </w:r>
    </w:p>
    <w:p w14:paraId="479F1F49"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b) Në çdo rast të dhënat, si autorësia, data e publikimit, data e rishikimit, madhësia e skedarit, imazhet, videot dhe faqet e internetit duhet të jenë me qasje plotësisht të hapur.</w:t>
      </w:r>
    </w:p>
    <w:p w14:paraId="479F1F4A"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c) Financuesit e veprimtarive të kërkimit shkencor dhe institucionet që zhvillojnë kërkim shkencor zbatojnë praktika që janë në përputhje me rekomandimet e Zonës Evropiane të Kërkimit lidhur me dokumentacionin ligjor të detyrueshëm dhe me ruajtjen e të dhënave shkencore në arkiva digjitalë të sigurt dhe të koduar.</w:t>
      </w:r>
    </w:p>
    <w:p w14:paraId="479F1F4B"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3. Infrastrukturën e kërkimit shkencor, si më poshtë vijon:</w:t>
      </w:r>
    </w:p>
    <w:p w14:paraId="479F1F4C" w14:textId="1137F2C9"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a) Infrastruktura e kërkimit shkencor funksionon në përputhje me rekomandimet e Zonës Evropiane të Kërkimit</w:t>
      </w:r>
      <w:r w:rsidR="00AD2963">
        <w:rPr>
          <w:rFonts w:ascii="Garamond" w:hAnsi="Garamond"/>
          <w:sz w:val="24"/>
          <w:szCs w:val="24"/>
          <w:lang w:val="sq-AL"/>
        </w:rPr>
        <w:t>,</w:t>
      </w:r>
      <w:r w:rsidRPr="00A91A37">
        <w:rPr>
          <w:rFonts w:ascii="Garamond" w:hAnsi="Garamond"/>
          <w:sz w:val="24"/>
          <w:szCs w:val="24"/>
          <w:lang w:val="sq-AL"/>
        </w:rPr>
        <w:t xml:space="preserve"> si dhe vendeve ku parimi i shkencës së hapur është i zbatueshëm. </w:t>
      </w:r>
    </w:p>
    <w:p w14:paraId="479F1F4D"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b) Infrastruktura e hapur e kërkimit shkencor përbëhet nga:</w:t>
      </w:r>
    </w:p>
    <w:p w14:paraId="479F1F4E"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i. qendra të dhënash specifike dhe të përgjithshme për </w:t>
      </w:r>
      <w:r w:rsidRPr="00A91A37">
        <w:rPr>
          <w:rFonts w:ascii="Garamond" w:hAnsi="Garamond"/>
          <w:i/>
          <w:iCs/>
          <w:sz w:val="24"/>
          <w:szCs w:val="24"/>
          <w:lang w:val="sq-AL"/>
        </w:rPr>
        <w:t>domain</w:t>
      </w:r>
      <w:r w:rsidRPr="00A91A37">
        <w:rPr>
          <w:rFonts w:ascii="Garamond" w:hAnsi="Garamond"/>
          <w:sz w:val="24"/>
          <w:szCs w:val="24"/>
          <w:lang w:val="sq-AL"/>
        </w:rPr>
        <w:t>-in me arkiva digjitalë të sigurt;</w:t>
      </w:r>
    </w:p>
    <w:p w14:paraId="479F1F4F"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ii. arkiva digjitalë të sigurt të institucioneve që zhvillojnë kërkim shkencor për ruajtjen e aksesit të hapur në të dhënat dhe rezultatet e veprimtarive të kërkimit shkencor;</w:t>
      </w:r>
    </w:p>
    <w:p w14:paraId="479F1F50"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iii. platforma botuese shkencore me akses të hapur.</w:t>
      </w:r>
    </w:p>
    <w:p w14:paraId="479F1F51"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c) Institucionet e kërkimit shkencor, institutet dhe njësitë e veçanta të kërkimit shkencor që përfitojnë infrastrukturë kërkimore-shkencore të financuar apo të bashkëfinancuar me fonde publike, kanë detyrimin të mundësojnë qasjen dhe përdorimin e hapur të databazave kombëtare të kërkimit shkencor.</w:t>
      </w:r>
    </w:p>
    <w:p w14:paraId="479F1F53"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III. KRITERET E SHKENCËS SË HAPUR</w:t>
      </w:r>
    </w:p>
    <w:p w14:paraId="479F1F54" w14:textId="77777777" w:rsidR="00735BDA" w:rsidRPr="00A91A37" w:rsidRDefault="00735BDA" w:rsidP="00735BDA">
      <w:pPr>
        <w:pStyle w:val="Paragrafi"/>
        <w:tabs>
          <w:tab w:val="left" w:pos="360"/>
        </w:tabs>
        <w:ind w:firstLine="284"/>
        <w:rPr>
          <w:rFonts w:ascii="Garamond" w:hAnsi="Garamond"/>
          <w:sz w:val="24"/>
          <w:szCs w:val="24"/>
          <w:lang w:val="sq-AL"/>
        </w:rPr>
      </w:pPr>
      <w:r w:rsidRPr="00A91A37">
        <w:rPr>
          <w:rFonts w:ascii="Garamond" w:hAnsi="Garamond"/>
          <w:sz w:val="24"/>
          <w:szCs w:val="24"/>
          <w:lang w:val="sq-AL"/>
        </w:rPr>
        <w:t xml:space="preserve">1. Kriteret e përgjithshme që mundësojnë zbatimin e parimit të shkencës së hapur gjatë veprimtarisë kërkimore-shkencore nga institucionet janë, si më poshtë vijon: </w:t>
      </w:r>
    </w:p>
    <w:p w14:paraId="479F1F55"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a) Veprimtaria kërkimore-shkencore zhvillohet dhe publikohet në mënyrë transparente, duke mundësuar shqyrtim të hapur, kritikë shkencore dhe riprodhueshmëri të plotë, me qëllim garantimin e saktësisë dhe besueshmërisë së rezultateve të publikuara.</w:t>
      </w:r>
    </w:p>
    <w:p w14:paraId="479F1F56"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b) Veprimtaria kërkimore-shkencore zhvillohet duke garantuar barazi të plotë në qasje, pjesëmarrje, kontribute dhe përfitime për të gjithë kërkuesit dhe palët e interesuara, duke siguruar mundësi të barabarta dhe duke shmangur çdo formë diskriminimi.</w:t>
      </w:r>
    </w:p>
    <w:p w14:paraId="479F1F57"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c) Veprimtaria kërkimore-shkencore zhvillohet me përgjegjësi dhe llogaridhënie, duke siguruar që rezultatet e saj të jenë të matshme, të justifikueshme dhe të orientuara drejt ndikimit pozitiv në zhvillimin e shoqërisë.</w:t>
      </w:r>
    </w:p>
    <w:p w14:paraId="479F1F58"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ç) Veprimtaria kërkimore-shkencore zhvillohet duke siguruar reciprocitet dhe përfshirje të plotë, që garanton rritjen dhe zgjerimin e bashkëpunimit në të gjitha nivelet e veprimtarisë kërkimore-shkencore.</w:t>
      </w:r>
    </w:p>
    <w:p w14:paraId="479F1F59"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d) Veprimtaria kërkimore-shkencore zhvillohet duke garantuar fleksibilitet, duke nxitur diversitetin në zgjedhjen dhe ndjekjen e rrugëve të ndryshme për realizimin e parimit të shkencës së hapur. </w:t>
      </w:r>
    </w:p>
    <w:p w14:paraId="479F1F5A"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dh) Veprimtaria kërkimore-shkencore zhvillohet duke garantuar qëndrueshmëri përmes sigurimit të praktikave, shërbimeve, infrastrukturave dhe modeleve afatgjata të financimit, të dokumentuara dhe të mbështetura nga politika institucionale dhe kombëtare. </w:t>
      </w:r>
    </w:p>
    <w:p w14:paraId="479F1F5B"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2. Kritere të veçanta që mundësojnë zbatimin e parimit të shkencës së hapur gjatë veprimtarisë kërkimore-shkencore nga institucionet janë, si më poshtë vijon:</w:t>
      </w:r>
    </w:p>
    <w:p w14:paraId="479F1F5C"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a) Qasja e hapur </w:t>
      </w:r>
      <w:r w:rsidRPr="00AD2963">
        <w:rPr>
          <w:rFonts w:ascii="Garamond" w:hAnsi="Garamond"/>
          <w:i/>
          <w:iCs/>
          <w:sz w:val="24"/>
          <w:szCs w:val="24"/>
          <w:lang w:val="sq-AL"/>
        </w:rPr>
        <w:t>(Open Access)</w:t>
      </w:r>
      <w:r w:rsidRPr="00A91A37">
        <w:rPr>
          <w:rFonts w:ascii="Garamond" w:hAnsi="Garamond"/>
          <w:sz w:val="24"/>
          <w:szCs w:val="24"/>
          <w:lang w:val="sq-AL"/>
        </w:rPr>
        <w:t xml:space="preserve"> detyron aplikimin e parimeve “FAIR”, ku të dhënat e veprimtarisë kërkimore-shkencore janë të gjetshme, të aksesueshme, të ndërveprueshme dhe të ripërdorshme.</w:t>
      </w:r>
    </w:p>
    <w:p w14:paraId="479F1F5D" w14:textId="46E9E2AE"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lastRenderedPageBreak/>
        <w:t xml:space="preserve">b) Të dhënat e hapura </w:t>
      </w:r>
      <w:r w:rsidRPr="00AD2963">
        <w:rPr>
          <w:rFonts w:ascii="Garamond" w:hAnsi="Garamond"/>
          <w:i/>
          <w:iCs/>
          <w:sz w:val="24"/>
          <w:szCs w:val="24"/>
          <w:lang w:val="sq-AL"/>
        </w:rPr>
        <w:t xml:space="preserve">(Open Data) </w:t>
      </w:r>
      <w:r w:rsidRPr="00A91A37">
        <w:rPr>
          <w:rFonts w:ascii="Garamond" w:hAnsi="Garamond"/>
          <w:sz w:val="24"/>
          <w:szCs w:val="24"/>
          <w:lang w:val="sq-AL"/>
        </w:rPr>
        <w:t>detyrojnë publikimin e të dhënave mbi të cilat është realizuar veprimtaria kërkimore-shkencore.</w:t>
      </w:r>
    </w:p>
    <w:p w14:paraId="479F1F5E" w14:textId="34E6460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c) Metodologjia e hapur </w:t>
      </w:r>
      <w:r w:rsidRPr="00AD2963">
        <w:rPr>
          <w:rFonts w:ascii="Garamond" w:hAnsi="Garamond"/>
          <w:i/>
          <w:iCs/>
          <w:sz w:val="24"/>
          <w:szCs w:val="24"/>
          <w:lang w:val="sq-AL"/>
        </w:rPr>
        <w:t>(Open Methodology)</w:t>
      </w:r>
      <w:r w:rsidRPr="00A91A37">
        <w:rPr>
          <w:rFonts w:ascii="Garamond" w:hAnsi="Garamond"/>
          <w:sz w:val="24"/>
          <w:szCs w:val="24"/>
          <w:lang w:val="sq-AL"/>
        </w:rPr>
        <w:t xml:space="preserve"> detyron publikimin e metodave dhe teknikave që janë përdorur gjatë realizimit të veprimtarisë kërkimore-shkencore.</w:t>
      </w:r>
    </w:p>
    <w:p w14:paraId="479F1F5F" w14:textId="428DB35F"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ç) Rekomandimi i kolegëve </w:t>
      </w:r>
      <w:r w:rsidRPr="00AD2963">
        <w:rPr>
          <w:rFonts w:ascii="Garamond" w:hAnsi="Garamond"/>
          <w:i/>
          <w:iCs/>
          <w:sz w:val="24"/>
          <w:szCs w:val="24"/>
          <w:lang w:val="sq-AL"/>
        </w:rPr>
        <w:t>(Open Peer Review)</w:t>
      </w:r>
      <w:r w:rsidRPr="00A91A37">
        <w:rPr>
          <w:rFonts w:ascii="Garamond" w:hAnsi="Garamond"/>
          <w:sz w:val="24"/>
          <w:szCs w:val="24"/>
          <w:lang w:val="sq-AL"/>
        </w:rPr>
        <w:t xml:space="preserve"> detyron publikimin e rekomandimeve nga kërkues të tjerë kërkimorë-shkencorë.</w:t>
      </w:r>
    </w:p>
    <w:p w14:paraId="479F1F60" w14:textId="62E056E0"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d) Shkenca qytetare dhe bashkëpunimi </w:t>
      </w:r>
      <w:r w:rsidRPr="00AD2963">
        <w:rPr>
          <w:rFonts w:ascii="Garamond" w:hAnsi="Garamond"/>
          <w:i/>
          <w:iCs/>
          <w:sz w:val="24"/>
          <w:szCs w:val="24"/>
          <w:lang w:val="sq-AL"/>
        </w:rPr>
        <w:t>(Collaboration for Citizen Science)</w:t>
      </w:r>
      <w:r w:rsidRPr="00A91A37">
        <w:rPr>
          <w:rFonts w:ascii="Garamond" w:hAnsi="Garamond"/>
          <w:sz w:val="24"/>
          <w:szCs w:val="24"/>
          <w:lang w:val="sq-AL"/>
        </w:rPr>
        <w:t xml:space="preserve"> detyron publikimin e subjekteve publike ose private, që kanë kontribut në veprimtarinë kërkimore-shkencore.</w:t>
      </w:r>
    </w:p>
    <w:p w14:paraId="479F1F61" w14:textId="2ED16099"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dh)</w:t>
      </w:r>
      <w:r w:rsidR="00AD2963">
        <w:rPr>
          <w:rFonts w:ascii="Garamond" w:hAnsi="Garamond"/>
          <w:sz w:val="24"/>
          <w:szCs w:val="24"/>
          <w:lang w:val="sq-AL"/>
        </w:rPr>
        <w:t xml:space="preserve"> </w:t>
      </w:r>
      <w:r w:rsidRPr="00A91A37">
        <w:rPr>
          <w:rFonts w:ascii="Garamond" w:hAnsi="Garamond"/>
          <w:sz w:val="24"/>
          <w:szCs w:val="24"/>
          <w:lang w:val="sq-AL"/>
        </w:rPr>
        <w:t xml:space="preserve">Integriteti kërkimor </w:t>
      </w:r>
      <w:r w:rsidRPr="00AD2963">
        <w:rPr>
          <w:rFonts w:ascii="Garamond" w:hAnsi="Garamond"/>
          <w:i/>
          <w:iCs/>
          <w:sz w:val="24"/>
          <w:szCs w:val="24"/>
          <w:lang w:val="sq-AL"/>
        </w:rPr>
        <w:t>(Research Integrity)</w:t>
      </w:r>
      <w:r w:rsidRPr="00A91A37">
        <w:rPr>
          <w:rFonts w:ascii="Garamond" w:hAnsi="Garamond"/>
          <w:sz w:val="24"/>
          <w:szCs w:val="24"/>
          <w:lang w:val="sq-AL"/>
        </w:rPr>
        <w:t xml:space="preserve"> detyron zbatimin e standardeve më të larta kërkimore-shkencore dhe etike në veprimtarinë kërkimore</w:t>
      </w:r>
      <w:r w:rsidR="00AD2963">
        <w:rPr>
          <w:rFonts w:ascii="Garamond" w:hAnsi="Garamond"/>
          <w:sz w:val="24"/>
          <w:szCs w:val="24"/>
          <w:lang w:val="sq-AL"/>
        </w:rPr>
        <w:t>-</w:t>
      </w:r>
      <w:r w:rsidRPr="00A91A37">
        <w:rPr>
          <w:rFonts w:ascii="Garamond" w:hAnsi="Garamond"/>
          <w:sz w:val="24"/>
          <w:szCs w:val="24"/>
          <w:lang w:val="sq-AL"/>
        </w:rPr>
        <w:t>shkencore.</w:t>
      </w:r>
    </w:p>
    <w:p w14:paraId="479F1F62" w14:textId="1588F617" w:rsidR="00735BDA" w:rsidRDefault="00735BDA" w:rsidP="00735BDA">
      <w:pPr>
        <w:pStyle w:val="Paragrafi"/>
        <w:ind w:firstLine="284"/>
        <w:rPr>
          <w:rFonts w:ascii="Garamond" w:hAnsi="Garamond"/>
          <w:i/>
          <w:iCs/>
          <w:sz w:val="24"/>
          <w:szCs w:val="24"/>
          <w:lang w:val="sq-AL"/>
        </w:rPr>
      </w:pPr>
      <w:r w:rsidRPr="00A91A37">
        <w:rPr>
          <w:rFonts w:ascii="Garamond" w:hAnsi="Garamond"/>
          <w:sz w:val="24"/>
          <w:szCs w:val="24"/>
          <w:lang w:val="sq-AL"/>
        </w:rPr>
        <w:t xml:space="preserve">e) Vlerësimi rigoroz </w:t>
      </w:r>
      <w:r w:rsidRPr="00AD2963">
        <w:rPr>
          <w:rFonts w:ascii="Garamond" w:hAnsi="Garamond"/>
          <w:i/>
          <w:iCs/>
          <w:sz w:val="24"/>
          <w:szCs w:val="24"/>
          <w:lang w:val="sq-AL"/>
        </w:rPr>
        <w:t>(Rigourous Evaluation)</w:t>
      </w:r>
      <w:r w:rsidRPr="00A91A37">
        <w:rPr>
          <w:rFonts w:ascii="Garamond" w:hAnsi="Garamond"/>
          <w:sz w:val="24"/>
          <w:szCs w:val="24"/>
          <w:lang w:val="sq-AL"/>
        </w:rPr>
        <w:t xml:space="preserve"> cakton metodat e matjes etike, cilësore dhe sasiore të veprimtarisë kërkimore-shkencore</w:t>
      </w:r>
      <w:r w:rsidR="00AD2963">
        <w:rPr>
          <w:rFonts w:ascii="Garamond" w:hAnsi="Garamond"/>
          <w:sz w:val="24"/>
          <w:szCs w:val="24"/>
          <w:lang w:val="sq-AL"/>
        </w:rPr>
        <w:t>,</w:t>
      </w:r>
      <w:r w:rsidRPr="00A91A37">
        <w:rPr>
          <w:rFonts w:ascii="Garamond" w:hAnsi="Garamond"/>
          <w:sz w:val="24"/>
          <w:szCs w:val="24"/>
          <w:lang w:val="sq-AL"/>
        </w:rPr>
        <w:t xml:space="preserve"> sipas udhëzuesit ndërkombëtar TOP Transparence </w:t>
      </w:r>
      <w:r w:rsidRPr="00AD2963">
        <w:rPr>
          <w:rFonts w:ascii="Garamond" w:hAnsi="Garamond"/>
          <w:i/>
          <w:iCs/>
          <w:sz w:val="24"/>
          <w:szCs w:val="24"/>
          <w:lang w:val="sq-AL"/>
        </w:rPr>
        <w:t>(Transparency and Openness Promotion – Guideline).</w:t>
      </w:r>
    </w:p>
    <w:p w14:paraId="7625BF81" w14:textId="77777777" w:rsidR="009E64D6" w:rsidRPr="009E64D6" w:rsidRDefault="009E64D6" w:rsidP="009E64D6">
      <w:pPr>
        <w:ind w:firstLine="284"/>
        <w:jc w:val="both"/>
        <w:rPr>
          <w:i/>
          <w:sz w:val="24"/>
          <w:szCs w:val="24"/>
        </w:rPr>
      </w:pPr>
      <w:r w:rsidRPr="009E64D6">
        <w:rPr>
          <w:i/>
          <w:sz w:val="24"/>
          <w:szCs w:val="24"/>
        </w:rPr>
        <w:t>III/1. Zbatimi i politikave të Zonës Evropiane të Kërkimit</w:t>
      </w:r>
    </w:p>
    <w:p w14:paraId="2130BE10" w14:textId="77777777" w:rsidR="009E64D6" w:rsidRPr="009E64D6" w:rsidRDefault="009E64D6" w:rsidP="009E64D6">
      <w:pPr>
        <w:ind w:firstLine="284"/>
        <w:jc w:val="both"/>
        <w:rPr>
          <w:i/>
          <w:sz w:val="24"/>
          <w:szCs w:val="24"/>
        </w:rPr>
      </w:pPr>
      <w:r w:rsidRPr="009E64D6">
        <w:rPr>
          <w:i/>
          <w:sz w:val="24"/>
          <w:szCs w:val="24"/>
        </w:rPr>
        <w:t>1. Në zbatim të politikave të Zonës Evropiane të Kërkimit dhe të legjislacionit të Bashkimit Evropian në fushën e kërkimit e të inovacionit, si dhe të ligjit nr. 47/2022, “Për ratifikimin e marrëveshjes ndërkombëtare ndërmjet Këshillit të Ministrave të Republikës së Shqipërisë dhe Bashkimit Evropian, për pjesëmarrjen e Republikës së Shqipërisë në programin e Bashkimit Evropian ‘Horizont Evropa’ – Programi kuadër për kërkimin dhe inovacionin”, shteti shqiptar mund të marrë pjesë në infrastruktura kërkimore ndërkombëtare, si Konsorciumi Evropian i Infrastrukturës së Kërkimit (ERIC), në përputhje me rregulloren e Këshillit (BE) nr. 723/2009, të ndryshuar.</w:t>
      </w:r>
    </w:p>
    <w:p w14:paraId="65F82B93" w14:textId="77777777" w:rsidR="009E64D6" w:rsidRPr="009E64D6" w:rsidRDefault="009E64D6" w:rsidP="009E64D6">
      <w:pPr>
        <w:ind w:firstLine="284"/>
        <w:jc w:val="both"/>
        <w:rPr>
          <w:i/>
          <w:sz w:val="24"/>
          <w:szCs w:val="24"/>
        </w:rPr>
      </w:pPr>
      <w:r w:rsidRPr="009E64D6">
        <w:rPr>
          <w:i/>
          <w:sz w:val="24"/>
          <w:szCs w:val="24"/>
        </w:rPr>
        <w:t>2. Konsorciumi Evropian i Infrastrukturës së Kërkimit fiton personalitet juridik nga data e njoftimit të vendimit për krijimin e tij, në përputhje me rregulloren e Këshillit (BE) nr. 723/2009, të ndryshuar.</w:t>
      </w:r>
    </w:p>
    <w:p w14:paraId="7CAC9658" w14:textId="77777777" w:rsidR="009E64D6" w:rsidRPr="009E64D6" w:rsidRDefault="009E64D6" w:rsidP="009E64D6">
      <w:pPr>
        <w:ind w:firstLine="284"/>
        <w:jc w:val="both"/>
        <w:rPr>
          <w:i/>
          <w:sz w:val="24"/>
          <w:szCs w:val="24"/>
        </w:rPr>
      </w:pPr>
      <w:r w:rsidRPr="009E64D6">
        <w:rPr>
          <w:i/>
          <w:sz w:val="24"/>
          <w:szCs w:val="24"/>
        </w:rPr>
        <w:t>3. Veprimtaria e një Konsorciumi Evropian të Infrastrukturës së Kërkimit (ERIC) ushtron detyrën kryesore mbi bazë joekonomike; megjithatë, ai mund të zhvillojë edhe veprimtari ekonomike të kufizuara, me kusht që kjo veprimtari të jetë e lidhur ngushtë me detyrën kryesore të tij dhe të mos cenojë realizimin e saj.</w:t>
      </w:r>
    </w:p>
    <w:p w14:paraId="0410960C" w14:textId="77777777" w:rsidR="009E64D6" w:rsidRPr="009E64D6" w:rsidRDefault="009E64D6" w:rsidP="009E64D6">
      <w:pPr>
        <w:ind w:firstLine="284"/>
        <w:jc w:val="both"/>
        <w:rPr>
          <w:i/>
          <w:sz w:val="24"/>
          <w:szCs w:val="24"/>
        </w:rPr>
      </w:pPr>
      <w:r w:rsidRPr="009E64D6">
        <w:rPr>
          <w:i/>
          <w:sz w:val="24"/>
          <w:szCs w:val="24"/>
        </w:rPr>
        <w:t>4. Infrastruktura kërkimore, që krijohet në kuadër të një Konsorciumi Evropian të Infrastrukturës së Kërkimit (ERIC), duhet të plotësojë këto kërkesa:</w:t>
      </w:r>
    </w:p>
    <w:p w14:paraId="0B590961" w14:textId="77777777" w:rsidR="009E64D6" w:rsidRPr="009E64D6" w:rsidRDefault="009E64D6" w:rsidP="009E64D6">
      <w:pPr>
        <w:ind w:firstLine="284"/>
        <w:jc w:val="both"/>
        <w:rPr>
          <w:i/>
          <w:sz w:val="24"/>
          <w:szCs w:val="24"/>
        </w:rPr>
      </w:pPr>
      <w:r w:rsidRPr="009E64D6">
        <w:rPr>
          <w:i/>
          <w:sz w:val="24"/>
          <w:szCs w:val="24"/>
        </w:rPr>
        <w:t>a) Të jetë e nevojshme për realizimin e programeve dhe të projekteve evropiane të kërkimit, përfshirë zbatimin efektiv të programeve të komunitetit për kërkim shkencor, zhvillim teknologjik e demonstrim;</w:t>
      </w:r>
    </w:p>
    <w:p w14:paraId="71C9787F" w14:textId="77777777" w:rsidR="009E64D6" w:rsidRPr="009E64D6" w:rsidRDefault="009E64D6" w:rsidP="009E64D6">
      <w:pPr>
        <w:ind w:firstLine="284"/>
        <w:jc w:val="both"/>
        <w:rPr>
          <w:i/>
          <w:sz w:val="24"/>
          <w:szCs w:val="24"/>
        </w:rPr>
      </w:pPr>
      <w:r w:rsidRPr="009E64D6">
        <w:rPr>
          <w:i/>
          <w:sz w:val="24"/>
          <w:szCs w:val="24"/>
        </w:rPr>
        <w:t>b) Të përfaqësojë një vlerë të shtuar në forcimin e strukturimin e Zonës Evropiane të Kërkimit (ERA) dhe të përbëjë një përmirësim të rëndësishëm në fushat përkatëse shkencore dhe teknologjike në nivel ndërkombëtar;</w:t>
      </w:r>
    </w:p>
    <w:p w14:paraId="59208B0F" w14:textId="77777777" w:rsidR="009E64D6" w:rsidRPr="009E64D6" w:rsidRDefault="009E64D6" w:rsidP="009E64D6">
      <w:pPr>
        <w:ind w:firstLine="284"/>
        <w:jc w:val="both"/>
        <w:rPr>
          <w:i/>
          <w:sz w:val="24"/>
          <w:szCs w:val="24"/>
        </w:rPr>
      </w:pPr>
      <w:r w:rsidRPr="009E64D6">
        <w:rPr>
          <w:i/>
          <w:sz w:val="24"/>
          <w:szCs w:val="24"/>
        </w:rPr>
        <w:t>c) Të garantojë akses efektiv, në përputhje me rregullat e përcaktuara në statutin e tij për komunitetin evropian të kërkimit të përbërë nga kërkues shkencorë nga shtetet anëtare dhe nga vendet e asociuara;</w:t>
      </w:r>
    </w:p>
    <w:p w14:paraId="5083A015" w14:textId="77777777" w:rsidR="009E64D6" w:rsidRPr="009E64D6" w:rsidRDefault="009E64D6" w:rsidP="009E64D6">
      <w:pPr>
        <w:ind w:firstLine="284"/>
        <w:jc w:val="both"/>
        <w:rPr>
          <w:i/>
          <w:sz w:val="24"/>
          <w:szCs w:val="24"/>
        </w:rPr>
      </w:pPr>
      <w:r w:rsidRPr="009E64D6">
        <w:rPr>
          <w:i/>
          <w:sz w:val="24"/>
          <w:szCs w:val="24"/>
        </w:rPr>
        <w:t>ç) Të kontribuojë në lëvizshmërinë e njohurive dhe/ose të kërkuesve brenda Zonës Evropiane të Kërkimit (ERA) dhe të rrisë përdorimin e potencialit intelektual në të gjithë Evropën;</w:t>
      </w:r>
    </w:p>
    <w:p w14:paraId="64A1131A" w14:textId="77777777" w:rsidR="009E64D6" w:rsidRPr="009E64D6" w:rsidRDefault="009E64D6" w:rsidP="009E64D6">
      <w:pPr>
        <w:ind w:firstLine="284"/>
        <w:jc w:val="both"/>
        <w:rPr>
          <w:i/>
          <w:sz w:val="24"/>
          <w:szCs w:val="24"/>
        </w:rPr>
      </w:pPr>
      <w:r w:rsidRPr="009E64D6">
        <w:rPr>
          <w:i/>
          <w:sz w:val="24"/>
          <w:szCs w:val="24"/>
        </w:rPr>
        <w:t>d) Të kontribuojë në përhapjen dhe optimizimin e rezultateve të veprimtarive, në kuadër të programeve të komunitetit për kërkim shkencor, zhvillim teknologjik e demonstrim.</w:t>
      </w:r>
    </w:p>
    <w:p w14:paraId="1266C59C" w14:textId="77777777" w:rsidR="009E64D6" w:rsidRPr="009E64D6" w:rsidRDefault="009E64D6" w:rsidP="009E64D6">
      <w:pPr>
        <w:ind w:firstLine="284"/>
        <w:jc w:val="both"/>
        <w:rPr>
          <w:i/>
          <w:sz w:val="24"/>
          <w:szCs w:val="24"/>
        </w:rPr>
      </w:pPr>
      <w:r w:rsidRPr="009E64D6">
        <w:rPr>
          <w:i/>
          <w:sz w:val="24"/>
          <w:szCs w:val="24"/>
        </w:rPr>
        <w:t>5. Subjektet, që aplikojnë për krijimin e një Konsorciumi Evropian të Infrastrukturës së Kërkimit (ERIC), paraqesin një kërkesë pranë Komisionit Evropian.</w:t>
      </w:r>
    </w:p>
    <w:p w14:paraId="0BB79A23" w14:textId="77777777" w:rsidR="009E64D6" w:rsidRPr="009E64D6" w:rsidRDefault="009E64D6" w:rsidP="009E64D6">
      <w:pPr>
        <w:ind w:firstLine="284"/>
        <w:jc w:val="both"/>
        <w:rPr>
          <w:i/>
          <w:sz w:val="24"/>
          <w:szCs w:val="24"/>
        </w:rPr>
      </w:pPr>
      <w:r w:rsidRPr="009E64D6">
        <w:rPr>
          <w:i/>
          <w:sz w:val="24"/>
          <w:szCs w:val="24"/>
        </w:rPr>
        <w:t>Kërkesa paraqitet me shkrim në një nga gjuhët zyrtare të Bashkimit Evropian dhe përmban:</w:t>
      </w:r>
    </w:p>
    <w:p w14:paraId="1DA0E77D" w14:textId="77777777" w:rsidR="009E64D6" w:rsidRPr="009E64D6" w:rsidRDefault="009E64D6" w:rsidP="009E64D6">
      <w:pPr>
        <w:ind w:firstLine="284"/>
        <w:jc w:val="both"/>
        <w:rPr>
          <w:i/>
          <w:sz w:val="24"/>
          <w:szCs w:val="24"/>
        </w:rPr>
      </w:pPr>
      <w:r w:rsidRPr="009E64D6">
        <w:rPr>
          <w:i/>
          <w:sz w:val="24"/>
          <w:szCs w:val="24"/>
        </w:rPr>
        <w:t>a) kërkesën drejtuar Komisionit për krijimin e ERIC-ut;</w:t>
      </w:r>
    </w:p>
    <w:p w14:paraId="40DD77C8" w14:textId="77777777" w:rsidR="009E64D6" w:rsidRPr="009E64D6" w:rsidRDefault="009E64D6" w:rsidP="009E64D6">
      <w:pPr>
        <w:ind w:firstLine="284"/>
        <w:jc w:val="both"/>
        <w:rPr>
          <w:i/>
          <w:sz w:val="24"/>
          <w:szCs w:val="24"/>
        </w:rPr>
      </w:pPr>
      <w:r w:rsidRPr="009E64D6">
        <w:rPr>
          <w:i/>
          <w:sz w:val="24"/>
          <w:szCs w:val="24"/>
        </w:rPr>
        <w:t>b) projektstatutin e ERIC-ut, sipas përcaktimeve të nenit 10 “Statuti”, të rregullores;</w:t>
      </w:r>
    </w:p>
    <w:p w14:paraId="0B49178A" w14:textId="77777777" w:rsidR="009E64D6" w:rsidRPr="009E64D6" w:rsidRDefault="009E64D6" w:rsidP="009E64D6">
      <w:pPr>
        <w:ind w:firstLine="284"/>
        <w:jc w:val="both"/>
        <w:rPr>
          <w:i/>
          <w:sz w:val="24"/>
          <w:szCs w:val="24"/>
        </w:rPr>
      </w:pPr>
      <w:r w:rsidRPr="009E64D6">
        <w:rPr>
          <w:i/>
          <w:sz w:val="24"/>
          <w:szCs w:val="24"/>
        </w:rPr>
        <w:t>c) përshkrimin teknik dhe shkencor të infrastrukturës kërkimore, që do të krijohet e administrohet/përdoret nga ERIC-u;</w:t>
      </w:r>
    </w:p>
    <w:p w14:paraId="0E18C17B" w14:textId="77777777" w:rsidR="009E64D6" w:rsidRPr="009E64D6" w:rsidRDefault="009E64D6" w:rsidP="009E64D6">
      <w:pPr>
        <w:ind w:firstLine="284"/>
        <w:jc w:val="both"/>
        <w:rPr>
          <w:i/>
          <w:sz w:val="24"/>
          <w:szCs w:val="24"/>
        </w:rPr>
      </w:pPr>
      <w:r w:rsidRPr="009E64D6">
        <w:rPr>
          <w:i/>
          <w:sz w:val="24"/>
          <w:szCs w:val="24"/>
        </w:rPr>
        <w:t>ç) një deklaratë nga shteti pritës, me anë të së cilës ERIC-u njihet si organizëm ndërkombëtar, në kuptim të neneve 143(g) dhe 151(1)(b) të direktivës 2006/112/EC, dhe si organizatë ndërkombëtare në kuptim të nenit 23(1), paragrafi i dytë i direktivës 92/12/EEC, që nga momenti i krijimit të tij, të përafruar me legjislacionin në fuqi në fushën për tatimin mbi vlerën e shtuar dhe për akcizat.</w:t>
      </w:r>
    </w:p>
    <w:p w14:paraId="66C355EF" w14:textId="77777777" w:rsidR="009E64D6" w:rsidRPr="009E64D6" w:rsidRDefault="009E64D6" w:rsidP="009E64D6">
      <w:pPr>
        <w:ind w:firstLine="284"/>
        <w:jc w:val="both"/>
        <w:rPr>
          <w:i/>
          <w:sz w:val="24"/>
          <w:szCs w:val="24"/>
        </w:rPr>
      </w:pPr>
      <w:r w:rsidRPr="009E64D6">
        <w:rPr>
          <w:i/>
          <w:sz w:val="24"/>
          <w:szCs w:val="24"/>
        </w:rPr>
        <w:t>Kufizimet dhe kushtet e përjashtimeve të parashikuara në këto dispozita përcaktohen në një marrëveshje ndërmjet anëtarëve të ERIC-ut.</w:t>
      </w:r>
    </w:p>
    <w:p w14:paraId="6EC4B240" w14:textId="77777777" w:rsidR="009E64D6" w:rsidRPr="009E64D6" w:rsidRDefault="009E64D6" w:rsidP="009E64D6">
      <w:pPr>
        <w:ind w:firstLine="284"/>
        <w:jc w:val="both"/>
        <w:rPr>
          <w:i/>
          <w:sz w:val="24"/>
          <w:szCs w:val="24"/>
        </w:rPr>
      </w:pPr>
      <w:r w:rsidRPr="009E64D6">
        <w:rPr>
          <w:i/>
          <w:sz w:val="24"/>
          <w:szCs w:val="24"/>
        </w:rPr>
        <w:lastRenderedPageBreak/>
        <w:t>Komisioni Evropian vlerëson kërkesën në përputhje me rregulloren.</w:t>
      </w:r>
    </w:p>
    <w:p w14:paraId="0AF727D5" w14:textId="77777777" w:rsidR="009E64D6" w:rsidRPr="009E64D6" w:rsidRDefault="009E64D6" w:rsidP="009E64D6">
      <w:pPr>
        <w:ind w:firstLine="284"/>
        <w:jc w:val="both"/>
        <w:rPr>
          <w:i/>
          <w:sz w:val="24"/>
          <w:szCs w:val="24"/>
        </w:rPr>
      </w:pPr>
      <w:r w:rsidRPr="009E64D6">
        <w:rPr>
          <w:i/>
          <w:sz w:val="24"/>
          <w:szCs w:val="24"/>
        </w:rPr>
        <w:t>6. Anëtarësimi në një Konsorcium Evropian të Infrastrukturës së Kërkimit (ERIC) rregullohet, si më poshtë vijon:</w:t>
      </w:r>
    </w:p>
    <w:p w14:paraId="46BFBD1E" w14:textId="77777777" w:rsidR="009E64D6" w:rsidRPr="009E64D6" w:rsidRDefault="009E64D6" w:rsidP="009E64D6">
      <w:pPr>
        <w:ind w:firstLine="284"/>
        <w:jc w:val="both"/>
        <w:rPr>
          <w:i/>
          <w:sz w:val="24"/>
          <w:szCs w:val="24"/>
        </w:rPr>
      </w:pPr>
      <w:r w:rsidRPr="009E64D6">
        <w:rPr>
          <w:i/>
          <w:sz w:val="24"/>
          <w:szCs w:val="24"/>
        </w:rPr>
        <w:t>a) ERIC-u përfshin një shtet anëtar të Bashkimit Evropian dhe dy shtete të tjera, të cilat janë shtete anëtare ose vende të asociuara;</w:t>
      </w:r>
    </w:p>
    <w:p w14:paraId="44C6FE37" w14:textId="77777777" w:rsidR="009E64D6" w:rsidRPr="009E64D6" w:rsidRDefault="009E64D6" w:rsidP="009E64D6">
      <w:pPr>
        <w:ind w:firstLine="284"/>
        <w:jc w:val="both"/>
        <w:rPr>
          <w:i/>
          <w:sz w:val="24"/>
          <w:szCs w:val="24"/>
        </w:rPr>
      </w:pPr>
      <w:r w:rsidRPr="009E64D6">
        <w:rPr>
          <w:i/>
          <w:sz w:val="24"/>
          <w:szCs w:val="24"/>
        </w:rPr>
        <w:t>b) Shtete të tjera anëtare ose vende të asociuara mund të bëhen anëtare në çdo kohë, sipas kushteve të përcaktuara në statutin e ERIC-ut, si dhe mund të marrin pjesë si vëzhgues, pa të drejtë vote, sipas kushteve të përcaktuara në të;</w:t>
      </w:r>
    </w:p>
    <w:p w14:paraId="2113676A" w14:textId="77777777" w:rsidR="009E64D6" w:rsidRPr="009E64D6" w:rsidRDefault="009E64D6" w:rsidP="009E64D6">
      <w:pPr>
        <w:ind w:firstLine="284"/>
        <w:jc w:val="both"/>
        <w:rPr>
          <w:i/>
          <w:sz w:val="24"/>
          <w:szCs w:val="24"/>
        </w:rPr>
      </w:pPr>
      <w:r w:rsidRPr="009E64D6">
        <w:rPr>
          <w:i/>
          <w:sz w:val="24"/>
          <w:szCs w:val="24"/>
        </w:rPr>
        <w:t>c) Vendet e treta, të ndryshme nga vendet e asociuara, si dhe organizatat ndërqeveritare mund të bëhen anëtare të ERIC-ut, me miratimin e asamblesë së anëtarëve, në përputhje me kushtet e procedurat për ndryshimin e anëtarësisë, të përcaktuara në statutin e tij;</w:t>
      </w:r>
    </w:p>
    <w:p w14:paraId="00730269" w14:textId="77777777" w:rsidR="009E64D6" w:rsidRPr="009E64D6" w:rsidRDefault="009E64D6" w:rsidP="009E64D6">
      <w:pPr>
        <w:ind w:firstLine="284"/>
        <w:jc w:val="both"/>
        <w:rPr>
          <w:i/>
          <w:sz w:val="24"/>
          <w:szCs w:val="24"/>
        </w:rPr>
      </w:pPr>
      <w:r w:rsidRPr="009E64D6">
        <w:rPr>
          <w:i/>
          <w:sz w:val="24"/>
          <w:szCs w:val="24"/>
        </w:rPr>
        <w:t>ç) Shtetet anëtare ose vendet e asociuara mbajnë së bashku shumicën e të drejtave të votës në asamblenë e anëtarëve;</w:t>
      </w:r>
    </w:p>
    <w:p w14:paraId="573032C3" w14:textId="77777777" w:rsidR="009E64D6" w:rsidRPr="009E64D6" w:rsidRDefault="009E64D6" w:rsidP="009E64D6">
      <w:pPr>
        <w:ind w:firstLine="284"/>
        <w:jc w:val="both"/>
        <w:rPr>
          <w:i/>
          <w:sz w:val="24"/>
          <w:szCs w:val="24"/>
        </w:rPr>
      </w:pPr>
      <w:r w:rsidRPr="009E64D6">
        <w:rPr>
          <w:i/>
          <w:sz w:val="24"/>
          <w:szCs w:val="24"/>
        </w:rPr>
        <w:t>d) Për ERIC-un, me seli statutore në territorin e një shteti anëtar, propozimet për ndryshimin e statutit miratohen nga shumica e shteteve anëtare që janë anëtarë të tij;</w:t>
      </w:r>
    </w:p>
    <w:p w14:paraId="6F183AA8" w14:textId="77777777" w:rsidR="009E64D6" w:rsidRPr="009E64D6" w:rsidRDefault="009E64D6" w:rsidP="009E64D6">
      <w:pPr>
        <w:ind w:firstLine="284"/>
        <w:jc w:val="both"/>
        <w:rPr>
          <w:i/>
          <w:sz w:val="24"/>
          <w:szCs w:val="24"/>
        </w:rPr>
      </w:pPr>
      <w:r w:rsidRPr="009E64D6">
        <w:rPr>
          <w:i/>
          <w:sz w:val="24"/>
          <w:szCs w:val="24"/>
        </w:rPr>
        <w:t>dh) Shtetet anëtare, vendet e asociuara ose vendet e treta mund të përfaqësohen në ERIC nga një ose më shumë subjekte publike, përfshirë njësi të vetëqeverisjes vendore ose nga subjekte private, që ushtrojnë funksione në shërbim publik, për ushtrimin e të drejtave dhe përmbushjen e detyrimeve që rrjedhin nga anëtarësia në ERIC;</w:t>
      </w:r>
    </w:p>
    <w:p w14:paraId="0F8F1FD8" w14:textId="77777777" w:rsidR="009E64D6" w:rsidRPr="009E64D6" w:rsidRDefault="009E64D6" w:rsidP="009E64D6">
      <w:pPr>
        <w:ind w:firstLine="284"/>
        <w:jc w:val="both"/>
        <w:rPr>
          <w:i/>
          <w:sz w:val="24"/>
          <w:szCs w:val="24"/>
        </w:rPr>
      </w:pPr>
      <w:r w:rsidRPr="009E64D6">
        <w:rPr>
          <w:i/>
          <w:sz w:val="24"/>
          <w:szCs w:val="24"/>
        </w:rPr>
        <w:t>e) Vendet e asociuara, vendet e treta dhe organizatat ndërqeveritare, që aplikojnë për krijimin ose për anëtarësimin në një ERIC, njohin personalitetin juridik e kapacitetin juridik të tij, si dhe pranojnë që ai t’u nënshtrohet rregullave të përcaktuara nga legjislacioni i zbatueshëm;</w:t>
      </w:r>
    </w:p>
    <w:p w14:paraId="00C548A9" w14:textId="77777777" w:rsidR="009E64D6" w:rsidRPr="009E64D6" w:rsidRDefault="009E64D6" w:rsidP="009E64D6">
      <w:pPr>
        <w:ind w:firstLine="284"/>
        <w:jc w:val="both"/>
        <w:rPr>
          <w:i/>
          <w:sz w:val="24"/>
          <w:szCs w:val="24"/>
        </w:rPr>
      </w:pPr>
      <w:r w:rsidRPr="009E64D6">
        <w:rPr>
          <w:i/>
          <w:sz w:val="24"/>
          <w:szCs w:val="24"/>
        </w:rPr>
        <w:t>ë) Vendet e asociuara dhe vendet e treta, që aplikojnë për krijimin ose për anëtarësimin në një ERIC, i garantojnë ERIC-ut trajtim të barasvlershëm me atë që rrjedh nga zbatimi i neneve përkatëse të rregullores së Këshillit (BE) nr. 723/2009, të ndryshuar, për njohjen e personalitetit juridik dhe statusit të tij si organizatë ndërkombëtare.</w:t>
      </w:r>
    </w:p>
    <w:p w14:paraId="15ED12D1" w14:textId="0D6DB181" w:rsidR="009E64D6" w:rsidRPr="009E64D6" w:rsidRDefault="009E64D6" w:rsidP="009E64D6">
      <w:pPr>
        <w:ind w:firstLine="284"/>
        <w:jc w:val="both"/>
        <w:rPr>
          <w:i/>
          <w:sz w:val="24"/>
          <w:szCs w:val="24"/>
        </w:rPr>
      </w:pPr>
      <w:r w:rsidRPr="009E64D6">
        <w:rPr>
          <w:i/>
          <w:sz w:val="24"/>
          <w:szCs w:val="24"/>
        </w:rPr>
        <w:t>7. Në statut, në përputhje me rregulloren e Këshillit (BE) nr. 723/2009, të ndryshuar, përcaktohen elementet thelbësore të organizimit e të funksionimit të Konsorciumit Evropian të Infrastrukturës së Kërkimit (ERIC), duke përfshirë, në veçanti, listën e anëtarëve dhe të vëzhguesve, kushtet e procedurat për ndryshimin e anëtarësisë dhe të përfaqësimit, detyrat dhe veprimtaritë, selinë, emërtimin, organet drejtuese, kohëzgjatjen dhe procedurën e shpërbërjes së organeve, të drejtat dhe detyrimet e anëtarëve, përgjegjësitë e tyre, kompetencat dhe mënyrën e përfaqësimit ligjor, politikat e funksionimit, rregullat financiare, gjuhën ose gjuhët e punës, si dhe çdo element tjetër të kërkuar nga rregullorja përkatëse e Bashkimit Evropian.</w:t>
      </w:r>
      <w:bookmarkStart w:id="0" w:name="_GoBack"/>
      <w:bookmarkEnd w:id="0"/>
    </w:p>
    <w:p w14:paraId="42F79E93" w14:textId="77777777" w:rsidR="009E64D6" w:rsidRPr="009E64D6" w:rsidRDefault="009E64D6" w:rsidP="009E64D6">
      <w:pPr>
        <w:ind w:firstLine="284"/>
        <w:jc w:val="both"/>
        <w:rPr>
          <w:i/>
          <w:sz w:val="24"/>
          <w:szCs w:val="24"/>
        </w:rPr>
      </w:pPr>
      <w:r w:rsidRPr="009E64D6">
        <w:rPr>
          <w:i/>
          <w:sz w:val="24"/>
          <w:szCs w:val="24"/>
        </w:rPr>
        <w:t>8. Konsorciumi Evropian i Infrastrukturës së Kërkimit (ERIC) harton raportin vjetor të veprimtarisë, i cili përfshin, në veçanti, aspektet shkencore, administrative e financiare të veprimtarisë së tij. Raporti miratohet nga asambleja e anëtarëve dhe u përcillet Komisionit Evropian dhe autoriteteve publike përkatëse brenda 6 (gjashtë) muajve nga përfundimi i vitit financiar përkatës.</w:t>
      </w:r>
    </w:p>
    <w:p w14:paraId="308B49E7" w14:textId="77777777" w:rsidR="009E64D6" w:rsidRPr="009E64D6" w:rsidRDefault="009E64D6" w:rsidP="009E64D6">
      <w:pPr>
        <w:ind w:firstLine="284"/>
        <w:jc w:val="both"/>
        <w:rPr>
          <w:i/>
          <w:sz w:val="24"/>
          <w:szCs w:val="24"/>
        </w:rPr>
      </w:pPr>
      <w:r w:rsidRPr="009E64D6">
        <w:rPr>
          <w:i/>
          <w:sz w:val="24"/>
          <w:szCs w:val="24"/>
        </w:rPr>
        <w:t>9. Krijimi dhe funksionimi i brendshëm i një Konsorciumi Evropian të Infrastrukturës së Kërkimit (ERIC) rregullohet, si më poshtë:</w:t>
      </w:r>
    </w:p>
    <w:p w14:paraId="6A9EF2A4" w14:textId="77777777" w:rsidR="009E64D6" w:rsidRPr="009E64D6" w:rsidRDefault="009E64D6" w:rsidP="009E64D6">
      <w:pPr>
        <w:ind w:firstLine="284"/>
        <w:jc w:val="both"/>
        <w:rPr>
          <w:i/>
          <w:sz w:val="24"/>
          <w:szCs w:val="24"/>
        </w:rPr>
      </w:pPr>
      <w:r w:rsidRPr="009E64D6">
        <w:rPr>
          <w:i/>
          <w:sz w:val="24"/>
          <w:szCs w:val="24"/>
        </w:rPr>
        <w:t>a) Nga e drejta e Bashkimit Evropian, në veçanti, nga rregullorja (BE) nr. 723/2009, e ndryshuar, si dhe nga vendimet e miratuara në zbatim të saj;</w:t>
      </w:r>
    </w:p>
    <w:p w14:paraId="6ECF619B" w14:textId="77777777" w:rsidR="009E64D6" w:rsidRPr="009E64D6" w:rsidRDefault="009E64D6" w:rsidP="009E64D6">
      <w:pPr>
        <w:ind w:firstLine="284"/>
        <w:jc w:val="both"/>
        <w:rPr>
          <w:i/>
          <w:sz w:val="24"/>
          <w:szCs w:val="24"/>
        </w:rPr>
      </w:pPr>
      <w:r w:rsidRPr="009E64D6">
        <w:rPr>
          <w:i/>
          <w:sz w:val="24"/>
          <w:szCs w:val="24"/>
        </w:rPr>
        <w:t>b) Nga legjislacioni i shtetit në territorin e të cilit ERIC-u ka selinë statutore, për çështjet që nuk rregullohen ose rregullohen pjesërisht nga aktet e përmendura në shkronjën “a”, të kësaj pike;</w:t>
      </w:r>
    </w:p>
    <w:p w14:paraId="24E063F5" w14:textId="77777777" w:rsidR="009E64D6" w:rsidRPr="009E64D6" w:rsidRDefault="009E64D6" w:rsidP="009E64D6">
      <w:pPr>
        <w:ind w:firstLine="284"/>
        <w:jc w:val="both"/>
        <w:rPr>
          <w:i/>
          <w:sz w:val="24"/>
          <w:szCs w:val="24"/>
        </w:rPr>
      </w:pPr>
      <w:r w:rsidRPr="009E64D6">
        <w:rPr>
          <w:i/>
          <w:sz w:val="24"/>
          <w:szCs w:val="24"/>
        </w:rPr>
        <w:t>c) Nga statuti i ERIC-ut dhe aktet e miratuara për zbatimin e tij.</w:t>
      </w:r>
    </w:p>
    <w:p w14:paraId="4F67702A" w14:textId="77777777" w:rsidR="009E64D6" w:rsidRPr="009E64D6" w:rsidRDefault="009E64D6" w:rsidP="009E64D6">
      <w:pPr>
        <w:ind w:firstLine="284"/>
        <w:jc w:val="both"/>
        <w:rPr>
          <w:i/>
          <w:sz w:val="24"/>
          <w:szCs w:val="24"/>
        </w:rPr>
      </w:pPr>
      <w:r w:rsidRPr="009E64D6">
        <w:rPr>
          <w:i/>
          <w:sz w:val="24"/>
          <w:szCs w:val="24"/>
        </w:rPr>
        <w:t>10. Gjykata e Drejtësisë e Bashkimit Evropian ka juridiksion për mosmarrëveshjet ndërmjet anëtarëve në lidhje me ERIC-un, ndërmjet anëtarëve dhe ERIC-ut, si dhe për çdo mosmarrëveshje, në të cilën është palë Bashkimi Evropian.</w:t>
      </w:r>
    </w:p>
    <w:p w14:paraId="4E46E402" w14:textId="77777777" w:rsidR="009E64D6" w:rsidRPr="009E64D6" w:rsidRDefault="009E64D6" w:rsidP="009E64D6">
      <w:pPr>
        <w:ind w:firstLine="284"/>
        <w:jc w:val="both"/>
        <w:rPr>
          <w:i/>
          <w:sz w:val="24"/>
          <w:szCs w:val="24"/>
        </w:rPr>
      </w:pPr>
      <w:r w:rsidRPr="009E64D6">
        <w:rPr>
          <w:i/>
          <w:sz w:val="24"/>
          <w:szCs w:val="24"/>
        </w:rPr>
        <w:t>11. Legjislacioni i Bashkimit Evropian për juridiksionin zbatohet për mosmarrëveshjet ndërmjet ERIC-ut dhe palëve të treta. Në rastet që nuk mbulohen nga legjislacioni i Bashkimit Evropian, juridiksioni kompetent përcaktohet sipas legjislacionit të shtetit në territorin e të cilit ERIC-u ka selinë statutore.</w:t>
      </w:r>
    </w:p>
    <w:p w14:paraId="10A5F805" w14:textId="77777777" w:rsidR="009E64D6" w:rsidRPr="009E64D6" w:rsidRDefault="009E64D6" w:rsidP="009E64D6">
      <w:pPr>
        <w:ind w:firstLine="284"/>
        <w:jc w:val="both"/>
        <w:rPr>
          <w:i/>
          <w:sz w:val="24"/>
          <w:szCs w:val="24"/>
        </w:rPr>
      </w:pPr>
      <w:r w:rsidRPr="009E64D6">
        <w:rPr>
          <w:i/>
          <w:sz w:val="24"/>
          <w:szCs w:val="24"/>
        </w:rPr>
        <w:t>12. Në rast shkeljeje të rregullores ose të mosrealizimit të detyrës, Komisioni Evropian mund të shfuqizojë vendimin për krijimin e Konsorciumit Evropian të Infrastrukturës së Kërkimit (ERIC).</w:t>
      </w:r>
    </w:p>
    <w:p w14:paraId="4A28A2BF" w14:textId="77777777" w:rsidR="009E64D6" w:rsidRPr="009E64D6" w:rsidRDefault="009E64D6" w:rsidP="009E64D6">
      <w:pPr>
        <w:ind w:firstLine="284"/>
        <w:jc w:val="both"/>
        <w:rPr>
          <w:i/>
          <w:sz w:val="24"/>
          <w:szCs w:val="24"/>
        </w:rPr>
      </w:pPr>
      <w:r w:rsidRPr="009E64D6">
        <w:rPr>
          <w:i/>
          <w:sz w:val="24"/>
          <w:szCs w:val="24"/>
        </w:rPr>
        <w:lastRenderedPageBreak/>
        <w:t>13. Aplikimi për pjesëmarrjen e shtetit shqiptar si anëtar ose për themelimin e një Konsorciumi Evropian të Infrastrukturës së Kërkimit (ERIC), i përfaqësuar nga një ose më shumë subjekte të së drejtës civile, paraqitet pranë Agjencisë Kombëtare për Kërkimin Shkencor dhe Inovacionin (AKKSHI).</w:t>
      </w:r>
    </w:p>
    <w:p w14:paraId="425598A9" w14:textId="13F84571" w:rsidR="009E64D6" w:rsidRPr="009E64D6" w:rsidRDefault="009E64D6" w:rsidP="009E64D6">
      <w:pPr>
        <w:pStyle w:val="Paragrafi"/>
        <w:ind w:firstLine="284"/>
        <w:rPr>
          <w:rFonts w:ascii="Garamond" w:hAnsi="Garamond"/>
          <w:i/>
          <w:iCs/>
          <w:sz w:val="24"/>
          <w:szCs w:val="24"/>
          <w:lang w:val="sq-AL"/>
        </w:rPr>
      </w:pPr>
      <w:r w:rsidRPr="009E64D6">
        <w:rPr>
          <w:rFonts w:ascii="Garamond" w:hAnsi="Garamond"/>
          <w:i/>
          <w:sz w:val="24"/>
          <w:szCs w:val="24"/>
        </w:rPr>
        <w:t>14. AKKSHI shqyrton aplikimin në përputhje me rregulloren e Këshillit (BE) nr. 723/2009, të ndryshuar, dhe pas vlerësimit pozitiv, ia paraqet atë për shqyrtim Këshillit Kombëtar për Shkencën, Kërkimin Shkencor dhe Inovacionin (KKSHKSH).</w:t>
      </w:r>
    </w:p>
    <w:p w14:paraId="479F1F64"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IV. DISPOZITA PËRFUNDIMTARE</w:t>
      </w:r>
    </w:p>
    <w:p w14:paraId="479F1F65" w14:textId="1C37D883"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1. Zbatimi i përcaktimeve të këtij vendimi lidhur me kriteret e shkencës së hapur do të jetë në fuqi deri në aderimin në Bashkimin Evropian</w:t>
      </w:r>
      <w:r w:rsidR="00AD2963">
        <w:rPr>
          <w:rFonts w:ascii="Garamond" w:hAnsi="Garamond"/>
          <w:sz w:val="24"/>
          <w:szCs w:val="24"/>
          <w:lang w:val="sq-AL"/>
        </w:rPr>
        <w:t>,</w:t>
      </w:r>
      <w:r w:rsidRPr="00A91A37">
        <w:rPr>
          <w:rFonts w:ascii="Garamond" w:hAnsi="Garamond"/>
          <w:sz w:val="24"/>
          <w:szCs w:val="24"/>
          <w:lang w:val="sq-AL"/>
        </w:rPr>
        <w:t xml:space="preserve"> ku në vijim zbatohen përcaktimet e bëra në rregulloren e BE 2021/695 të Parlamentit Evropian dhe</w:t>
      </w:r>
      <w:r w:rsidR="00A91A37" w:rsidRPr="00A91A37">
        <w:rPr>
          <w:rFonts w:ascii="Garamond" w:hAnsi="Garamond"/>
          <w:sz w:val="24"/>
          <w:szCs w:val="24"/>
          <w:lang w:val="sq-AL"/>
        </w:rPr>
        <w:t xml:space="preserve"> </w:t>
      </w:r>
      <w:r w:rsidRPr="00A91A37">
        <w:rPr>
          <w:rFonts w:ascii="Garamond" w:hAnsi="Garamond"/>
          <w:sz w:val="24"/>
          <w:szCs w:val="24"/>
          <w:lang w:val="sq-AL"/>
        </w:rPr>
        <w:t xml:space="preserve">të Këshillit, të datës 28 prill 2021, “Për themelimin e programit </w:t>
      </w:r>
      <w:r w:rsidRPr="00A91A37">
        <w:rPr>
          <w:rFonts w:ascii="Garamond" w:hAnsi="Garamond"/>
          <w:i/>
          <w:iCs/>
          <w:sz w:val="24"/>
          <w:szCs w:val="24"/>
          <w:lang w:val="sq-AL"/>
        </w:rPr>
        <w:t>Horizon Europe</w:t>
      </w:r>
      <w:r w:rsidRPr="00A91A37">
        <w:rPr>
          <w:rFonts w:ascii="Garamond" w:hAnsi="Garamond"/>
          <w:sz w:val="24"/>
          <w:szCs w:val="24"/>
          <w:lang w:val="sq-AL"/>
        </w:rPr>
        <w:t xml:space="preserve"> – programi kornizë për kërkimin dhe inovacionin, përcaktimin e rregullave për pjesëmarrjen dhe përhapjen, si dhe shfuqizimin e rregulloreve (BE) nr.</w:t>
      </w:r>
      <w:r w:rsidR="00AD2963">
        <w:rPr>
          <w:rFonts w:ascii="Garamond" w:hAnsi="Garamond"/>
          <w:sz w:val="24"/>
          <w:szCs w:val="24"/>
          <w:lang w:val="sq-AL"/>
        </w:rPr>
        <w:t xml:space="preserve"> </w:t>
      </w:r>
      <w:r w:rsidRPr="00A91A37">
        <w:rPr>
          <w:rFonts w:ascii="Garamond" w:hAnsi="Garamond"/>
          <w:sz w:val="24"/>
          <w:szCs w:val="24"/>
          <w:lang w:val="sq-AL"/>
        </w:rPr>
        <w:t>1290/2013 dhe (BE) nr.</w:t>
      </w:r>
      <w:r w:rsidR="00AD2963">
        <w:rPr>
          <w:rFonts w:ascii="Garamond" w:hAnsi="Garamond"/>
          <w:sz w:val="24"/>
          <w:szCs w:val="24"/>
          <w:lang w:val="sq-AL"/>
        </w:rPr>
        <w:t xml:space="preserve"> </w:t>
      </w:r>
      <w:r w:rsidRPr="00A91A37">
        <w:rPr>
          <w:rFonts w:ascii="Garamond" w:hAnsi="Garamond"/>
          <w:sz w:val="24"/>
          <w:szCs w:val="24"/>
          <w:lang w:val="sq-AL"/>
        </w:rPr>
        <w:t xml:space="preserve">1291/2013”. </w:t>
      </w:r>
    </w:p>
    <w:p w14:paraId="479F1F66" w14:textId="77777777"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2. Ngarkohen ministria përgjegjëse për kërkimin shkencor, Agjencia Kombëtare e Kërkimit Shkencor dhe Inovacionit dhe institucionet që zhvillojnë kërkim shkencor, të financuara apo të bashkëfinancuara me fonde publike, për zbatimin e këtij vendimi. </w:t>
      </w:r>
    </w:p>
    <w:p w14:paraId="479F1F67" w14:textId="40B39CC1" w:rsidR="00735BDA" w:rsidRPr="00A91A37" w:rsidRDefault="00735BDA" w:rsidP="00735BDA">
      <w:pPr>
        <w:pStyle w:val="Paragrafi"/>
        <w:ind w:firstLine="284"/>
        <w:rPr>
          <w:rFonts w:ascii="Garamond" w:hAnsi="Garamond"/>
          <w:sz w:val="24"/>
          <w:szCs w:val="24"/>
          <w:lang w:val="sq-AL"/>
        </w:rPr>
      </w:pPr>
      <w:r w:rsidRPr="00A91A37">
        <w:rPr>
          <w:rFonts w:ascii="Garamond" w:hAnsi="Garamond"/>
          <w:sz w:val="24"/>
          <w:szCs w:val="24"/>
          <w:lang w:val="sq-AL"/>
        </w:rPr>
        <w:t xml:space="preserve">Ky vendim hyn në fuqi pas botimit në Fletoren </w:t>
      </w:r>
      <w:r w:rsidR="00A91A37" w:rsidRPr="00A91A37">
        <w:rPr>
          <w:rFonts w:ascii="Garamond" w:hAnsi="Garamond"/>
          <w:sz w:val="24"/>
          <w:szCs w:val="24"/>
          <w:lang w:val="sq-AL"/>
        </w:rPr>
        <w:t>Zyrtare</w:t>
      </w:r>
      <w:r w:rsidRPr="00A91A37">
        <w:rPr>
          <w:rFonts w:ascii="Garamond" w:hAnsi="Garamond"/>
          <w:sz w:val="24"/>
          <w:szCs w:val="24"/>
          <w:lang w:val="sq-AL"/>
        </w:rPr>
        <w:t>.</w:t>
      </w:r>
    </w:p>
    <w:p w14:paraId="45916A4F" w14:textId="77777777" w:rsidR="00A91A37" w:rsidRPr="00A91A37" w:rsidRDefault="00A91A37" w:rsidP="00735BDA">
      <w:pPr>
        <w:pStyle w:val="Heading4"/>
        <w:spacing w:before="0"/>
        <w:ind w:firstLine="284"/>
        <w:jc w:val="right"/>
        <w:rPr>
          <w:rFonts w:ascii="Garamond" w:hAnsi="Garamond"/>
          <w:b w:val="0"/>
          <w:bCs w:val="0"/>
          <w:i w:val="0"/>
          <w:iCs w:val="0"/>
          <w:color w:val="000000"/>
          <w:sz w:val="24"/>
          <w:szCs w:val="24"/>
          <w:lang w:val="sq-AL"/>
        </w:rPr>
      </w:pPr>
    </w:p>
    <w:p w14:paraId="479F1F68" w14:textId="77777777" w:rsidR="00735BDA" w:rsidRPr="00A91A37" w:rsidRDefault="00735BDA" w:rsidP="00735BDA">
      <w:pPr>
        <w:pStyle w:val="Heading4"/>
        <w:spacing w:before="0"/>
        <w:ind w:firstLine="284"/>
        <w:jc w:val="right"/>
        <w:rPr>
          <w:rFonts w:ascii="Garamond" w:eastAsiaTheme="majorEastAsia" w:hAnsi="Garamond" w:cstheme="majorBidi"/>
          <w:b w:val="0"/>
          <w:i w:val="0"/>
          <w:iCs w:val="0"/>
          <w:color w:val="000000"/>
          <w:sz w:val="24"/>
          <w:szCs w:val="24"/>
          <w:lang w:val="sq-AL"/>
        </w:rPr>
      </w:pPr>
      <w:r w:rsidRPr="00A91A37">
        <w:rPr>
          <w:rFonts w:ascii="Garamond" w:hAnsi="Garamond"/>
          <w:b w:val="0"/>
          <w:bCs w:val="0"/>
          <w:i w:val="0"/>
          <w:iCs w:val="0"/>
          <w:color w:val="000000"/>
          <w:sz w:val="24"/>
          <w:szCs w:val="24"/>
          <w:lang w:val="sq-AL"/>
        </w:rPr>
        <w:t>KRYEMINISTËR</w:t>
      </w:r>
    </w:p>
    <w:p w14:paraId="479F1F69" w14:textId="77777777" w:rsidR="00735BDA" w:rsidRPr="00A91A37" w:rsidRDefault="00735BDA" w:rsidP="00735BDA">
      <w:pPr>
        <w:ind w:firstLine="284"/>
        <w:jc w:val="right"/>
        <w:rPr>
          <w:sz w:val="24"/>
          <w:szCs w:val="24"/>
          <w:lang w:val="sq-AL"/>
        </w:rPr>
      </w:pPr>
      <w:r w:rsidRPr="00A91A37">
        <w:rPr>
          <w:b/>
          <w:bCs/>
          <w:sz w:val="24"/>
          <w:szCs w:val="24"/>
          <w:lang w:val="sq-AL"/>
        </w:rPr>
        <w:t>Edi Rama</w:t>
      </w:r>
    </w:p>
    <w:sectPr w:rsidR="00735BDA" w:rsidRPr="00A91A37" w:rsidSect="009D3FD8">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06963" w14:textId="77777777" w:rsidR="00731109" w:rsidRDefault="00731109">
      <w:r>
        <w:separator/>
      </w:r>
    </w:p>
  </w:endnote>
  <w:endnote w:type="continuationSeparator" w:id="0">
    <w:p w14:paraId="4DBCA10A" w14:textId="77777777" w:rsidR="00731109" w:rsidRDefault="00731109">
      <w:r>
        <w:continuationSeparator/>
      </w:r>
    </w:p>
  </w:endnote>
  <w:endnote w:type="continuationNotice" w:id="1">
    <w:p w14:paraId="7A382080" w14:textId="77777777" w:rsidR="00731109" w:rsidRDefault="00731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191522"/>
      <w:docPartObj>
        <w:docPartGallery w:val="Page Numbers (Bottom of Page)"/>
        <w:docPartUnique/>
      </w:docPartObj>
    </w:sdtPr>
    <w:sdtEndPr>
      <w:rPr>
        <w:rFonts w:ascii="Times New Roman" w:hAnsi="Times New Roman" w:cs="Times New Roman"/>
        <w:noProof/>
        <w:sz w:val="24"/>
      </w:rPr>
    </w:sdtEndPr>
    <w:sdtContent>
      <w:p w14:paraId="479F1F70" w14:textId="33922C6A" w:rsidR="00A91A37" w:rsidRPr="00A5335A" w:rsidRDefault="00A91A37" w:rsidP="00A5335A">
        <w:pPr>
          <w:pStyle w:val="Footer"/>
          <w:jc w:val="right"/>
          <w:rPr>
            <w:rFonts w:ascii="Times New Roman" w:hAnsi="Times New Roman" w:cs="Times New Roman"/>
            <w:sz w:val="24"/>
          </w:rPr>
        </w:pPr>
        <w:r w:rsidRPr="00A5335A">
          <w:rPr>
            <w:rFonts w:ascii="Times New Roman" w:hAnsi="Times New Roman" w:cs="Times New Roman"/>
            <w:sz w:val="24"/>
          </w:rPr>
          <w:fldChar w:fldCharType="begin"/>
        </w:r>
        <w:r w:rsidRPr="00A5335A">
          <w:rPr>
            <w:rFonts w:ascii="Times New Roman" w:hAnsi="Times New Roman" w:cs="Times New Roman"/>
            <w:sz w:val="24"/>
          </w:rPr>
          <w:instrText xml:space="preserve"> PAGE   \* MERGEFORMAT </w:instrText>
        </w:r>
        <w:r w:rsidRPr="00A5335A">
          <w:rPr>
            <w:rFonts w:ascii="Times New Roman" w:hAnsi="Times New Roman" w:cs="Times New Roman"/>
            <w:sz w:val="24"/>
          </w:rPr>
          <w:fldChar w:fldCharType="separate"/>
        </w:r>
        <w:r w:rsidR="009E64D6">
          <w:rPr>
            <w:rFonts w:ascii="Times New Roman" w:hAnsi="Times New Roman" w:cs="Times New Roman"/>
            <w:noProof/>
            <w:sz w:val="24"/>
          </w:rPr>
          <w:t>4</w:t>
        </w:r>
        <w:r w:rsidRPr="00A5335A">
          <w:rPr>
            <w:rFonts w:ascii="Times New Roman" w:hAnsi="Times New Roman" w:cs="Times New Roman"/>
            <w:noProof/>
            <w:sz w:val="24"/>
          </w:rPr>
          <w:fldChar w:fldCharType="end"/>
        </w:r>
      </w:p>
    </w:sdtContent>
  </w:sdt>
  <w:p w14:paraId="479F1F71" w14:textId="77777777" w:rsidR="00A91A37" w:rsidRDefault="00A91A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A8D0B" w14:textId="77777777" w:rsidR="00731109" w:rsidRDefault="00731109">
      <w:r>
        <w:separator/>
      </w:r>
    </w:p>
  </w:footnote>
  <w:footnote w:type="continuationSeparator" w:id="0">
    <w:p w14:paraId="0487ADF8" w14:textId="77777777" w:rsidR="00731109" w:rsidRDefault="00731109">
      <w:r>
        <w:continuationSeparator/>
      </w:r>
    </w:p>
  </w:footnote>
  <w:footnote w:type="continuationNotice" w:id="1">
    <w:p w14:paraId="2E3F9CDE" w14:textId="77777777" w:rsidR="00731109" w:rsidRDefault="0073110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5B69"/>
    <w:multiLevelType w:val="hybridMultilevel"/>
    <w:tmpl w:val="E102935A"/>
    <w:lvl w:ilvl="0" w:tplc="B64610AA">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3516A7A"/>
    <w:multiLevelType w:val="multilevel"/>
    <w:tmpl w:val="9EEA1A9C"/>
    <w:lvl w:ilvl="0">
      <w:start w:val="3"/>
      <w:numFmt w:val="decimal"/>
      <w:lvlText w:val="%1."/>
      <w:lvlJc w:val="left"/>
      <w:pPr>
        <w:ind w:left="360" w:hanging="360"/>
      </w:pPr>
      <w:rPr>
        <w:rFonts w:hint="default"/>
        <w:color w:val="2F5496" w:themeColor="accent1" w:themeShade="BF"/>
      </w:rPr>
    </w:lvl>
    <w:lvl w:ilvl="1">
      <w:start w:val="3"/>
      <w:numFmt w:val="decimal"/>
      <w:lvlText w:val="%1.1"/>
      <w:lvlJc w:val="left"/>
      <w:pPr>
        <w:ind w:left="720" w:hanging="720"/>
      </w:pPr>
      <w:rPr>
        <w:rFonts w:hint="default"/>
        <w:b/>
        <w:bCs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03A90813"/>
    <w:multiLevelType w:val="hybridMultilevel"/>
    <w:tmpl w:val="CB28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6DCF"/>
    <w:multiLevelType w:val="multilevel"/>
    <w:tmpl w:val="EF64598A"/>
    <w:lvl w:ilvl="0">
      <w:start w:val="2"/>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 w15:restartNumberingAfterBreak="0">
    <w:nsid w:val="0B7E0C56"/>
    <w:multiLevelType w:val="hybridMultilevel"/>
    <w:tmpl w:val="5CBE6B4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A1E2ED0"/>
    <w:multiLevelType w:val="hybridMultilevel"/>
    <w:tmpl w:val="793ED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A649C"/>
    <w:multiLevelType w:val="hybridMultilevel"/>
    <w:tmpl w:val="425C1F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819C6"/>
    <w:multiLevelType w:val="hybridMultilevel"/>
    <w:tmpl w:val="D334002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24737A85"/>
    <w:multiLevelType w:val="hybridMultilevel"/>
    <w:tmpl w:val="21EA9AB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6A71B1E"/>
    <w:multiLevelType w:val="hybridMultilevel"/>
    <w:tmpl w:val="D334002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0" w15:restartNumberingAfterBreak="0">
    <w:nsid w:val="32DF59A5"/>
    <w:multiLevelType w:val="multilevel"/>
    <w:tmpl w:val="6166E37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5886525"/>
    <w:multiLevelType w:val="multilevel"/>
    <w:tmpl w:val="99C4797C"/>
    <w:lvl w:ilvl="0">
      <w:start w:val="1"/>
      <w:numFmt w:val="decimal"/>
      <w:lvlText w:val="%1."/>
      <w:lvlJc w:val="left"/>
      <w:pPr>
        <w:ind w:left="720" w:hanging="360"/>
      </w:pPr>
      <w:rPr>
        <w:rFonts w:hint="default"/>
      </w:rPr>
    </w:lvl>
    <w:lvl w:ilvl="1">
      <w:start w:val="1"/>
      <w:numFmt w:val="decimal"/>
      <w:isLgl/>
      <w:lvlText w:val="%2."/>
      <w:lvlJc w:val="left"/>
      <w:pPr>
        <w:ind w:left="900" w:hanging="540"/>
      </w:pPr>
      <w:rPr>
        <w:rFonts w:ascii="Times New Roman" w:eastAsia="Times New Roman" w:hAnsi="Times New Roman" w:cs="Times New Roman"/>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AE0FD6"/>
    <w:multiLevelType w:val="hybridMultilevel"/>
    <w:tmpl w:val="72FE109A"/>
    <w:lvl w:ilvl="0" w:tplc="4BB2432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35F41C5D"/>
    <w:multiLevelType w:val="hybridMultilevel"/>
    <w:tmpl w:val="83C834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4A19A9"/>
    <w:multiLevelType w:val="multilevel"/>
    <w:tmpl w:val="ADB6AD42"/>
    <w:lvl w:ilvl="0">
      <w:start w:val="1"/>
      <w:numFmt w:val="upperRoman"/>
      <w:lvlText w:val="%1."/>
      <w:lvlJc w:val="left"/>
      <w:pPr>
        <w:ind w:left="1890" w:hanging="720"/>
      </w:pPr>
      <w:rPr>
        <w:rFonts w:hint="default"/>
        <w:b/>
        <w:bCs/>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15" w15:restartNumberingAfterBreak="0">
    <w:nsid w:val="41FC2B1C"/>
    <w:multiLevelType w:val="hybridMultilevel"/>
    <w:tmpl w:val="6E22698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C262C184">
      <w:start w:val="4"/>
      <w:numFmt w:val="upperLetter"/>
      <w:lvlText w:val="%3."/>
      <w:lvlJc w:val="left"/>
      <w:pPr>
        <w:ind w:left="2340" w:hanging="360"/>
      </w:pPr>
      <w:rPr>
        <w:rFonts w:hint="default"/>
        <w:b/>
      </w:rPr>
    </w:lvl>
    <w:lvl w:ilvl="3" w:tplc="DECA654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292293"/>
    <w:multiLevelType w:val="hybridMultilevel"/>
    <w:tmpl w:val="83E44F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2A391E"/>
    <w:multiLevelType w:val="hybridMultilevel"/>
    <w:tmpl w:val="74B4BC30"/>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F814D7"/>
    <w:multiLevelType w:val="hybridMultilevel"/>
    <w:tmpl w:val="5E6CDE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E16202"/>
    <w:multiLevelType w:val="hybridMultilevel"/>
    <w:tmpl w:val="432415B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7E6020"/>
    <w:multiLevelType w:val="multilevel"/>
    <w:tmpl w:val="C872664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253934"/>
    <w:multiLevelType w:val="hybridMultilevel"/>
    <w:tmpl w:val="F86E2848"/>
    <w:lvl w:ilvl="0" w:tplc="85161A94">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EE744A"/>
    <w:multiLevelType w:val="hybridMultilevel"/>
    <w:tmpl w:val="2FF065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8202B9"/>
    <w:multiLevelType w:val="hybridMultilevel"/>
    <w:tmpl w:val="35AEE13C"/>
    <w:lvl w:ilvl="0" w:tplc="9274D964">
      <w:start w:val="5"/>
      <w:numFmt w:val="lowerLetter"/>
      <w:lvlText w:val="%1)"/>
      <w:lvlJc w:val="left"/>
      <w:pPr>
        <w:ind w:left="15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4"/>
  </w:num>
  <w:num w:numId="3">
    <w:abstractNumId w:val="5"/>
  </w:num>
  <w:num w:numId="4">
    <w:abstractNumId w:val="15"/>
  </w:num>
  <w:num w:numId="5">
    <w:abstractNumId w:val="18"/>
  </w:num>
  <w:num w:numId="6">
    <w:abstractNumId w:val="22"/>
  </w:num>
  <w:num w:numId="7">
    <w:abstractNumId w:val="19"/>
  </w:num>
  <w:num w:numId="8">
    <w:abstractNumId w:val="13"/>
  </w:num>
  <w:num w:numId="9">
    <w:abstractNumId w:val="0"/>
  </w:num>
  <w:num w:numId="10">
    <w:abstractNumId w:val="17"/>
  </w:num>
  <w:num w:numId="11">
    <w:abstractNumId w:val="4"/>
  </w:num>
  <w:num w:numId="12">
    <w:abstractNumId w:val="23"/>
  </w:num>
  <w:num w:numId="13">
    <w:abstractNumId w:val="12"/>
  </w:num>
  <w:num w:numId="14">
    <w:abstractNumId w:val="1"/>
  </w:num>
  <w:num w:numId="15">
    <w:abstractNumId w:val="20"/>
  </w:num>
  <w:num w:numId="16">
    <w:abstractNumId w:val="16"/>
  </w:num>
  <w:num w:numId="17">
    <w:abstractNumId w:val="10"/>
  </w:num>
  <w:num w:numId="18">
    <w:abstractNumId w:val="21"/>
  </w:num>
  <w:num w:numId="19">
    <w:abstractNumId w:val="2"/>
  </w:num>
  <w:num w:numId="20">
    <w:abstractNumId w:val="6"/>
  </w:num>
  <w:num w:numId="21">
    <w:abstractNumId w:val="11"/>
  </w:num>
  <w:num w:numId="22">
    <w:abstractNumId w:val="3"/>
  </w:num>
  <w:num w:numId="23">
    <w:abstractNumId w:val="9"/>
  </w:num>
  <w:num w:numId="24">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DF"/>
    <w:rsid w:val="00001E50"/>
    <w:rsid w:val="0000290C"/>
    <w:rsid w:val="0000447A"/>
    <w:rsid w:val="000129F4"/>
    <w:rsid w:val="00013AA0"/>
    <w:rsid w:val="00014386"/>
    <w:rsid w:val="00014E87"/>
    <w:rsid w:val="00017737"/>
    <w:rsid w:val="000216DF"/>
    <w:rsid w:val="00022281"/>
    <w:rsid w:val="000233AB"/>
    <w:rsid w:val="00023B3E"/>
    <w:rsid w:val="00023C94"/>
    <w:rsid w:val="0002552A"/>
    <w:rsid w:val="00026376"/>
    <w:rsid w:val="00026669"/>
    <w:rsid w:val="00026C80"/>
    <w:rsid w:val="00026EBD"/>
    <w:rsid w:val="00026FD7"/>
    <w:rsid w:val="000271A7"/>
    <w:rsid w:val="000305A8"/>
    <w:rsid w:val="00035D23"/>
    <w:rsid w:val="00040569"/>
    <w:rsid w:val="00042E9B"/>
    <w:rsid w:val="000433B5"/>
    <w:rsid w:val="00043CFE"/>
    <w:rsid w:val="00044BD2"/>
    <w:rsid w:val="00046420"/>
    <w:rsid w:val="000476B5"/>
    <w:rsid w:val="00050C3A"/>
    <w:rsid w:val="00051754"/>
    <w:rsid w:val="00051D28"/>
    <w:rsid w:val="00053504"/>
    <w:rsid w:val="000542F6"/>
    <w:rsid w:val="000565E4"/>
    <w:rsid w:val="0005673F"/>
    <w:rsid w:val="00057446"/>
    <w:rsid w:val="00063D81"/>
    <w:rsid w:val="000644AB"/>
    <w:rsid w:val="00065074"/>
    <w:rsid w:val="00065697"/>
    <w:rsid w:val="00065774"/>
    <w:rsid w:val="00065D4A"/>
    <w:rsid w:val="00067C6F"/>
    <w:rsid w:val="000716A8"/>
    <w:rsid w:val="00071F3C"/>
    <w:rsid w:val="00073BE7"/>
    <w:rsid w:val="00074E38"/>
    <w:rsid w:val="00076CB1"/>
    <w:rsid w:val="00084F69"/>
    <w:rsid w:val="00085DE2"/>
    <w:rsid w:val="000878CA"/>
    <w:rsid w:val="00094761"/>
    <w:rsid w:val="000953FB"/>
    <w:rsid w:val="0009764D"/>
    <w:rsid w:val="000A079E"/>
    <w:rsid w:val="000A20F8"/>
    <w:rsid w:val="000A4EF2"/>
    <w:rsid w:val="000A5C72"/>
    <w:rsid w:val="000A6541"/>
    <w:rsid w:val="000A7574"/>
    <w:rsid w:val="000B29DF"/>
    <w:rsid w:val="000B3442"/>
    <w:rsid w:val="000B3A26"/>
    <w:rsid w:val="000B4947"/>
    <w:rsid w:val="000B4D07"/>
    <w:rsid w:val="000B7D99"/>
    <w:rsid w:val="000C0130"/>
    <w:rsid w:val="000C2C99"/>
    <w:rsid w:val="000C387C"/>
    <w:rsid w:val="000C41C4"/>
    <w:rsid w:val="000C502C"/>
    <w:rsid w:val="000C5836"/>
    <w:rsid w:val="000C5B6A"/>
    <w:rsid w:val="000C5BB5"/>
    <w:rsid w:val="000C7937"/>
    <w:rsid w:val="000D05F2"/>
    <w:rsid w:val="000D4283"/>
    <w:rsid w:val="000D5748"/>
    <w:rsid w:val="000D5A27"/>
    <w:rsid w:val="000D7586"/>
    <w:rsid w:val="000E3985"/>
    <w:rsid w:val="000E445B"/>
    <w:rsid w:val="000E4DD3"/>
    <w:rsid w:val="000F0F5E"/>
    <w:rsid w:val="000F2608"/>
    <w:rsid w:val="000F2A24"/>
    <w:rsid w:val="000F5D12"/>
    <w:rsid w:val="000F5D44"/>
    <w:rsid w:val="000F64A6"/>
    <w:rsid w:val="000F6853"/>
    <w:rsid w:val="000F7162"/>
    <w:rsid w:val="001029DA"/>
    <w:rsid w:val="001035B0"/>
    <w:rsid w:val="00104634"/>
    <w:rsid w:val="00105BFF"/>
    <w:rsid w:val="00111777"/>
    <w:rsid w:val="00114F40"/>
    <w:rsid w:val="00116395"/>
    <w:rsid w:val="00117136"/>
    <w:rsid w:val="0012001F"/>
    <w:rsid w:val="001218E1"/>
    <w:rsid w:val="00121948"/>
    <w:rsid w:val="00122050"/>
    <w:rsid w:val="00122D9F"/>
    <w:rsid w:val="00123177"/>
    <w:rsid w:val="0012454C"/>
    <w:rsid w:val="0013259A"/>
    <w:rsid w:val="001326C8"/>
    <w:rsid w:val="001334CB"/>
    <w:rsid w:val="00133950"/>
    <w:rsid w:val="00134F6B"/>
    <w:rsid w:val="001358D5"/>
    <w:rsid w:val="001400E2"/>
    <w:rsid w:val="0014024F"/>
    <w:rsid w:val="001450CB"/>
    <w:rsid w:val="00146838"/>
    <w:rsid w:val="00147A78"/>
    <w:rsid w:val="001506F6"/>
    <w:rsid w:val="00151B0D"/>
    <w:rsid w:val="001549E0"/>
    <w:rsid w:val="00154F54"/>
    <w:rsid w:val="00155F60"/>
    <w:rsid w:val="0015650C"/>
    <w:rsid w:val="001579FF"/>
    <w:rsid w:val="001629B2"/>
    <w:rsid w:val="00174500"/>
    <w:rsid w:val="00174DAF"/>
    <w:rsid w:val="00175593"/>
    <w:rsid w:val="00175F51"/>
    <w:rsid w:val="00177227"/>
    <w:rsid w:val="00181F2C"/>
    <w:rsid w:val="001832C6"/>
    <w:rsid w:val="00184D51"/>
    <w:rsid w:val="00184F77"/>
    <w:rsid w:val="001876B6"/>
    <w:rsid w:val="00187BE6"/>
    <w:rsid w:val="00190E18"/>
    <w:rsid w:val="00192F5F"/>
    <w:rsid w:val="001957C8"/>
    <w:rsid w:val="0019746B"/>
    <w:rsid w:val="00197C6C"/>
    <w:rsid w:val="00197E6F"/>
    <w:rsid w:val="001A100D"/>
    <w:rsid w:val="001A3C46"/>
    <w:rsid w:val="001A41A4"/>
    <w:rsid w:val="001A603F"/>
    <w:rsid w:val="001A721D"/>
    <w:rsid w:val="001B13A5"/>
    <w:rsid w:val="001B3691"/>
    <w:rsid w:val="001B4DDE"/>
    <w:rsid w:val="001B7511"/>
    <w:rsid w:val="001B7E42"/>
    <w:rsid w:val="001C14E5"/>
    <w:rsid w:val="001C3614"/>
    <w:rsid w:val="001D0328"/>
    <w:rsid w:val="001D5070"/>
    <w:rsid w:val="001D57B3"/>
    <w:rsid w:val="001F0D0A"/>
    <w:rsid w:val="001F15D4"/>
    <w:rsid w:val="001F1B5D"/>
    <w:rsid w:val="001F1D07"/>
    <w:rsid w:val="001F2174"/>
    <w:rsid w:val="001F235B"/>
    <w:rsid w:val="001F44BD"/>
    <w:rsid w:val="001F601F"/>
    <w:rsid w:val="00200334"/>
    <w:rsid w:val="002003C8"/>
    <w:rsid w:val="00201598"/>
    <w:rsid w:val="00201FA8"/>
    <w:rsid w:val="002024FA"/>
    <w:rsid w:val="00204CD5"/>
    <w:rsid w:val="00204CFF"/>
    <w:rsid w:val="00205987"/>
    <w:rsid w:val="00206C0A"/>
    <w:rsid w:val="00213FB5"/>
    <w:rsid w:val="00215343"/>
    <w:rsid w:val="00216009"/>
    <w:rsid w:val="0021737A"/>
    <w:rsid w:val="00217841"/>
    <w:rsid w:val="00222C75"/>
    <w:rsid w:val="002303BB"/>
    <w:rsid w:val="002338D6"/>
    <w:rsid w:val="0023390A"/>
    <w:rsid w:val="00233C1E"/>
    <w:rsid w:val="00233F5E"/>
    <w:rsid w:val="002360F6"/>
    <w:rsid w:val="00237DE0"/>
    <w:rsid w:val="00241D44"/>
    <w:rsid w:val="00242945"/>
    <w:rsid w:val="00245000"/>
    <w:rsid w:val="002509FB"/>
    <w:rsid w:val="00255C56"/>
    <w:rsid w:val="00255DB5"/>
    <w:rsid w:val="00262F3F"/>
    <w:rsid w:val="002636DA"/>
    <w:rsid w:val="00263AE3"/>
    <w:rsid w:val="002644FC"/>
    <w:rsid w:val="00264A4D"/>
    <w:rsid w:val="002745B3"/>
    <w:rsid w:val="0027736B"/>
    <w:rsid w:val="002774DC"/>
    <w:rsid w:val="002800DF"/>
    <w:rsid w:val="00282C29"/>
    <w:rsid w:val="0028318F"/>
    <w:rsid w:val="00286584"/>
    <w:rsid w:val="00286D4D"/>
    <w:rsid w:val="00286E40"/>
    <w:rsid w:val="00290AE2"/>
    <w:rsid w:val="00290C2C"/>
    <w:rsid w:val="00290DDC"/>
    <w:rsid w:val="00291338"/>
    <w:rsid w:val="0029435B"/>
    <w:rsid w:val="002A1888"/>
    <w:rsid w:val="002A1C39"/>
    <w:rsid w:val="002A1C61"/>
    <w:rsid w:val="002A1F2B"/>
    <w:rsid w:val="002A25BE"/>
    <w:rsid w:val="002A33BE"/>
    <w:rsid w:val="002A4507"/>
    <w:rsid w:val="002A794D"/>
    <w:rsid w:val="002B1234"/>
    <w:rsid w:val="002B22B9"/>
    <w:rsid w:val="002B2A84"/>
    <w:rsid w:val="002B3116"/>
    <w:rsid w:val="002B3B79"/>
    <w:rsid w:val="002B3B9A"/>
    <w:rsid w:val="002B541B"/>
    <w:rsid w:val="002B6273"/>
    <w:rsid w:val="002B7D15"/>
    <w:rsid w:val="002C13FA"/>
    <w:rsid w:val="002C20DA"/>
    <w:rsid w:val="002C4A70"/>
    <w:rsid w:val="002C4D09"/>
    <w:rsid w:val="002C6E09"/>
    <w:rsid w:val="002D0636"/>
    <w:rsid w:val="002D72EC"/>
    <w:rsid w:val="002E02D7"/>
    <w:rsid w:val="002E073A"/>
    <w:rsid w:val="002E236C"/>
    <w:rsid w:val="002E321A"/>
    <w:rsid w:val="002E3BFE"/>
    <w:rsid w:val="002E70CE"/>
    <w:rsid w:val="002F2EEF"/>
    <w:rsid w:val="002F7C79"/>
    <w:rsid w:val="00306396"/>
    <w:rsid w:val="00306F31"/>
    <w:rsid w:val="00307B84"/>
    <w:rsid w:val="00312A3C"/>
    <w:rsid w:val="003167D6"/>
    <w:rsid w:val="00316D76"/>
    <w:rsid w:val="00317A3A"/>
    <w:rsid w:val="00320DCC"/>
    <w:rsid w:val="00320F2E"/>
    <w:rsid w:val="003220F6"/>
    <w:rsid w:val="00322918"/>
    <w:rsid w:val="0032427E"/>
    <w:rsid w:val="00324FBF"/>
    <w:rsid w:val="003269E6"/>
    <w:rsid w:val="00326E6F"/>
    <w:rsid w:val="003315CB"/>
    <w:rsid w:val="00332556"/>
    <w:rsid w:val="00332AF5"/>
    <w:rsid w:val="00340017"/>
    <w:rsid w:val="00343E04"/>
    <w:rsid w:val="00343E39"/>
    <w:rsid w:val="00346B5E"/>
    <w:rsid w:val="00350433"/>
    <w:rsid w:val="003508D6"/>
    <w:rsid w:val="003510DC"/>
    <w:rsid w:val="00355992"/>
    <w:rsid w:val="003620D1"/>
    <w:rsid w:val="003637A1"/>
    <w:rsid w:val="003643DA"/>
    <w:rsid w:val="003645EF"/>
    <w:rsid w:val="00365384"/>
    <w:rsid w:val="00365532"/>
    <w:rsid w:val="00365592"/>
    <w:rsid w:val="00365A7B"/>
    <w:rsid w:val="003705CF"/>
    <w:rsid w:val="00371714"/>
    <w:rsid w:val="00376115"/>
    <w:rsid w:val="00376307"/>
    <w:rsid w:val="00380DE7"/>
    <w:rsid w:val="003824A3"/>
    <w:rsid w:val="00383126"/>
    <w:rsid w:val="003843E1"/>
    <w:rsid w:val="00387728"/>
    <w:rsid w:val="0038791A"/>
    <w:rsid w:val="00390494"/>
    <w:rsid w:val="0039334B"/>
    <w:rsid w:val="0039384D"/>
    <w:rsid w:val="00393DC8"/>
    <w:rsid w:val="00395071"/>
    <w:rsid w:val="003A06F1"/>
    <w:rsid w:val="003A1678"/>
    <w:rsid w:val="003A2DCB"/>
    <w:rsid w:val="003A35AA"/>
    <w:rsid w:val="003A5E1B"/>
    <w:rsid w:val="003B0BE5"/>
    <w:rsid w:val="003B21BF"/>
    <w:rsid w:val="003B26F6"/>
    <w:rsid w:val="003B2972"/>
    <w:rsid w:val="003B7D54"/>
    <w:rsid w:val="003C42C6"/>
    <w:rsid w:val="003C4BD4"/>
    <w:rsid w:val="003C6033"/>
    <w:rsid w:val="003D0901"/>
    <w:rsid w:val="003D1678"/>
    <w:rsid w:val="003D1930"/>
    <w:rsid w:val="003D1FAB"/>
    <w:rsid w:val="003E06E9"/>
    <w:rsid w:val="003E21E9"/>
    <w:rsid w:val="003E39D4"/>
    <w:rsid w:val="003E43D0"/>
    <w:rsid w:val="003E564D"/>
    <w:rsid w:val="003E604B"/>
    <w:rsid w:val="003E7C65"/>
    <w:rsid w:val="003F001E"/>
    <w:rsid w:val="003F11C7"/>
    <w:rsid w:val="003F2EF7"/>
    <w:rsid w:val="003F60DA"/>
    <w:rsid w:val="003F7DFF"/>
    <w:rsid w:val="0040060C"/>
    <w:rsid w:val="00410EBB"/>
    <w:rsid w:val="00410F96"/>
    <w:rsid w:val="0041307D"/>
    <w:rsid w:val="0041357B"/>
    <w:rsid w:val="00414CB7"/>
    <w:rsid w:val="00417C35"/>
    <w:rsid w:val="004217E0"/>
    <w:rsid w:val="004223C0"/>
    <w:rsid w:val="00422A72"/>
    <w:rsid w:val="00425739"/>
    <w:rsid w:val="004313F8"/>
    <w:rsid w:val="004317D0"/>
    <w:rsid w:val="004321B6"/>
    <w:rsid w:val="004337E2"/>
    <w:rsid w:val="00433D0D"/>
    <w:rsid w:val="004373E3"/>
    <w:rsid w:val="00440A42"/>
    <w:rsid w:val="004412B5"/>
    <w:rsid w:val="004415AF"/>
    <w:rsid w:val="0044488F"/>
    <w:rsid w:val="0044653F"/>
    <w:rsid w:val="0044660D"/>
    <w:rsid w:val="00447B95"/>
    <w:rsid w:val="00447D59"/>
    <w:rsid w:val="00452503"/>
    <w:rsid w:val="00452606"/>
    <w:rsid w:val="00455CB8"/>
    <w:rsid w:val="0046093E"/>
    <w:rsid w:val="00461E9F"/>
    <w:rsid w:val="0047201E"/>
    <w:rsid w:val="004748FE"/>
    <w:rsid w:val="00477C69"/>
    <w:rsid w:val="0048078C"/>
    <w:rsid w:val="00481B22"/>
    <w:rsid w:val="00481BBD"/>
    <w:rsid w:val="00482B03"/>
    <w:rsid w:val="00482FA7"/>
    <w:rsid w:val="00490910"/>
    <w:rsid w:val="004956C7"/>
    <w:rsid w:val="004A0ED1"/>
    <w:rsid w:val="004A3531"/>
    <w:rsid w:val="004A3DE6"/>
    <w:rsid w:val="004A408F"/>
    <w:rsid w:val="004A57EA"/>
    <w:rsid w:val="004A66B9"/>
    <w:rsid w:val="004B25F7"/>
    <w:rsid w:val="004B48B0"/>
    <w:rsid w:val="004B4D49"/>
    <w:rsid w:val="004B5B27"/>
    <w:rsid w:val="004B6F19"/>
    <w:rsid w:val="004C027F"/>
    <w:rsid w:val="004C0962"/>
    <w:rsid w:val="004C45E9"/>
    <w:rsid w:val="004C5B0E"/>
    <w:rsid w:val="004C75B0"/>
    <w:rsid w:val="004D00B2"/>
    <w:rsid w:val="004D0781"/>
    <w:rsid w:val="004D0942"/>
    <w:rsid w:val="004D7800"/>
    <w:rsid w:val="004E069A"/>
    <w:rsid w:val="004E07CB"/>
    <w:rsid w:val="004E3AF7"/>
    <w:rsid w:val="004E54BC"/>
    <w:rsid w:val="004E6939"/>
    <w:rsid w:val="004F30BF"/>
    <w:rsid w:val="004F3C35"/>
    <w:rsid w:val="004F56C3"/>
    <w:rsid w:val="005007E5"/>
    <w:rsid w:val="005021E9"/>
    <w:rsid w:val="005032C4"/>
    <w:rsid w:val="005035C0"/>
    <w:rsid w:val="00503B8C"/>
    <w:rsid w:val="00503E8F"/>
    <w:rsid w:val="00505695"/>
    <w:rsid w:val="00506E6E"/>
    <w:rsid w:val="00507045"/>
    <w:rsid w:val="005149A8"/>
    <w:rsid w:val="0052045E"/>
    <w:rsid w:val="00520E69"/>
    <w:rsid w:val="00521889"/>
    <w:rsid w:val="005221D7"/>
    <w:rsid w:val="0052250D"/>
    <w:rsid w:val="00522F6A"/>
    <w:rsid w:val="005232BF"/>
    <w:rsid w:val="00523A11"/>
    <w:rsid w:val="00524C2B"/>
    <w:rsid w:val="005304CE"/>
    <w:rsid w:val="00531509"/>
    <w:rsid w:val="00535051"/>
    <w:rsid w:val="00536443"/>
    <w:rsid w:val="00540578"/>
    <w:rsid w:val="00542777"/>
    <w:rsid w:val="005532F5"/>
    <w:rsid w:val="00554E73"/>
    <w:rsid w:val="00557BC2"/>
    <w:rsid w:val="005601D5"/>
    <w:rsid w:val="005609BF"/>
    <w:rsid w:val="005619F8"/>
    <w:rsid w:val="00562FBB"/>
    <w:rsid w:val="0056610C"/>
    <w:rsid w:val="00566EDE"/>
    <w:rsid w:val="0056714C"/>
    <w:rsid w:val="00570C37"/>
    <w:rsid w:val="0057112A"/>
    <w:rsid w:val="005774A4"/>
    <w:rsid w:val="005843C3"/>
    <w:rsid w:val="00586970"/>
    <w:rsid w:val="00590211"/>
    <w:rsid w:val="00592156"/>
    <w:rsid w:val="00593ECA"/>
    <w:rsid w:val="00594062"/>
    <w:rsid w:val="005956CD"/>
    <w:rsid w:val="005973D9"/>
    <w:rsid w:val="005974D2"/>
    <w:rsid w:val="005A1D82"/>
    <w:rsid w:val="005A5997"/>
    <w:rsid w:val="005A5DD9"/>
    <w:rsid w:val="005A6F0F"/>
    <w:rsid w:val="005A72DD"/>
    <w:rsid w:val="005A762F"/>
    <w:rsid w:val="005A7FC0"/>
    <w:rsid w:val="005B1446"/>
    <w:rsid w:val="005B1561"/>
    <w:rsid w:val="005B4538"/>
    <w:rsid w:val="005B4EB6"/>
    <w:rsid w:val="005B5109"/>
    <w:rsid w:val="005B5ED1"/>
    <w:rsid w:val="005B66E9"/>
    <w:rsid w:val="005B6CED"/>
    <w:rsid w:val="005B7571"/>
    <w:rsid w:val="005B7CCA"/>
    <w:rsid w:val="005C406C"/>
    <w:rsid w:val="005C7370"/>
    <w:rsid w:val="005D4BBB"/>
    <w:rsid w:val="005D5166"/>
    <w:rsid w:val="005E2A27"/>
    <w:rsid w:val="005E3367"/>
    <w:rsid w:val="005E7369"/>
    <w:rsid w:val="005F17B4"/>
    <w:rsid w:val="005F297B"/>
    <w:rsid w:val="005F564C"/>
    <w:rsid w:val="005F6713"/>
    <w:rsid w:val="005F6BF7"/>
    <w:rsid w:val="005F7629"/>
    <w:rsid w:val="00600105"/>
    <w:rsid w:val="0060186E"/>
    <w:rsid w:val="00603C7E"/>
    <w:rsid w:val="0060501D"/>
    <w:rsid w:val="00613899"/>
    <w:rsid w:val="00615958"/>
    <w:rsid w:val="00621680"/>
    <w:rsid w:val="006220CB"/>
    <w:rsid w:val="00622569"/>
    <w:rsid w:val="0062271D"/>
    <w:rsid w:val="00624C01"/>
    <w:rsid w:val="0062526A"/>
    <w:rsid w:val="006266F2"/>
    <w:rsid w:val="00627974"/>
    <w:rsid w:val="00631CD0"/>
    <w:rsid w:val="00634C41"/>
    <w:rsid w:val="006355F7"/>
    <w:rsid w:val="00635B06"/>
    <w:rsid w:val="006416CF"/>
    <w:rsid w:val="00642464"/>
    <w:rsid w:val="00642CB0"/>
    <w:rsid w:val="00643FAA"/>
    <w:rsid w:val="00646FEF"/>
    <w:rsid w:val="0065086B"/>
    <w:rsid w:val="00652355"/>
    <w:rsid w:val="006529C3"/>
    <w:rsid w:val="00652F29"/>
    <w:rsid w:val="00655288"/>
    <w:rsid w:val="00655B86"/>
    <w:rsid w:val="00661D22"/>
    <w:rsid w:val="00663D5E"/>
    <w:rsid w:val="00666118"/>
    <w:rsid w:val="006661BF"/>
    <w:rsid w:val="0066703E"/>
    <w:rsid w:val="00670983"/>
    <w:rsid w:val="00670FAD"/>
    <w:rsid w:val="00671763"/>
    <w:rsid w:val="00672067"/>
    <w:rsid w:val="006725C0"/>
    <w:rsid w:val="00673A55"/>
    <w:rsid w:val="00675B43"/>
    <w:rsid w:val="006801C7"/>
    <w:rsid w:val="00680CDC"/>
    <w:rsid w:val="00681E30"/>
    <w:rsid w:val="00683023"/>
    <w:rsid w:val="006843A5"/>
    <w:rsid w:val="00685B0F"/>
    <w:rsid w:val="00687719"/>
    <w:rsid w:val="00687C0B"/>
    <w:rsid w:val="00690EFF"/>
    <w:rsid w:val="00692360"/>
    <w:rsid w:val="0069305C"/>
    <w:rsid w:val="00693FF5"/>
    <w:rsid w:val="00694C90"/>
    <w:rsid w:val="00694FBE"/>
    <w:rsid w:val="0069575D"/>
    <w:rsid w:val="0069732C"/>
    <w:rsid w:val="00697F65"/>
    <w:rsid w:val="006A2AE6"/>
    <w:rsid w:val="006A380D"/>
    <w:rsid w:val="006A4018"/>
    <w:rsid w:val="006A4D8F"/>
    <w:rsid w:val="006A68DD"/>
    <w:rsid w:val="006A74AE"/>
    <w:rsid w:val="006A79B9"/>
    <w:rsid w:val="006B21DC"/>
    <w:rsid w:val="006B2787"/>
    <w:rsid w:val="006B3755"/>
    <w:rsid w:val="006B3BC1"/>
    <w:rsid w:val="006B529E"/>
    <w:rsid w:val="006B6BC4"/>
    <w:rsid w:val="006B7D6A"/>
    <w:rsid w:val="006C05CD"/>
    <w:rsid w:val="006C0EF1"/>
    <w:rsid w:val="006D0D6C"/>
    <w:rsid w:val="006D1A76"/>
    <w:rsid w:val="006D21BE"/>
    <w:rsid w:val="006D4475"/>
    <w:rsid w:val="006D4C50"/>
    <w:rsid w:val="006D4FCF"/>
    <w:rsid w:val="006D57DB"/>
    <w:rsid w:val="006D61A4"/>
    <w:rsid w:val="006D6292"/>
    <w:rsid w:val="006D63B0"/>
    <w:rsid w:val="006D6EF8"/>
    <w:rsid w:val="006D74CF"/>
    <w:rsid w:val="006D786C"/>
    <w:rsid w:val="006D79CF"/>
    <w:rsid w:val="006E085B"/>
    <w:rsid w:val="006E0EDB"/>
    <w:rsid w:val="006E18C4"/>
    <w:rsid w:val="006E4BBF"/>
    <w:rsid w:val="006E5E3E"/>
    <w:rsid w:val="006F0831"/>
    <w:rsid w:val="006F23EA"/>
    <w:rsid w:val="006F27D4"/>
    <w:rsid w:val="006F4766"/>
    <w:rsid w:val="006F5B58"/>
    <w:rsid w:val="0070325F"/>
    <w:rsid w:val="0070360E"/>
    <w:rsid w:val="007057D6"/>
    <w:rsid w:val="00710CC1"/>
    <w:rsid w:val="00713AF1"/>
    <w:rsid w:val="00714ACF"/>
    <w:rsid w:val="007151E7"/>
    <w:rsid w:val="00726D57"/>
    <w:rsid w:val="007309E4"/>
    <w:rsid w:val="00731109"/>
    <w:rsid w:val="00731832"/>
    <w:rsid w:val="00731BED"/>
    <w:rsid w:val="00731C25"/>
    <w:rsid w:val="0073480D"/>
    <w:rsid w:val="00735BDA"/>
    <w:rsid w:val="007375C4"/>
    <w:rsid w:val="00740F79"/>
    <w:rsid w:val="00741C50"/>
    <w:rsid w:val="007444D4"/>
    <w:rsid w:val="00746641"/>
    <w:rsid w:val="007475F2"/>
    <w:rsid w:val="0074796C"/>
    <w:rsid w:val="00750281"/>
    <w:rsid w:val="00751547"/>
    <w:rsid w:val="0075370D"/>
    <w:rsid w:val="007543E6"/>
    <w:rsid w:val="0075651C"/>
    <w:rsid w:val="007571E3"/>
    <w:rsid w:val="007609E9"/>
    <w:rsid w:val="00760EE2"/>
    <w:rsid w:val="00761860"/>
    <w:rsid w:val="00763DF4"/>
    <w:rsid w:val="00765171"/>
    <w:rsid w:val="00765EBE"/>
    <w:rsid w:val="007660BE"/>
    <w:rsid w:val="00770122"/>
    <w:rsid w:val="0077033A"/>
    <w:rsid w:val="00771573"/>
    <w:rsid w:val="00772152"/>
    <w:rsid w:val="007757AF"/>
    <w:rsid w:val="007757C2"/>
    <w:rsid w:val="00781548"/>
    <w:rsid w:val="007816F2"/>
    <w:rsid w:val="007823D9"/>
    <w:rsid w:val="0078384F"/>
    <w:rsid w:val="0078541F"/>
    <w:rsid w:val="0078647E"/>
    <w:rsid w:val="00787032"/>
    <w:rsid w:val="0079068B"/>
    <w:rsid w:val="007930C3"/>
    <w:rsid w:val="00796059"/>
    <w:rsid w:val="00797B4F"/>
    <w:rsid w:val="00797EAF"/>
    <w:rsid w:val="007A16B1"/>
    <w:rsid w:val="007A1A7B"/>
    <w:rsid w:val="007A303A"/>
    <w:rsid w:val="007A79CE"/>
    <w:rsid w:val="007B09AB"/>
    <w:rsid w:val="007B47C8"/>
    <w:rsid w:val="007B5F9F"/>
    <w:rsid w:val="007C320D"/>
    <w:rsid w:val="007D118E"/>
    <w:rsid w:val="007D51B5"/>
    <w:rsid w:val="007D5E2F"/>
    <w:rsid w:val="007E3DB2"/>
    <w:rsid w:val="007E60F4"/>
    <w:rsid w:val="007E66DF"/>
    <w:rsid w:val="007E676F"/>
    <w:rsid w:val="007F152B"/>
    <w:rsid w:val="007F2798"/>
    <w:rsid w:val="007F43DE"/>
    <w:rsid w:val="007F497D"/>
    <w:rsid w:val="007F4B49"/>
    <w:rsid w:val="007F4C93"/>
    <w:rsid w:val="007F5337"/>
    <w:rsid w:val="007F6267"/>
    <w:rsid w:val="007F657B"/>
    <w:rsid w:val="007F6658"/>
    <w:rsid w:val="00800AE3"/>
    <w:rsid w:val="00800E82"/>
    <w:rsid w:val="00801900"/>
    <w:rsid w:val="008037C0"/>
    <w:rsid w:val="00804BFF"/>
    <w:rsid w:val="008064B5"/>
    <w:rsid w:val="00811545"/>
    <w:rsid w:val="00815174"/>
    <w:rsid w:val="008230AC"/>
    <w:rsid w:val="00823E92"/>
    <w:rsid w:val="00825E96"/>
    <w:rsid w:val="0083190E"/>
    <w:rsid w:val="00831F87"/>
    <w:rsid w:val="00842870"/>
    <w:rsid w:val="008442B9"/>
    <w:rsid w:val="00845BAA"/>
    <w:rsid w:val="00846827"/>
    <w:rsid w:val="0085007C"/>
    <w:rsid w:val="008530D4"/>
    <w:rsid w:val="0086173F"/>
    <w:rsid w:val="008624B9"/>
    <w:rsid w:val="008626A8"/>
    <w:rsid w:val="00863BC2"/>
    <w:rsid w:val="00864AAD"/>
    <w:rsid w:val="008657B2"/>
    <w:rsid w:val="00870BAA"/>
    <w:rsid w:val="00877055"/>
    <w:rsid w:val="00877737"/>
    <w:rsid w:val="00877BF3"/>
    <w:rsid w:val="00884829"/>
    <w:rsid w:val="008877E0"/>
    <w:rsid w:val="00890992"/>
    <w:rsid w:val="0089686F"/>
    <w:rsid w:val="00896A5B"/>
    <w:rsid w:val="008A0316"/>
    <w:rsid w:val="008A0348"/>
    <w:rsid w:val="008A06CB"/>
    <w:rsid w:val="008A1588"/>
    <w:rsid w:val="008A2636"/>
    <w:rsid w:val="008A2D2E"/>
    <w:rsid w:val="008A3CEA"/>
    <w:rsid w:val="008A3F31"/>
    <w:rsid w:val="008A3FB4"/>
    <w:rsid w:val="008A48B6"/>
    <w:rsid w:val="008A4CA1"/>
    <w:rsid w:val="008B0333"/>
    <w:rsid w:val="008B0CDC"/>
    <w:rsid w:val="008B0D7B"/>
    <w:rsid w:val="008B14A6"/>
    <w:rsid w:val="008B72F5"/>
    <w:rsid w:val="008C0399"/>
    <w:rsid w:val="008C2B9A"/>
    <w:rsid w:val="008C33A2"/>
    <w:rsid w:val="008C443C"/>
    <w:rsid w:val="008C53CC"/>
    <w:rsid w:val="008C61E3"/>
    <w:rsid w:val="008D0568"/>
    <w:rsid w:val="008D4B32"/>
    <w:rsid w:val="008E0ABC"/>
    <w:rsid w:val="008E0AEB"/>
    <w:rsid w:val="008E19E7"/>
    <w:rsid w:val="008E3055"/>
    <w:rsid w:val="008E3CB5"/>
    <w:rsid w:val="008F0101"/>
    <w:rsid w:val="008F0BF0"/>
    <w:rsid w:val="008F24ED"/>
    <w:rsid w:val="008F29C2"/>
    <w:rsid w:val="008F2CC3"/>
    <w:rsid w:val="008F3DB6"/>
    <w:rsid w:val="008F52C2"/>
    <w:rsid w:val="008F755F"/>
    <w:rsid w:val="008F788E"/>
    <w:rsid w:val="00901592"/>
    <w:rsid w:val="00903276"/>
    <w:rsid w:val="00905CAF"/>
    <w:rsid w:val="0090705F"/>
    <w:rsid w:val="00910B25"/>
    <w:rsid w:val="00914D80"/>
    <w:rsid w:val="00915343"/>
    <w:rsid w:val="00916680"/>
    <w:rsid w:val="00921000"/>
    <w:rsid w:val="00921779"/>
    <w:rsid w:val="00922ACE"/>
    <w:rsid w:val="00922D80"/>
    <w:rsid w:val="00924F61"/>
    <w:rsid w:val="00931F25"/>
    <w:rsid w:val="00932F25"/>
    <w:rsid w:val="009356D2"/>
    <w:rsid w:val="0093584D"/>
    <w:rsid w:val="00941C5E"/>
    <w:rsid w:val="009425CF"/>
    <w:rsid w:val="009430E5"/>
    <w:rsid w:val="00943851"/>
    <w:rsid w:val="00946E56"/>
    <w:rsid w:val="00951046"/>
    <w:rsid w:val="00954CB7"/>
    <w:rsid w:val="0095521F"/>
    <w:rsid w:val="0095549B"/>
    <w:rsid w:val="0095609D"/>
    <w:rsid w:val="00957B02"/>
    <w:rsid w:val="00964340"/>
    <w:rsid w:val="009653AD"/>
    <w:rsid w:val="00967DD3"/>
    <w:rsid w:val="00974956"/>
    <w:rsid w:val="00974BD7"/>
    <w:rsid w:val="0097719D"/>
    <w:rsid w:val="00977991"/>
    <w:rsid w:val="00980212"/>
    <w:rsid w:val="0098503C"/>
    <w:rsid w:val="0098752E"/>
    <w:rsid w:val="00990929"/>
    <w:rsid w:val="009925D1"/>
    <w:rsid w:val="00993ED3"/>
    <w:rsid w:val="00994196"/>
    <w:rsid w:val="00994C97"/>
    <w:rsid w:val="00996536"/>
    <w:rsid w:val="00996F54"/>
    <w:rsid w:val="009979DF"/>
    <w:rsid w:val="009A1850"/>
    <w:rsid w:val="009A1B2B"/>
    <w:rsid w:val="009A1F59"/>
    <w:rsid w:val="009A2B15"/>
    <w:rsid w:val="009A303A"/>
    <w:rsid w:val="009A6AE2"/>
    <w:rsid w:val="009A6B95"/>
    <w:rsid w:val="009B5558"/>
    <w:rsid w:val="009B6280"/>
    <w:rsid w:val="009B6AA8"/>
    <w:rsid w:val="009C10B4"/>
    <w:rsid w:val="009C3F3B"/>
    <w:rsid w:val="009C478E"/>
    <w:rsid w:val="009C75D4"/>
    <w:rsid w:val="009C7EF1"/>
    <w:rsid w:val="009D1B78"/>
    <w:rsid w:val="009D2456"/>
    <w:rsid w:val="009D3A7D"/>
    <w:rsid w:val="009D3FD8"/>
    <w:rsid w:val="009E2F20"/>
    <w:rsid w:val="009E40EE"/>
    <w:rsid w:val="009E64D6"/>
    <w:rsid w:val="009E7455"/>
    <w:rsid w:val="009F0F2B"/>
    <w:rsid w:val="009F62B2"/>
    <w:rsid w:val="009F71D7"/>
    <w:rsid w:val="00A070FF"/>
    <w:rsid w:val="00A10D80"/>
    <w:rsid w:val="00A12DF8"/>
    <w:rsid w:val="00A14066"/>
    <w:rsid w:val="00A1429E"/>
    <w:rsid w:val="00A15F6E"/>
    <w:rsid w:val="00A17335"/>
    <w:rsid w:val="00A17773"/>
    <w:rsid w:val="00A23A6A"/>
    <w:rsid w:val="00A26E49"/>
    <w:rsid w:val="00A32F14"/>
    <w:rsid w:val="00A33037"/>
    <w:rsid w:val="00A34767"/>
    <w:rsid w:val="00A35A35"/>
    <w:rsid w:val="00A35C48"/>
    <w:rsid w:val="00A3729E"/>
    <w:rsid w:val="00A4141B"/>
    <w:rsid w:val="00A4204C"/>
    <w:rsid w:val="00A448FD"/>
    <w:rsid w:val="00A449AA"/>
    <w:rsid w:val="00A457F7"/>
    <w:rsid w:val="00A47118"/>
    <w:rsid w:val="00A5335A"/>
    <w:rsid w:val="00A543D1"/>
    <w:rsid w:val="00A572F7"/>
    <w:rsid w:val="00A60032"/>
    <w:rsid w:val="00A60A6F"/>
    <w:rsid w:val="00A61656"/>
    <w:rsid w:val="00A671B2"/>
    <w:rsid w:val="00A71DA9"/>
    <w:rsid w:val="00A76242"/>
    <w:rsid w:val="00A818A3"/>
    <w:rsid w:val="00A821EE"/>
    <w:rsid w:val="00A863CC"/>
    <w:rsid w:val="00A86EB2"/>
    <w:rsid w:val="00A9066D"/>
    <w:rsid w:val="00A906FC"/>
    <w:rsid w:val="00A91A37"/>
    <w:rsid w:val="00A921FE"/>
    <w:rsid w:val="00A925B3"/>
    <w:rsid w:val="00A92CDA"/>
    <w:rsid w:val="00A95447"/>
    <w:rsid w:val="00A96571"/>
    <w:rsid w:val="00AA29E1"/>
    <w:rsid w:val="00AA5701"/>
    <w:rsid w:val="00AA7AC4"/>
    <w:rsid w:val="00AA7E13"/>
    <w:rsid w:val="00AB0B36"/>
    <w:rsid w:val="00AB3C4C"/>
    <w:rsid w:val="00AB4BE8"/>
    <w:rsid w:val="00AB4CB7"/>
    <w:rsid w:val="00AB4F28"/>
    <w:rsid w:val="00AB73FD"/>
    <w:rsid w:val="00AB7A63"/>
    <w:rsid w:val="00AC0C82"/>
    <w:rsid w:val="00AC1522"/>
    <w:rsid w:val="00AC1BC8"/>
    <w:rsid w:val="00AC4AD0"/>
    <w:rsid w:val="00AC4DEE"/>
    <w:rsid w:val="00AC5A1D"/>
    <w:rsid w:val="00AC7983"/>
    <w:rsid w:val="00AD09EB"/>
    <w:rsid w:val="00AD1E40"/>
    <w:rsid w:val="00AD2963"/>
    <w:rsid w:val="00AE15F0"/>
    <w:rsid w:val="00AE162F"/>
    <w:rsid w:val="00AE31E1"/>
    <w:rsid w:val="00AE7CEB"/>
    <w:rsid w:val="00AF40ED"/>
    <w:rsid w:val="00AF43AB"/>
    <w:rsid w:val="00AF4ED3"/>
    <w:rsid w:val="00AF5A37"/>
    <w:rsid w:val="00AF6BD8"/>
    <w:rsid w:val="00B043AC"/>
    <w:rsid w:val="00B04DA0"/>
    <w:rsid w:val="00B10652"/>
    <w:rsid w:val="00B107C2"/>
    <w:rsid w:val="00B10FBC"/>
    <w:rsid w:val="00B12DFA"/>
    <w:rsid w:val="00B2069D"/>
    <w:rsid w:val="00B2081A"/>
    <w:rsid w:val="00B22D2B"/>
    <w:rsid w:val="00B2540E"/>
    <w:rsid w:val="00B26892"/>
    <w:rsid w:val="00B274F6"/>
    <w:rsid w:val="00B332D2"/>
    <w:rsid w:val="00B36CBC"/>
    <w:rsid w:val="00B4121C"/>
    <w:rsid w:val="00B41372"/>
    <w:rsid w:val="00B42B2C"/>
    <w:rsid w:val="00B43F45"/>
    <w:rsid w:val="00B45EF7"/>
    <w:rsid w:val="00B53F65"/>
    <w:rsid w:val="00B54E57"/>
    <w:rsid w:val="00B561D3"/>
    <w:rsid w:val="00B57495"/>
    <w:rsid w:val="00B60AA0"/>
    <w:rsid w:val="00B61A98"/>
    <w:rsid w:val="00B6420F"/>
    <w:rsid w:val="00B64DA4"/>
    <w:rsid w:val="00B67A99"/>
    <w:rsid w:val="00B705B0"/>
    <w:rsid w:val="00B70622"/>
    <w:rsid w:val="00B714B4"/>
    <w:rsid w:val="00B730B0"/>
    <w:rsid w:val="00B7329A"/>
    <w:rsid w:val="00B73C2F"/>
    <w:rsid w:val="00B74776"/>
    <w:rsid w:val="00B757F8"/>
    <w:rsid w:val="00B758EF"/>
    <w:rsid w:val="00B7781E"/>
    <w:rsid w:val="00B77C8C"/>
    <w:rsid w:val="00B80755"/>
    <w:rsid w:val="00B84EB0"/>
    <w:rsid w:val="00B86159"/>
    <w:rsid w:val="00B90A5D"/>
    <w:rsid w:val="00B91744"/>
    <w:rsid w:val="00B92B1D"/>
    <w:rsid w:val="00B945B3"/>
    <w:rsid w:val="00BA2E42"/>
    <w:rsid w:val="00BA5F0D"/>
    <w:rsid w:val="00BB0F0C"/>
    <w:rsid w:val="00BB595F"/>
    <w:rsid w:val="00BB5A55"/>
    <w:rsid w:val="00BB5BEC"/>
    <w:rsid w:val="00BC1DA1"/>
    <w:rsid w:val="00BC428D"/>
    <w:rsid w:val="00BC53E0"/>
    <w:rsid w:val="00BC566E"/>
    <w:rsid w:val="00BD0529"/>
    <w:rsid w:val="00BD39FE"/>
    <w:rsid w:val="00BD3E0D"/>
    <w:rsid w:val="00BD409B"/>
    <w:rsid w:val="00BD44D9"/>
    <w:rsid w:val="00BD5735"/>
    <w:rsid w:val="00BE1FCD"/>
    <w:rsid w:val="00BE2B49"/>
    <w:rsid w:val="00BE317B"/>
    <w:rsid w:val="00BE35D7"/>
    <w:rsid w:val="00BE3D41"/>
    <w:rsid w:val="00BE63DE"/>
    <w:rsid w:val="00BE6B2F"/>
    <w:rsid w:val="00BF1CE0"/>
    <w:rsid w:val="00BF2928"/>
    <w:rsid w:val="00BF39A1"/>
    <w:rsid w:val="00BF3B52"/>
    <w:rsid w:val="00BF6697"/>
    <w:rsid w:val="00BF73A1"/>
    <w:rsid w:val="00C01CB0"/>
    <w:rsid w:val="00C0381B"/>
    <w:rsid w:val="00C06413"/>
    <w:rsid w:val="00C06A47"/>
    <w:rsid w:val="00C119D5"/>
    <w:rsid w:val="00C12930"/>
    <w:rsid w:val="00C137A6"/>
    <w:rsid w:val="00C14EDF"/>
    <w:rsid w:val="00C155C3"/>
    <w:rsid w:val="00C2000F"/>
    <w:rsid w:val="00C215C0"/>
    <w:rsid w:val="00C22902"/>
    <w:rsid w:val="00C22FCB"/>
    <w:rsid w:val="00C24EE5"/>
    <w:rsid w:val="00C25883"/>
    <w:rsid w:val="00C26272"/>
    <w:rsid w:val="00C30392"/>
    <w:rsid w:val="00C31B5B"/>
    <w:rsid w:val="00C345FB"/>
    <w:rsid w:val="00C42C89"/>
    <w:rsid w:val="00C4399E"/>
    <w:rsid w:val="00C44D5D"/>
    <w:rsid w:val="00C47310"/>
    <w:rsid w:val="00C51768"/>
    <w:rsid w:val="00C524B8"/>
    <w:rsid w:val="00C53E4C"/>
    <w:rsid w:val="00C5404D"/>
    <w:rsid w:val="00C55C85"/>
    <w:rsid w:val="00C57E24"/>
    <w:rsid w:val="00C607ED"/>
    <w:rsid w:val="00C60903"/>
    <w:rsid w:val="00C61313"/>
    <w:rsid w:val="00C617A3"/>
    <w:rsid w:val="00C6338E"/>
    <w:rsid w:val="00C64CC0"/>
    <w:rsid w:val="00C67A62"/>
    <w:rsid w:val="00C67E94"/>
    <w:rsid w:val="00C711E4"/>
    <w:rsid w:val="00C73A51"/>
    <w:rsid w:val="00C75C62"/>
    <w:rsid w:val="00C76555"/>
    <w:rsid w:val="00C77210"/>
    <w:rsid w:val="00C7721B"/>
    <w:rsid w:val="00C77BB5"/>
    <w:rsid w:val="00C81102"/>
    <w:rsid w:val="00C811EF"/>
    <w:rsid w:val="00C812DF"/>
    <w:rsid w:val="00C81C6B"/>
    <w:rsid w:val="00C83979"/>
    <w:rsid w:val="00C855BE"/>
    <w:rsid w:val="00C86386"/>
    <w:rsid w:val="00C867C5"/>
    <w:rsid w:val="00C9043E"/>
    <w:rsid w:val="00C9599B"/>
    <w:rsid w:val="00C963D0"/>
    <w:rsid w:val="00C96C72"/>
    <w:rsid w:val="00CA0474"/>
    <w:rsid w:val="00CA1660"/>
    <w:rsid w:val="00CA20C9"/>
    <w:rsid w:val="00CA20D5"/>
    <w:rsid w:val="00CA3914"/>
    <w:rsid w:val="00CA42BD"/>
    <w:rsid w:val="00CA48F2"/>
    <w:rsid w:val="00CA7D8C"/>
    <w:rsid w:val="00CB02E9"/>
    <w:rsid w:val="00CB038B"/>
    <w:rsid w:val="00CB0624"/>
    <w:rsid w:val="00CB1490"/>
    <w:rsid w:val="00CB173B"/>
    <w:rsid w:val="00CB4538"/>
    <w:rsid w:val="00CB5CE8"/>
    <w:rsid w:val="00CB7742"/>
    <w:rsid w:val="00CC2D4F"/>
    <w:rsid w:val="00CC3761"/>
    <w:rsid w:val="00CC3AEE"/>
    <w:rsid w:val="00CC50EE"/>
    <w:rsid w:val="00CC5A75"/>
    <w:rsid w:val="00CC63D8"/>
    <w:rsid w:val="00CD05EC"/>
    <w:rsid w:val="00CD1B6E"/>
    <w:rsid w:val="00CD2EB5"/>
    <w:rsid w:val="00CD409F"/>
    <w:rsid w:val="00CD4F5B"/>
    <w:rsid w:val="00CD5620"/>
    <w:rsid w:val="00CD5898"/>
    <w:rsid w:val="00CE1758"/>
    <w:rsid w:val="00CE44A5"/>
    <w:rsid w:val="00CF033F"/>
    <w:rsid w:val="00CF051C"/>
    <w:rsid w:val="00CF2CA2"/>
    <w:rsid w:val="00CF305D"/>
    <w:rsid w:val="00CF3147"/>
    <w:rsid w:val="00CF31BC"/>
    <w:rsid w:val="00CF36F2"/>
    <w:rsid w:val="00CF5A81"/>
    <w:rsid w:val="00CF5C1C"/>
    <w:rsid w:val="00D00C84"/>
    <w:rsid w:val="00D0171F"/>
    <w:rsid w:val="00D02B93"/>
    <w:rsid w:val="00D02C1B"/>
    <w:rsid w:val="00D03778"/>
    <w:rsid w:val="00D066E1"/>
    <w:rsid w:val="00D07E36"/>
    <w:rsid w:val="00D07E87"/>
    <w:rsid w:val="00D11F78"/>
    <w:rsid w:val="00D130A6"/>
    <w:rsid w:val="00D15A3A"/>
    <w:rsid w:val="00D15AD9"/>
    <w:rsid w:val="00D15E20"/>
    <w:rsid w:val="00D1630D"/>
    <w:rsid w:val="00D16E48"/>
    <w:rsid w:val="00D201B6"/>
    <w:rsid w:val="00D204FD"/>
    <w:rsid w:val="00D2058B"/>
    <w:rsid w:val="00D2071F"/>
    <w:rsid w:val="00D227EA"/>
    <w:rsid w:val="00D23D5E"/>
    <w:rsid w:val="00D241CD"/>
    <w:rsid w:val="00D254F7"/>
    <w:rsid w:val="00D26473"/>
    <w:rsid w:val="00D31C75"/>
    <w:rsid w:val="00D345FC"/>
    <w:rsid w:val="00D34CCF"/>
    <w:rsid w:val="00D351ED"/>
    <w:rsid w:val="00D35390"/>
    <w:rsid w:val="00D35525"/>
    <w:rsid w:val="00D3581D"/>
    <w:rsid w:val="00D40933"/>
    <w:rsid w:val="00D41DB2"/>
    <w:rsid w:val="00D4517D"/>
    <w:rsid w:val="00D452F9"/>
    <w:rsid w:val="00D47753"/>
    <w:rsid w:val="00D52F25"/>
    <w:rsid w:val="00D5368A"/>
    <w:rsid w:val="00D560B4"/>
    <w:rsid w:val="00D57767"/>
    <w:rsid w:val="00D57E83"/>
    <w:rsid w:val="00D60102"/>
    <w:rsid w:val="00D636CD"/>
    <w:rsid w:val="00D63DA2"/>
    <w:rsid w:val="00D644D9"/>
    <w:rsid w:val="00D664EF"/>
    <w:rsid w:val="00D67CA3"/>
    <w:rsid w:val="00D70BE6"/>
    <w:rsid w:val="00D724AA"/>
    <w:rsid w:val="00D768E1"/>
    <w:rsid w:val="00D76C60"/>
    <w:rsid w:val="00D804AE"/>
    <w:rsid w:val="00D83B5A"/>
    <w:rsid w:val="00D85065"/>
    <w:rsid w:val="00D910F3"/>
    <w:rsid w:val="00D91335"/>
    <w:rsid w:val="00D9343E"/>
    <w:rsid w:val="00D95CA7"/>
    <w:rsid w:val="00D9683F"/>
    <w:rsid w:val="00DA0233"/>
    <w:rsid w:val="00DA2D85"/>
    <w:rsid w:val="00DA3A13"/>
    <w:rsid w:val="00DA478E"/>
    <w:rsid w:val="00DA4A14"/>
    <w:rsid w:val="00DB1874"/>
    <w:rsid w:val="00DB1CF9"/>
    <w:rsid w:val="00DB70A8"/>
    <w:rsid w:val="00DB77D6"/>
    <w:rsid w:val="00DC091D"/>
    <w:rsid w:val="00DC2D6E"/>
    <w:rsid w:val="00DC2E4F"/>
    <w:rsid w:val="00DC71AA"/>
    <w:rsid w:val="00DD10E0"/>
    <w:rsid w:val="00DD1A79"/>
    <w:rsid w:val="00DD2419"/>
    <w:rsid w:val="00DD45B2"/>
    <w:rsid w:val="00DD54F4"/>
    <w:rsid w:val="00DD55B0"/>
    <w:rsid w:val="00DE0AC7"/>
    <w:rsid w:val="00DE1359"/>
    <w:rsid w:val="00DE5A41"/>
    <w:rsid w:val="00DE61B4"/>
    <w:rsid w:val="00DE75A2"/>
    <w:rsid w:val="00DF1217"/>
    <w:rsid w:val="00DF1583"/>
    <w:rsid w:val="00DF1B5F"/>
    <w:rsid w:val="00DF31A1"/>
    <w:rsid w:val="00DF38F4"/>
    <w:rsid w:val="00DF3906"/>
    <w:rsid w:val="00DF4B5A"/>
    <w:rsid w:val="00DF565D"/>
    <w:rsid w:val="00E00445"/>
    <w:rsid w:val="00E10494"/>
    <w:rsid w:val="00E1251A"/>
    <w:rsid w:val="00E15FB7"/>
    <w:rsid w:val="00E21B3A"/>
    <w:rsid w:val="00E23F50"/>
    <w:rsid w:val="00E2703C"/>
    <w:rsid w:val="00E27786"/>
    <w:rsid w:val="00E32A4A"/>
    <w:rsid w:val="00E36EE6"/>
    <w:rsid w:val="00E370EB"/>
    <w:rsid w:val="00E37B9A"/>
    <w:rsid w:val="00E47BFE"/>
    <w:rsid w:val="00E50C84"/>
    <w:rsid w:val="00E50E28"/>
    <w:rsid w:val="00E5510B"/>
    <w:rsid w:val="00E57521"/>
    <w:rsid w:val="00E57800"/>
    <w:rsid w:val="00E60025"/>
    <w:rsid w:val="00E6178F"/>
    <w:rsid w:val="00E62A54"/>
    <w:rsid w:val="00E64C8D"/>
    <w:rsid w:val="00E65ACF"/>
    <w:rsid w:val="00E66D6C"/>
    <w:rsid w:val="00E66FC1"/>
    <w:rsid w:val="00E670C1"/>
    <w:rsid w:val="00E6733B"/>
    <w:rsid w:val="00E72814"/>
    <w:rsid w:val="00E8049D"/>
    <w:rsid w:val="00E808EE"/>
    <w:rsid w:val="00E81567"/>
    <w:rsid w:val="00E8553E"/>
    <w:rsid w:val="00E868C8"/>
    <w:rsid w:val="00E878AE"/>
    <w:rsid w:val="00E91304"/>
    <w:rsid w:val="00E91A07"/>
    <w:rsid w:val="00E9609E"/>
    <w:rsid w:val="00E96CB6"/>
    <w:rsid w:val="00E97F78"/>
    <w:rsid w:val="00EA0088"/>
    <w:rsid w:val="00EA03CD"/>
    <w:rsid w:val="00EA5F45"/>
    <w:rsid w:val="00EA733C"/>
    <w:rsid w:val="00EB0C81"/>
    <w:rsid w:val="00EB102C"/>
    <w:rsid w:val="00EB57A1"/>
    <w:rsid w:val="00EC2263"/>
    <w:rsid w:val="00EC3E12"/>
    <w:rsid w:val="00EC701B"/>
    <w:rsid w:val="00ED1538"/>
    <w:rsid w:val="00ED2080"/>
    <w:rsid w:val="00ED221B"/>
    <w:rsid w:val="00ED2547"/>
    <w:rsid w:val="00ED2D56"/>
    <w:rsid w:val="00ED406F"/>
    <w:rsid w:val="00ED45DF"/>
    <w:rsid w:val="00ED47DA"/>
    <w:rsid w:val="00ED4D73"/>
    <w:rsid w:val="00EE0BD2"/>
    <w:rsid w:val="00EE1124"/>
    <w:rsid w:val="00EE203C"/>
    <w:rsid w:val="00EE3105"/>
    <w:rsid w:val="00EE3A70"/>
    <w:rsid w:val="00EE4453"/>
    <w:rsid w:val="00EE4BA6"/>
    <w:rsid w:val="00EE75BA"/>
    <w:rsid w:val="00EF2815"/>
    <w:rsid w:val="00EF3D5F"/>
    <w:rsid w:val="00EF774B"/>
    <w:rsid w:val="00F01D8B"/>
    <w:rsid w:val="00F063D1"/>
    <w:rsid w:val="00F06CFC"/>
    <w:rsid w:val="00F06D2A"/>
    <w:rsid w:val="00F07C7B"/>
    <w:rsid w:val="00F131D9"/>
    <w:rsid w:val="00F132A7"/>
    <w:rsid w:val="00F13B1D"/>
    <w:rsid w:val="00F15523"/>
    <w:rsid w:val="00F17FC7"/>
    <w:rsid w:val="00F20EA2"/>
    <w:rsid w:val="00F22377"/>
    <w:rsid w:val="00F228C9"/>
    <w:rsid w:val="00F228EE"/>
    <w:rsid w:val="00F25DA5"/>
    <w:rsid w:val="00F316EF"/>
    <w:rsid w:val="00F322E7"/>
    <w:rsid w:val="00F325BF"/>
    <w:rsid w:val="00F339C7"/>
    <w:rsid w:val="00F33F63"/>
    <w:rsid w:val="00F35128"/>
    <w:rsid w:val="00F3603D"/>
    <w:rsid w:val="00F37C34"/>
    <w:rsid w:val="00F42BBC"/>
    <w:rsid w:val="00F436AD"/>
    <w:rsid w:val="00F452CC"/>
    <w:rsid w:val="00F45D3D"/>
    <w:rsid w:val="00F52CAA"/>
    <w:rsid w:val="00F52DED"/>
    <w:rsid w:val="00F53400"/>
    <w:rsid w:val="00F540FF"/>
    <w:rsid w:val="00F5698A"/>
    <w:rsid w:val="00F57A2F"/>
    <w:rsid w:val="00F607E1"/>
    <w:rsid w:val="00F618A7"/>
    <w:rsid w:val="00F62423"/>
    <w:rsid w:val="00F628CD"/>
    <w:rsid w:val="00F64D4F"/>
    <w:rsid w:val="00F67C33"/>
    <w:rsid w:val="00F70057"/>
    <w:rsid w:val="00F7007D"/>
    <w:rsid w:val="00F71464"/>
    <w:rsid w:val="00F727B2"/>
    <w:rsid w:val="00F72FAF"/>
    <w:rsid w:val="00F73318"/>
    <w:rsid w:val="00F75387"/>
    <w:rsid w:val="00F762E3"/>
    <w:rsid w:val="00F7682D"/>
    <w:rsid w:val="00F801CF"/>
    <w:rsid w:val="00F8085C"/>
    <w:rsid w:val="00F81C9C"/>
    <w:rsid w:val="00F82145"/>
    <w:rsid w:val="00F823BA"/>
    <w:rsid w:val="00F82CBC"/>
    <w:rsid w:val="00F840A3"/>
    <w:rsid w:val="00F847FD"/>
    <w:rsid w:val="00F9162D"/>
    <w:rsid w:val="00F92A2A"/>
    <w:rsid w:val="00F92F0C"/>
    <w:rsid w:val="00F93ED1"/>
    <w:rsid w:val="00F94A36"/>
    <w:rsid w:val="00F9593B"/>
    <w:rsid w:val="00F95A12"/>
    <w:rsid w:val="00F95FC8"/>
    <w:rsid w:val="00F973AD"/>
    <w:rsid w:val="00F97420"/>
    <w:rsid w:val="00FA09EB"/>
    <w:rsid w:val="00FA1243"/>
    <w:rsid w:val="00FA6867"/>
    <w:rsid w:val="00FB05C9"/>
    <w:rsid w:val="00FB0CC7"/>
    <w:rsid w:val="00FB1BED"/>
    <w:rsid w:val="00FB30DD"/>
    <w:rsid w:val="00FB4214"/>
    <w:rsid w:val="00FB43C9"/>
    <w:rsid w:val="00FB4F15"/>
    <w:rsid w:val="00FB5DE0"/>
    <w:rsid w:val="00FB6A86"/>
    <w:rsid w:val="00FB6E73"/>
    <w:rsid w:val="00FC2C4B"/>
    <w:rsid w:val="00FC38C3"/>
    <w:rsid w:val="00FC46A5"/>
    <w:rsid w:val="00FC672C"/>
    <w:rsid w:val="00FC6FBC"/>
    <w:rsid w:val="00FC7A59"/>
    <w:rsid w:val="00FD55B8"/>
    <w:rsid w:val="00FD5DFC"/>
    <w:rsid w:val="00FD6377"/>
    <w:rsid w:val="00FE0042"/>
    <w:rsid w:val="00FF1911"/>
    <w:rsid w:val="00FF1E53"/>
    <w:rsid w:val="00FF579B"/>
    <w:rsid w:val="00FF76B0"/>
    <w:rsid w:val="1B6FC7E3"/>
    <w:rsid w:val="250F664E"/>
    <w:rsid w:val="2B04B4A4"/>
    <w:rsid w:val="42AB4B2E"/>
    <w:rsid w:val="4B04A094"/>
    <w:rsid w:val="543379B8"/>
    <w:rsid w:val="56BC6F0C"/>
    <w:rsid w:val="662A8568"/>
    <w:rsid w:val="6DF6F7EF"/>
    <w:rsid w:val="7BA502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F1F2C"/>
  <w15:chartTrackingRefBased/>
  <w15:docId w15:val="{A61B3E08-9AA9-44CA-846B-41FBD532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0DF"/>
    <w:pPr>
      <w:spacing w:after="0" w:line="240" w:lineRule="auto"/>
    </w:pPr>
    <w:rPr>
      <w:rFonts w:ascii="Garamond" w:eastAsia="MS Mincho" w:hAnsi="Garamond" w:cs="Garamond"/>
      <w:kern w:val="0"/>
    </w:rPr>
  </w:style>
  <w:style w:type="paragraph" w:styleId="Heading4">
    <w:name w:val="heading 4"/>
    <w:basedOn w:val="Normal"/>
    <w:next w:val="Normal"/>
    <w:link w:val="Heading4Char"/>
    <w:uiPriority w:val="9"/>
    <w:unhideWhenUsed/>
    <w:qFormat/>
    <w:rsid w:val="002800DF"/>
    <w:pPr>
      <w:keepNext/>
      <w:keepLines/>
      <w:spacing w:before="200"/>
      <w:outlineLvl w:val="3"/>
    </w:pPr>
    <w:rPr>
      <w:rFonts w:ascii="Cambria" w:hAnsi="Cambria" w:cs="Times New Roman"/>
      <w:b/>
      <w:bCs/>
      <w:i/>
      <w:iCs/>
      <w:color w:val="4F81BD"/>
    </w:rPr>
  </w:style>
  <w:style w:type="paragraph" w:styleId="Heading6">
    <w:name w:val="heading 6"/>
    <w:basedOn w:val="Normal"/>
    <w:next w:val="Normal"/>
    <w:link w:val="Heading6Char"/>
    <w:uiPriority w:val="9"/>
    <w:semiHidden/>
    <w:unhideWhenUsed/>
    <w:qFormat/>
    <w:rsid w:val="009E64D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800DF"/>
    <w:rPr>
      <w:rFonts w:ascii="Cambria" w:eastAsia="MS Mincho" w:hAnsi="Cambria" w:cs="Times New Roman"/>
      <w:b/>
      <w:bCs/>
      <w:i/>
      <w:iCs/>
      <w:color w:val="4F81BD"/>
      <w:kern w:val="0"/>
    </w:rPr>
  </w:style>
  <w:style w:type="paragraph" w:styleId="ListParagraph">
    <w:name w:val="List Paragraph"/>
    <w:basedOn w:val="Normal"/>
    <w:uiPriority w:val="34"/>
    <w:qFormat/>
    <w:rsid w:val="002800DF"/>
    <w:pPr>
      <w:ind w:left="720"/>
    </w:pPr>
  </w:style>
  <w:style w:type="paragraph" w:styleId="NoSpacing">
    <w:name w:val="No Spacing"/>
    <w:uiPriority w:val="99"/>
    <w:qFormat/>
    <w:rsid w:val="002800DF"/>
    <w:pPr>
      <w:spacing w:after="0" w:line="240" w:lineRule="auto"/>
    </w:pPr>
    <w:rPr>
      <w:rFonts w:ascii="Garamond" w:eastAsia="MS Mincho" w:hAnsi="Garamond" w:cs="Garamond"/>
      <w:kern w:val="0"/>
    </w:rPr>
  </w:style>
  <w:style w:type="paragraph" w:styleId="Footer">
    <w:name w:val="footer"/>
    <w:basedOn w:val="Normal"/>
    <w:link w:val="FooterChar"/>
    <w:uiPriority w:val="99"/>
    <w:unhideWhenUsed/>
    <w:rsid w:val="002800DF"/>
    <w:pPr>
      <w:tabs>
        <w:tab w:val="center" w:pos="4680"/>
        <w:tab w:val="right" w:pos="9360"/>
      </w:tabs>
    </w:pPr>
  </w:style>
  <w:style w:type="character" w:customStyle="1" w:styleId="FooterChar">
    <w:name w:val="Footer Char"/>
    <w:basedOn w:val="DefaultParagraphFont"/>
    <w:link w:val="Footer"/>
    <w:uiPriority w:val="99"/>
    <w:rsid w:val="002800DF"/>
    <w:rPr>
      <w:rFonts w:ascii="Garamond" w:eastAsia="MS Mincho" w:hAnsi="Garamond" w:cs="Garamond"/>
      <w:kern w:val="0"/>
    </w:rPr>
  </w:style>
  <w:style w:type="paragraph" w:customStyle="1" w:styleId="Paragrafi">
    <w:name w:val="Paragrafi"/>
    <w:link w:val="ParagrafiChar"/>
    <w:uiPriority w:val="99"/>
    <w:rsid w:val="002800DF"/>
    <w:pPr>
      <w:widowControl w:val="0"/>
      <w:spacing w:after="0" w:line="240" w:lineRule="auto"/>
      <w:ind w:firstLine="720"/>
      <w:jc w:val="both"/>
    </w:pPr>
    <w:rPr>
      <w:rFonts w:ascii="CG Times" w:eastAsia="Times New Roman" w:hAnsi="CG Times" w:cs="Times New Roman"/>
      <w:kern w:val="0"/>
      <w:szCs w:val="20"/>
    </w:rPr>
  </w:style>
  <w:style w:type="paragraph" w:customStyle="1" w:styleId="NumriData">
    <w:name w:val="Numri_Data"/>
    <w:next w:val="Normal"/>
    <w:link w:val="NumriDataChar"/>
    <w:rsid w:val="002800DF"/>
    <w:pPr>
      <w:keepNext/>
      <w:widowControl w:val="0"/>
      <w:spacing w:after="0" w:line="240" w:lineRule="auto"/>
      <w:ind w:firstLine="284"/>
      <w:jc w:val="center"/>
      <w:outlineLvl w:val="0"/>
    </w:pPr>
    <w:rPr>
      <w:rFonts w:ascii="CG Times" w:eastAsia="MS Mincho" w:hAnsi="CG Times" w:cs="CG Times"/>
      <w:b/>
      <w:bCs/>
      <w:kern w:val="0"/>
      <w:sz w:val="21"/>
      <w:lang w:val="en-GB"/>
    </w:rPr>
  </w:style>
  <w:style w:type="character" w:customStyle="1" w:styleId="NumriDataChar">
    <w:name w:val="Numri_Data Char"/>
    <w:link w:val="NumriData"/>
    <w:locked/>
    <w:rsid w:val="002800DF"/>
    <w:rPr>
      <w:rFonts w:ascii="CG Times" w:eastAsia="MS Mincho" w:hAnsi="CG Times" w:cs="CG Times"/>
      <w:b/>
      <w:bCs/>
      <w:kern w:val="0"/>
      <w:sz w:val="21"/>
      <w:lang w:val="en-GB"/>
    </w:rPr>
  </w:style>
  <w:style w:type="character" w:customStyle="1" w:styleId="ParagrafiChar">
    <w:name w:val="Paragrafi Char"/>
    <w:link w:val="Paragrafi"/>
    <w:locked/>
    <w:rsid w:val="002800DF"/>
    <w:rPr>
      <w:rFonts w:ascii="CG Times" w:eastAsia="Times New Roman" w:hAnsi="CG Times" w:cs="Times New Roman"/>
      <w:kern w:val="0"/>
      <w:szCs w:val="20"/>
    </w:rPr>
  </w:style>
  <w:style w:type="character" w:styleId="CommentReference">
    <w:name w:val="annotation reference"/>
    <w:basedOn w:val="DefaultParagraphFont"/>
    <w:uiPriority w:val="99"/>
    <w:semiHidden/>
    <w:unhideWhenUsed/>
    <w:rsid w:val="00C64CC0"/>
    <w:rPr>
      <w:sz w:val="16"/>
      <w:szCs w:val="16"/>
    </w:rPr>
  </w:style>
  <w:style w:type="paragraph" w:styleId="CommentText">
    <w:name w:val="annotation text"/>
    <w:basedOn w:val="Normal"/>
    <w:link w:val="CommentTextChar"/>
    <w:uiPriority w:val="99"/>
    <w:unhideWhenUsed/>
    <w:rsid w:val="00C64CC0"/>
    <w:rPr>
      <w:sz w:val="20"/>
      <w:szCs w:val="20"/>
    </w:rPr>
  </w:style>
  <w:style w:type="character" w:customStyle="1" w:styleId="CommentTextChar">
    <w:name w:val="Comment Text Char"/>
    <w:basedOn w:val="DefaultParagraphFont"/>
    <w:link w:val="CommentText"/>
    <w:uiPriority w:val="99"/>
    <w:rsid w:val="00C64CC0"/>
    <w:rPr>
      <w:rFonts w:ascii="Garamond" w:eastAsia="MS Mincho" w:hAnsi="Garamond" w:cs="Garamond"/>
      <w:kern w:val="0"/>
      <w:sz w:val="20"/>
      <w:szCs w:val="20"/>
    </w:rPr>
  </w:style>
  <w:style w:type="paragraph" w:styleId="CommentSubject">
    <w:name w:val="annotation subject"/>
    <w:basedOn w:val="CommentText"/>
    <w:next w:val="CommentText"/>
    <w:link w:val="CommentSubjectChar"/>
    <w:uiPriority w:val="99"/>
    <w:semiHidden/>
    <w:unhideWhenUsed/>
    <w:rsid w:val="00C64CC0"/>
    <w:rPr>
      <w:b/>
      <w:bCs/>
    </w:rPr>
  </w:style>
  <w:style w:type="character" w:customStyle="1" w:styleId="CommentSubjectChar">
    <w:name w:val="Comment Subject Char"/>
    <w:basedOn w:val="CommentTextChar"/>
    <w:link w:val="CommentSubject"/>
    <w:uiPriority w:val="99"/>
    <w:semiHidden/>
    <w:rsid w:val="00C64CC0"/>
    <w:rPr>
      <w:rFonts w:ascii="Garamond" w:eastAsia="MS Mincho" w:hAnsi="Garamond" w:cs="Garamond"/>
      <w:b/>
      <w:bCs/>
      <w:kern w:val="0"/>
      <w:sz w:val="20"/>
      <w:szCs w:val="20"/>
    </w:rPr>
  </w:style>
  <w:style w:type="table" w:styleId="TableGrid">
    <w:name w:val="Table Grid"/>
    <w:basedOn w:val="TableNormal"/>
    <w:uiPriority w:val="39"/>
    <w:rsid w:val="00085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4F69"/>
    <w:rPr>
      <w:rFonts w:ascii="Times New Roman" w:hAnsi="Times New Roman" w:cs="Times New Roman"/>
      <w:sz w:val="24"/>
      <w:szCs w:val="24"/>
    </w:rPr>
  </w:style>
  <w:style w:type="paragraph" w:styleId="Header">
    <w:name w:val="header"/>
    <w:basedOn w:val="Normal"/>
    <w:link w:val="HeaderChar"/>
    <w:uiPriority w:val="99"/>
    <w:unhideWhenUsed/>
    <w:rsid w:val="007444D4"/>
    <w:pPr>
      <w:tabs>
        <w:tab w:val="center" w:pos="4680"/>
        <w:tab w:val="right" w:pos="9360"/>
      </w:tabs>
    </w:pPr>
  </w:style>
  <w:style w:type="character" w:customStyle="1" w:styleId="HeaderChar">
    <w:name w:val="Header Char"/>
    <w:basedOn w:val="DefaultParagraphFont"/>
    <w:link w:val="Header"/>
    <w:uiPriority w:val="99"/>
    <w:rsid w:val="007444D4"/>
    <w:rPr>
      <w:rFonts w:ascii="Garamond" w:eastAsia="MS Mincho" w:hAnsi="Garamond" w:cs="Garamond"/>
      <w:kern w:val="0"/>
    </w:rPr>
  </w:style>
  <w:style w:type="paragraph" w:styleId="Revision">
    <w:name w:val="Revision"/>
    <w:hidden/>
    <w:uiPriority w:val="99"/>
    <w:semiHidden/>
    <w:rsid w:val="00D34CCF"/>
    <w:pPr>
      <w:spacing w:after="0" w:line="240" w:lineRule="auto"/>
    </w:pPr>
    <w:rPr>
      <w:rFonts w:ascii="Garamond" w:eastAsia="MS Mincho" w:hAnsi="Garamond" w:cs="Garamond"/>
      <w:kern w:val="0"/>
    </w:rPr>
  </w:style>
  <w:style w:type="paragraph" w:styleId="FootnoteText">
    <w:name w:val="footnote text"/>
    <w:basedOn w:val="Normal"/>
    <w:link w:val="FootnoteTextChar"/>
    <w:uiPriority w:val="99"/>
    <w:semiHidden/>
    <w:unhideWhenUsed/>
    <w:rsid w:val="00EF3D5F"/>
    <w:rPr>
      <w:sz w:val="20"/>
      <w:szCs w:val="20"/>
    </w:rPr>
  </w:style>
  <w:style w:type="character" w:customStyle="1" w:styleId="FootnoteTextChar">
    <w:name w:val="Footnote Text Char"/>
    <w:basedOn w:val="DefaultParagraphFont"/>
    <w:link w:val="FootnoteText"/>
    <w:uiPriority w:val="99"/>
    <w:semiHidden/>
    <w:rsid w:val="00EF3D5F"/>
    <w:rPr>
      <w:rFonts w:ascii="Garamond" w:eastAsia="MS Mincho" w:hAnsi="Garamond" w:cs="Garamond"/>
      <w:kern w:val="0"/>
      <w:sz w:val="20"/>
      <w:szCs w:val="20"/>
    </w:rPr>
  </w:style>
  <w:style w:type="character" w:styleId="FootnoteReference">
    <w:name w:val="footnote reference"/>
    <w:basedOn w:val="DefaultParagraphFont"/>
    <w:uiPriority w:val="99"/>
    <w:semiHidden/>
    <w:unhideWhenUsed/>
    <w:rsid w:val="00EF3D5F"/>
    <w:rPr>
      <w:vertAlign w:val="superscript"/>
    </w:rPr>
  </w:style>
  <w:style w:type="character" w:customStyle="1" w:styleId="cf01">
    <w:name w:val="cf01"/>
    <w:basedOn w:val="DefaultParagraphFont"/>
    <w:rsid w:val="00EF3D5F"/>
    <w:rPr>
      <w:rFonts w:ascii="Segoe UI" w:hAnsi="Segoe UI" w:cs="Segoe UI" w:hint="default"/>
      <w:color w:val="333333"/>
      <w:sz w:val="18"/>
      <w:szCs w:val="18"/>
    </w:rPr>
  </w:style>
  <w:style w:type="paragraph" w:styleId="EndnoteText">
    <w:name w:val="endnote text"/>
    <w:basedOn w:val="Normal"/>
    <w:link w:val="EndnoteTextChar"/>
    <w:uiPriority w:val="99"/>
    <w:semiHidden/>
    <w:unhideWhenUsed/>
    <w:rsid w:val="00DD1A79"/>
    <w:rPr>
      <w:sz w:val="20"/>
      <w:szCs w:val="20"/>
    </w:rPr>
  </w:style>
  <w:style w:type="character" w:customStyle="1" w:styleId="EndnoteTextChar">
    <w:name w:val="Endnote Text Char"/>
    <w:basedOn w:val="DefaultParagraphFont"/>
    <w:link w:val="EndnoteText"/>
    <w:uiPriority w:val="99"/>
    <w:semiHidden/>
    <w:rsid w:val="00DD1A79"/>
    <w:rPr>
      <w:rFonts w:ascii="Garamond" w:eastAsia="MS Mincho" w:hAnsi="Garamond" w:cs="Garamond"/>
      <w:kern w:val="0"/>
      <w:sz w:val="20"/>
      <w:szCs w:val="20"/>
    </w:rPr>
  </w:style>
  <w:style w:type="character" w:styleId="EndnoteReference">
    <w:name w:val="endnote reference"/>
    <w:basedOn w:val="DefaultParagraphFont"/>
    <w:uiPriority w:val="99"/>
    <w:semiHidden/>
    <w:unhideWhenUsed/>
    <w:rsid w:val="00DD1A79"/>
    <w:rPr>
      <w:vertAlign w:val="superscript"/>
    </w:rPr>
  </w:style>
  <w:style w:type="character" w:customStyle="1" w:styleId="normaltextrun">
    <w:name w:val="normaltextrun"/>
    <w:basedOn w:val="DefaultParagraphFont"/>
    <w:rsid w:val="00BC53E0"/>
  </w:style>
  <w:style w:type="paragraph" w:customStyle="1" w:styleId="pf0">
    <w:name w:val="pf0"/>
    <w:basedOn w:val="Normal"/>
    <w:rsid w:val="00CD5898"/>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Titulli">
    <w:name w:val="Titulli"/>
    <w:next w:val="Normal"/>
    <w:link w:val="TitulliChar"/>
    <w:rsid w:val="00217841"/>
    <w:pPr>
      <w:keepNext/>
      <w:widowControl w:val="0"/>
      <w:spacing w:after="0" w:line="240" w:lineRule="auto"/>
      <w:jc w:val="center"/>
      <w:outlineLvl w:val="1"/>
    </w:pPr>
    <w:rPr>
      <w:rFonts w:ascii="Garamond" w:eastAsia="MS Mincho" w:hAnsi="Garamond" w:cs="CG Times"/>
      <w:b/>
      <w:bCs/>
      <w:caps/>
      <w:kern w:val="0"/>
      <w:sz w:val="24"/>
      <w:lang w:val="en-GB"/>
      <w14:ligatures w14:val="none"/>
    </w:rPr>
  </w:style>
  <w:style w:type="character" w:customStyle="1" w:styleId="TitulliChar">
    <w:name w:val="Titulli Char"/>
    <w:basedOn w:val="DefaultParagraphFont"/>
    <w:link w:val="Titulli"/>
    <w:rsid w:val="00217841"/>
    <w:rPr>
      <w:rFonts w:ascii="Garamond" w:eastAsia="MS Mincho" w:hAnsi="Garamond" w:cs="CG Times"/>
      <w:b/>
      <w:bCs/>
      <w:caps/>
      <w:kern w:val="0"/>
      <w:sz w:val="24"/>
      <w:lang w:val="en-GB"/>
      <w14:ligatures w14:val="none"/>
    </w:rPr>
  </w:style>
  <w:style w:type="paragraph" w:customStyle="1" w:styleId="Autoriteti">
    <w:name w:val="Autoriteti"/>
    <w:next w:val="Normal"/>
    <w:link w:val="AutoritetiChar"/>
    <w:rsid w:val="00217841"/>
    <w:pPr>
      <w:keepNext/>
      <w:widowControl w:val="0"/>
      <w:spacing w:after="0" w:line="240" w:lineRule="auto"/>
      <w:jc w:val="right"/>
    </w:pPr>
    <w:rPr>
      <w:rFonts w:ascii="Garamond" w:eastAsia="MS Mincho" w:hAnsi="Garamond" w:cs="CG Times"/>
      <w:caps/>
      <w:kern w:val="0"/>
      <w:sz w:val="24"/>
      <w:lang w:val="en-GB"/>
      <w14:ligatures w14:val="none"/>
    </w:rPr>
  </w:style>
  <w:style w:type="paragraph" w:customStyle="1" w:styleId="AutoritetiEmer">
    <w:name w:val="Autoriteti_Emer"/>
    <w:next w:val="Normal"/>
    <w:link w:val="AutoritetiEmerChar"/>
    <w:rsid w:val="00217841"/>
    <w:pPr>
      <w:widowControl w:val="0"/>
      <w:spacing w:after="0" w:line="240" w:lineRule="auto"/>
      <w:jc w:val="right"/>
    </w:pPr>
    <w:rPr>
      <w:rFonts w:ascii="Garamond" w:eastAsia="MS Mincho" w:hAnsi="Garamond" w:cs="Times New Roman"/>
      <w:b/>
      <w:bCs/>
      <w:kern w:val="0"/>
      <w:sz w:val="24"/>
      <w:lang w:val="en-GB"/>
      <w14:ligatures w14:val="none"/>
    </w:rPr>
  </w:style>
  <w:style w:type="character" w:customStyle="1" w:styleId="AutoritetiChar">
    <w:name w:val="Autoriteti Char"/>
    <w:link w:val="Autoriteti"/>
    <w:locked/>
    <w:rsid w:val="00217841"/>
    <w:rPr>
      <w:rFonts w:ascii="Garamond" w:eastAsia="MS Mincho" w:hAnsi="Garamond" w:cs="CG Times"/>
      <w:caps/>
      <w:kern w:val="0"/>
      <w:sz w:val="24"/>
      <w:lang w:val="en-GB"/>
      <w14:ligatures w14:val="none"/>
    </w:rPr>
  </w:style>
  <w:style w:type="character" w:customStyle="1" w:styleId="AutoritetiEmerChar">
    <w:name w:val="Autoriteti_Emer Char"/>
    <w:link w:val="AutoritetiEmer"/>
    <w:locked/>
    <w:rsid w:val="00217841"/>
    <w:rPr>
      <w:rFonts w:ascii="Garamond" w:eastAsia="MS Mincho" w:hAnsi="Garamond" w:cs="Times New Roman"/>
      <w:b/>
      <w:bCs/>
      <w:kern w:val="0"/>
      <w:sz w:val="24"/>
      <w:lang w:val="en-GB"/>
      <w14:ligatures w14:val="none"/>
    </w:rPr>
  </w:style>
  <w:style w:type="paragraph" w:customStyle="1" w:styleId="Titull-Titull">
    <w:name w:val="Titull-Titull"/>
    <w:basedOn w:val="Paragrafi"/>
    <w:qFormat/>
    <w:rsid w:val="00217841"/>
    <w:pPr>
      <w:ind w:firstLine="0"/>
      <w:jc w:val="center"/>
    </w:pPr>
    <w:rPr>
      <w:rFonts w:ascii="Garamond" w:eastAsia="MS Mincho" w:hAnsi="Garamond" w:cs="CG Times"/>
      <w:caps/>
      <w:sz w:val="24"/>
      <w:szCs w:val="24"/>
      <w14:ligatures w14:val="none"/>
    </w:rPr>
  </w:style>
  <w:style w:type="paragraph" w:styleId="BalloonText">
    <w:name w:val="Balloon Text"/>
    <w:basedOn w:val="Normal"/>
    <w:link w:val="BalloonTextChar"/>
    <w:uiPriority w:val="99"/>
    <w:semiHidden/>
    <w:unhideWhenUsed/>
    <w:rsid w:val="00365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592"/>
    <w:rPr>
      <w:rFonts w:ascii="Segoe UI" w:eastAsia="MS Mincho" w:hAnsi="Segoe UI" w:cs="Segoe UI"/>
      <w:kern w:val="0"/>
      <w:sz w:val="18"/>
      <w:szCs w:val="18"/>
    </w:rPr>
  </w:style>
  <w:style w:type="paragraph" w:styleId="HTMLPreformatted">
    <w:name w:val="HTML Preformatted"/>
    <w:basedOn w:val="Normal"/>
    <w:link w:val="HTMLPreformattedChar"/>
    <w:uiPriority w:val="99"/>
    <w:unhideWhenUsed/>
    <w:rsid w:val="00F06D2A"/>
    <w:rPr>
      <w:rFonts w:ascii="Consolas" w:hAnsi="Consolas"/>
      <w:sz w:val="20"/>
      <w:szCs w:val="20"/>
    </w:rPr>
  </w:style>
  <w:style w:type="character" w:customStyle="1" w:styleId="HTMLPreformattedChar">
    <w:name w:val="HTML Preformatted Char"/>
    <w:basedOn w:val="DefaultParagraphFont"/>
    <w:link w:val="HTMLPreformatted"/>
    <w:uiPriority w:val="99"/>
    <w:rsid w:val="00F06D2A"/>
    <w:rPr>
      <w:rFonts w:ascii="Consolas" w:eastAsia="MS Mincho" w:hAnsi="Consolas" w:cs="Garamond"/>
      <w:kern w:val="0"/>
      <w:sz w:val="20"/>
      <w:szCs w:val="20"/>
    </w:rPr>
  </w:style>
  <w:style w:type="paragraph" w:customStyle="1" w:styleId="oj-normal">
    <w:name w:val="oj-normal"/>
    <w:basedOn w:val="Normal"/>
    <w:rsid w:val="00E8049D"/>
    <w:pPr>
      <w:spacing w:before="100" w:beforeAutospacing="1" w:after="100" w:afterAutospacing="1"/>
    </w:pPr>
    <w:rPr>
      <w:rFonts w:ascii="Times New Roman" w:eastAsia="Times New Roman" w:hAnsi="Times New Roman" w:cs="Times New Roman"/>
      <w:sz w:val="24"/>
      <w:szCs w:val="24"/>
      <w14:ligatures w14:val="none"/>
    </w:rPr>
  </w:style>
  <w:style w:type="character" w:customStyle="1" w:styleId="Heading6Char">
    <w:name w:val="Heading 6 Char"/>
    <w:basedOn w:val="DefaultParagraphFont"/>
    <w:link w:val="Heading6"/>
    <w:uiPriority w:val="9"/>
    <w:semiHidden/>
    <w:rsid w:val="009E64D6"/>
    <w:rPr>
      <w:rFonts w:asciiTheme="majorHAnsi" w:eastAsiaTheme="majorEastAsia" w:hAnsiTheme="majorHAnsi" w:cstheme="majorBidi"/>
      <w:color w:val="1F3763" w:themeColor="accent1" w:themeShade="7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8">
      <w:bodyDiv w:val="1"/>
      <w:marLeft w:val="0"/>
      <w:marRight w:val="0"/>
      <w:marTop w:val="0"/>
      <w:marBottom w:val="0"/>
      <w:divBdr>
        <w:top w:val="none" w:sz="0" w:space="0" w:color="auto"/>
        <w:left w:val="none" w:sz="0" w:space="0" w:color="auto"/>
        <w:bottom w:val="none" w:sz="0" w:space="0" w:color="auto"/>
        <w:right w:val="none" w:sz="0" w:space="0" w:color="auto"/>
      </w:divBdr>
    </w:div>
    <w:div w:id="30082063">
      <w:bodyDiv w:val="1"/>
      <w:marLeft w:val="0"/>
      <w:marRight w:val="0"/>
      <w:marTop w:val="0"/>
      <w:marBottom w:val="0"/>
      <w:divBdr>
        <w:top w:val="none" w:sz="0" w:space="0" w:color="auto"/>
        <w:left w:val="none" w:sz="0" w:space="0" w:color="auto"/>
        <w:bottom w:val="none" w:sz="0" w:space="0" w:color="auto"/>
        <w:right w:val="none" w:sz="0" w:space="0" w:color="auto"/>
      </w:divBdr>
    </w:div>
    <w:div w:id="68776109">
      <w:bodyDiv w:val="1"/>
      <w:marLeft w:val="0"/>
      <w:marRight w:val="0"/>
      <w:marTop w:val="0"/>
      <w:marBottom w:val="0"/>
      <w:divBdr>
        <w:top w:val="none" w:sz="0" w:space="0" w:color="auto"/>
        <w:left w:val="none" w:sz="0" w:space="0" w:color="auto"/>
        <w:bottom w:val="none" w:sz="0" w:space="0" w:color="auto"/>
        <w:right w:val="none" w:sz="0" w:space="0" w:color="auto"/>
      </w:divBdr>
    </w:div>
    <w:div w:id="71002450">
      <w:bodyDiv w:val="1"/>
      <w:marLeft w:val="0"/>
      <w:marRight w:val="0"/>
      <w:marTop w:val="0"/>
      <w:marBottom w:val="0"/>
      <w:divBdr>
        <w:top w:val="none" w:sz="0" w:space="0" w:color="auto"/>
        <w:left w:val="none" w:sz="0" w:space="0" w:color="auto"/>
        <w:bottom w:val="none" w:sz="0" w:space="0" w:color="auto"/>
        <w:right w:val="none" w:sz="0" w:space="0" w:color="auto"/>
      </w:divBdr>
    </w:div>
    <w:div w:id="71512641">
      <w:bodyDiv w:val="1"/>
      <w:marLeft w:val="0"/>
      <w:marRight w:val="0"/>
      <w:marTop w:val="0"/>
      <w:marBottom w:val="0"/>
      <w:divBdr>
        <w:top w:val="none" w:sz="0" w:space="0" w:color="auto"/>
        <w:left w:val="none" w:sz="0" w:space="0" w:color="auto"/>
        <w:bottom w:val="none" w:sz="0" w:space="0" w:color="auto"/>
        <w:right w:val="none" w:sz="0" w:space="0" w:color="auto"/>
      </w:divBdr>
    </w:div>
    <w:div w:id="248584587">
      <w:bodyDiv w:val="1"/>
      <w:marLeft w:val="0"/>
      <w:marRight w:val="0"/>
      <w:marTop w:val="0"/>
      <w:marBottom w:val="0"/>
      <w:divBdr>
        <w:top w:val="none" w:sz="0" w:space="0" w:color="auto"/>
        <w:left w:val="none" w:sz="0" w:space="0" w:color="auto"/>
        <w:bottom w:val="none" w:sz="0" w:space="0" w:color="auto"/>
        <w:right w:val="none" w:sz="0" w:space="0" w:color="auto"/>
      </w:divBdr>
    </w:div>
    <w:div w:id="257254197">
      <w:bodyDiv w:val="1"/>
      <w:marLeft w:val="0"/>
      <w:marRight w:val="0"/>
      <w:marTop w:val="0"/>
      <w:marBottom w:val="0"/>
      <w:divBdr>
        <w:top w:val="none" w:sz="0" w:space="0" w:color="auto"/>
        <w:left w:val="none" w:sz="0" w:space="0" w:color="auto"/>
        <w:bottom w:val="none" w:sz="0" w:space="0" w:color="auto"/>
        <w:right w:val="none" w:sz="0" w:space="0" w:color="auto"/>
      </w:divBdr>
    </w:div>
    <w:div w:id="301270948">
      <w:bodyDiv w:val="1"/>
      <w:marLeft w:val="0"/>
      <w:marRight w:val="0"/>
      <w:marTop w:val="0"/>
      <w:marBottom w:val="0"/>
      <w:divBdr>
        <w:top w:val="none" w:sz="0" w:space="0" w:color="auto"/>
        <w:left w:val="none" w:sz="0" w:space="0" w:color="auto"/>
        <w:bottom w:val="none" w:sz="0" w:space="0" w:color="auto"/>
        <w:right w:val="none" w:sz="0" w:space="0" w:color="auto"/>
      </w:divBdr>
    </w:div>
    <w:div w:id="402292200">
      <w:bodyDiv w:val="1"/>
      <w:marLeft w:val="0"/>
      <w:marRight w:val="0"/>
      <w:marTop w:val="0"/>
      <w:marBottom w:val="0"/>
      <w:divBdr>
        <w:top w:val="none" w:sz="0" w:space="0" w:color="auto"/>
        <w:left w:val="none" w:sz="0" w:space="0" w:color="auto"/>
        <w:bottom w:val="none" w:sz="0" w:space="0" w:color="auto"/>
        <w:right w:val="none" w:sz="0" w:space="0" w:color="auto"/>
      </w:divBdr>
    </w:div>
    <w:div w:id="406804130">
      <w:bodyDiv w:val="1"/>
      <w:marLeft w:val="0"/>
      <w:marRight w:val="0"/>
      <w:marTop w:val="0"/>
      <w:marBottom w:val="0"/>
      <w:divBdr>
        <w:top w:val="none" w:sz="0" w:space="0" w:color="auto"/>
        <w:left w:val="none" w:sz="0" w:space="0" w:color="auto"/>
        <w:bottom w:val="none" w:sz="0" w:space="0" w:color="auto"/>
        <w:right w:val="none" w:sz="0" w:space="0" w:color="auto"/>
      </w:divBdr>
    </w:div>
    <w:div w:id="471411691">
      <w:bodyDiv w:val="1"/>
      <w:marLeft w:val="0"/>
      <w:marRight w:val="0"/>
      <w:marTop w:val="0"/>
      <w:marBottom w:val="0"/>
      <w:divBdr>
        <w:top w:val="none" w:sz="0" w:space="0" w:color="auto"/>
        <w:left w:val="none" w:sz="0" w:space="0" w:color="auto"/>
        <w:bottom w:val="none" w:sz="0" w:space="0" w:color="auto"/>
        <w:right w:val="none" w:sz="0" w:space="0" w:color="auto"/>
      </w:divBdr>
    </w:div>
    <w:div w:id="505098577">
      <w:bodyDiv w:val="1"/>
      <w:marLeft w:val="0"/>
      <w:marRight w:val="0"/>
      <w:marTop w:val="0"/>
      <w:marBottom w:val="0"/>
      <w:divBdr>
        <w:top w:val="none" w:sz="0" w:space="0" w:color="auto"/>
        <w:left w:val="none" w:sz="0" w:space="0" w:color="auto"/>
        <w:bottom w:val="none" w:sz="0" w:space="0" w:color="auto"/>
        <w:right w:val="none" w:sz="0" w:space="0" w:color="auto"/>
      </w:divBdr>
    </w:div>
    <w:div w:id="531385062">
      <w:bodyDiv w:val="1"/>
      <w:marLeft w:val="0"/>
      <w:marRight w:val="0"/>
      <w:marTop w:val="0"/>
      <w:marBottom w:val="0"/>
      <w:divBdr>
        <w:top w:val="none" w:sz="0" w:space="0" w:color="auto"/>
        <w:left w:val="none" w:sz="0" w:space="0" w:color="auto"/>
        <w:bottom w:val="none" w:sz="0" w:space="0" w:color="auto"/>
        <w:right w:val="none" w:sz="0" w:space="0" w:color="auto"/>
      </w:divBdr>
    </w:div>
    <w:div w:id="541525862">
      <w:bodyDiv w:val="1"/>
      <w:marLeft w:val="0"/>
      <w:marRight w:val="0"/>
      <w:marTop w:val="0"/>
      <w:marBottom w:val="0"/>
      <w:divBdr>
        <w:top w:val="none" w:sz="0" w:space="0" w:color="auto"/>
        <w:left w:val="none" w:sz="0" w:space="0" w:color="auto"/>
        <w:bottom w:val="none" w:sz="0" w:space="0" w:color="auto"/>
        <w:right w:val="none" w:sz="0" w:space="0" w:color="auto"/>
      </w:divBdr>
    </w:div>
    <w:div w:id="594821501">
      <w:bodyDiv w:val="1"/>
      <w:marLeft w:val="0"/>
      <w:marRight w:val="0"/>
      <w:marTop w:val="0"/>
      <w:marBottom w:val="0"/>
      <w:divBdr>
        <w:top w:val="none" w:sz="0" w:space="0" w:color="auto"/>
        <w:left w:val="none" w:sz="0" w:space="0" w:color="auto"/>
        <w:bottom w:val="none" w:sz="0" w:space="0" w:color="auto"/>
        <w:right w:val="none" w:sz="0" w:space="0" w:color="auto"/>
      </w:divBdr>
    </w:div>
    <w:div w:id="648048741">
      <w:bodyDiv w:val="1"/>
      <w:marLeft w:val="0"/>
      <w:marRight w:val="0"/>
      <w:marTop w:val="0"/>
      <w:marBottom w:val="0"/>
      <w:divBdr>
        <w:top w:val="none" w:sz="0" w:space="0" w:color="auto"/>
        <w:left w:val="none" w:sz="0" w:space="0" w:color="auto"/>
        <w:bottom w:val="none" w:sz="0" w:space="0" w:color="auto"/>
        <w:right w:val="none" w:sz="0" w:space="0" w:color="auto"/>
      </w:divBdr>
    </w:div>
    <w:div w:id="781534061">
      <w:bodyDiv w:val="1"/>
      <w:marLeft w:val="0"/>
      <w:marRight w:val="0"/>
      <w:marTop w:val="0"/>
      <w:marBottom w:val="0"/>
      <w:divBdr>
        <w:top w:val="none" w:sz="0" w:space="0" w:color="auto"/>
        <w:left w:val="none" w:sz="0" w:space="0" w:color="auto"/>
        <w:bottom w:val="none" w:sz="0" w:space="0" w:color="auto"/>
        <w:right w:val="none" w:sz="0" w:space="0" w:color="auto"/>
      </w:divBdr>
    </w:div>
    <w:div w:id="848177894">
      <w:bodyDiv w:val="1"/>
      <w:marLeft w:val="0"/>
      <w:marRight w:val="0"/>
      <w:marTop w:val="0"/>
      <w:marBottom w:val="0"/>
      <w:divBdr>
        <w:top w:val="none" w:sz="0" w:space="0" w:color="auto"/>
        <w:left w:val="none" w:sz="0" w:space="0" w:color="auto"/>
        <w:bottom w:val="none" w:sz="0" w:space="0" w:color="auto"/>
        <w:right w:val="none" w:sz="0" w:space="0" w:color="auto"/>
      </w:divBdr>
    </w:div>
    <w:div w:id="920528959">
      <w:bodyDiv w:val="1"/>
      <w:marLeft w:val="0"/>
      <w:marRight w:val="0"/>
      <w:marTop w:val="0"/>
      <w:marBottom w:val="0"/>
      <w:divBdr>
        <w:top w:val="none" w:sz="0" w:space="0" w:color="auto"/>
        <w:left w:val="none" w:sz="0" w:space="0" w:color="auto"/>
        <w:bottom w:val="none" w:sz="0" w:space="0" w:color="auto"/>
        <w:right w:val="none" w:sz="0" w:space="0" w:color="auto"/>
      </w:divBdr>
      <w:divsChild>
        <w:div w:id="1751345989">
          <w:marLeft w:val="0"/>
          <w:marRight w:val="0"/>
          <w:marTop w:val="0"/>
          <w:marBottom w:val="0"/>
          <w:divBdr>
            <w:top w:val="none" w:sz="0" w:space="0" w:color="auto"/>
            <w:left w:val="none" w:sz="0" w:space="0" w:color="auto"/>
            <w:bottom w:val="none" w:sz="0" w:space="0" w:color="auto"/>
            <w:right w:val="none" w:sz="0" w:space="0" w:color="auto"/>
          </w:divBdr>
          <w:divsChild>
            <w:div w:id="1204756972">
              <w:marLeft w:val="0"/>
              <w:marRight w:val="0"/>
              <w:marTop w:val="0"/>
              <w:marBottom w:val="0"/>
              <w:divBdr>
                <w:top w:val="none" w:sz="0" w:space="0" w:color="auto"/>
                <w:left w:val="none" w:sz="0" w:space="0" w:color="auto"/>
                <w:bottom w:val="none" w:sz="0" w:space="0" w:color="auto"/>
                <w:right w:val="none" w:sz="0" w:space="0" w:color="auto"/>
              </w:divBdr>
              <w:divsChild>
                <w:div w:id="1518542872">
                  <w:marLeft w:val="0"/>
                  <w:marRight w:val="0"/>
                  <w:marTop w:val="0"/>
                  <w:marBottom w:val="0"/>
                  <w:divBdr>
                    <w:top w:val="none" w:sz="0" w:space="0" w:color="auto"/>
                    <w:left w:val="none" w:sz="0" w:space="0" w:color="auto"/>
                    <w:bottom w:val="none" w:sz="0" w:space="0" w:color="auto"/>
                    <w:right w:val="none" w:sz="0" w:space="0" w:color="auto"/>
                  </w:divBdr>
                  <w:divsChild>
                    <w:div w:id="1319724705">
                      <w:marLeft w:val="0"/>
                      <w:marRight w:val="0"/>
                      <w:marTop w:val="0"/>
                      <w:marBottom w:val="0"/>
                      <w:divBdr>
                        <w:top w:val="none" w:sz="0" w:space="0" w:color="auto"/>
                        <w:left w:val="none" w:sz="0" w:space="0" w:color="auto"/>
                        <w:bottom w:val="none" w:sz="0" w:space="0" w:color="auto"/>
                        <w:right w:val="none" w:sz="0" w:space="0" w:color="auto"/>
                      </w:divBdr>
                      <w:divsChild>
                        <w:div w:id="1202203733">
                          <w:marLeft w:val="0"/>
                          <w:marRight w:val="0"/>
                          <w:marTop w:val="0"/>
                          <w:marBottom w:val="0"/>
                          <w:divBdr>
                            <w:top w:val="none" w:sz="0" w:space="0" w:color="auto"/>
                            <w:left w:val="none" w:sz="0" w:space="0" w:color="auto"/>
                            <w:bottom w:val="none" w:sz="0" w:space="0" w:color="auto"/>
                            <w:right w:val="none" w:sz="0" w:space="0" w:color="auto"/>
                          </w:divBdr>
                          <w:divsChild>
                            <w:div w:id="1444232028">
                              <w:marLeft w:val="0"/>
                              <w:marRight w:val="0"/>
                              <w:marTop w:val="0"/>
                              <w:marBottom w:val="0"/>
                              <w:divBdr>
                                <w:top w:val="none" w:sz="0" w:space="0" w:color="auto"/>
                                <w:left w:val="none" w:sz="0" w:space="0" w:color="auto"/>
                                <w:bottom w:val="none" w:sz="0" w:space="0" w:color="auto"/>
                                <w:right w:val="none" w:sz="0" w:space="0" w:color="auto"/>
                              </w:divBdr>
                              <w:divsChild>
                                <w:div w:id="1308046962">
                                  <w:marLeft w:val="0"/>
                                  <w:marRight w:val="0"/>
                                  <w:marTop w:val="0"/>
                                  <w:marBottom w:val="0"/>
                                  <w:divBdr>
                                    <w:top w:val="none" w:sz="0" w:space="0" w:color="auto"/>
                                    <w:left w:val="none" w:sz="0" w:space="0" w:color="auto"/>
                                    <w:bottom w:val="none" w:sz="0" w:space="0" w:color="auto"/>
                                    <w:right w:val="none" w:sz="0" w:space="0" w:color="auto"/>
                                  </w:divBdr>
                                  <w:divsChild>
                                    <w:div w:id="75787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4329626">
      <w:bodyDiv w:val="1"/>
      <w:marLeft w:val="0"/>
      <w:marRight w:val="0"/>
      <w:marTop w:val="0"/>
      <w:marBottom w:val="0"/>
      <w:divBdr>
        <w:top w:val="none" w:sz="0" w:space="0" w:color="auto"/>
        <w:left w:val="none" w:sz="0" w:space="0" w:color="auto"/>
        <w:bottom w:val="none" w:sz="0" w:space="0" w:color="auto"/>
        <w:right w:val="none" w:sz="0" w:space="0" w:color="auto"/>
      </w:divBdr>
    </w:div>
    <w:div w:id="1085155203">
      <w:bodyDiv w:val="1"/>
      <w:marLeft w:val="0"/>
      <w:marRight w:val="0"/>
      <w:marTop w:val="0"/>
      <w:marBottom w:val="0"/>
      <w:divBdr>
        <w:top w:val="none" w:sz="0" w:space="0" w:color="auto"/>
        <w:left w:val="none" w:sz="0" w:space="0" w:color="auto"/>
        <w:bottom w:val="none" w:sz="0" w:space="0" w:color="auto"/>
        <w:right w:val="none" w:sz="0" w:space="0" w:color="auto"/>
      </w:divBdr>
    </w:div>
    <w:div w:id="1135835549">
      <w:bodyDiv w:val="1"/>
      <w:marLeft w:val="0"/>
      <w:marRight w:val="0"/>
      <w:marTop w:val="0"/>
      <w:marBottom w:val="0"/>
      <w:divBdr>
        <w:top w:val="none" w:sz="0" w:space="0" w:color="auto"/>
        <w:left w:val="none" w:sz="0" w:space="0" w:color="auto"/>
        <w:bottom w:val="none" w:sz="0" w:space="0" w:color="auto"/>
        <w:right w:val="none" w:sz="0" w:space="0" w:color="auto"/>
      </w:divBdr>
    </w:div>
    <w:div w:id="1201168491">
      <w:bodyDiv w:val="1"/>
      <w:marLeft w:val="0"/>
      <w:marRight w:val="0"/>
      <w:marTop w:val="0"/>
      <w:marBottom w:val="0"/>
      <w:divBdr>
        <w:top w:val="none" w:sz="0" w:space="0" w:color="auto"/>
        <w:left w:val="none" w:sz="0" w:space="0" w:color="auto"/>
        <w:bottom w:val="none" w:sz="0" w:space="0" w:color="auto"/>
        <w:right w:val="none" w:sz="0" w:space="0" w:color="auto"/>
      </w:divBdr>
    </w:div>
    <w:div w:id="1263033891">
      <w:bodyDiv w:val="1"/>
      <w:marLeft w:val="0"/>
      <w:marRight w:val="0"/>
      <w:marTop w:val="0"/>
      <w:marBottom w:val="0"/>
      <w:divBdr>
        <w:top w:val="none" w:sz="0" w:space="0" w:color="auto"/>
        <w:left w:val="none" w:sz="0" w:space="0" w:color="auto"/>
        <w:bottom w:val="none" w:sz="0" w:space="0" w:color="auto"/>
        <w:right w:val="none" w:sz="0" w:space="0" w:color="auto"/>
      </w:divBdr>
    </w:div>
    <w:div w:id="1303005173">
      <w:bodyDiv w:val="1"/>
      <w:marLeft w:val="0"/>
      <w:marRight w:val="0"/>
      <w:marTop w:val="0"/>
      <w:marBottom w:val="0"/>
      <w:divBdr>
        <w:top w:val="none" w:sz="0" w:space="0" w:color="auto"/>
        <w:left w:val="none" w:sz="0" w:space="0" w:color="auto"/>
        <w:bottom w:val="none" w:sz="0" w:space="0" w:color="auto"/>
        <w:right w:val="none" w:sz="0" w:space="0" w:color="auto"/>
      </w:divBdr>
    </w:div>
    <w:div w:id="1325400226">
      <w:bodyDiv w:val="1"/>
      <w:marLeft w:val="0"/>
      <w:marRight w:val="0"/>
      <w:marTop w:val="0"/>
      <w:marBottom w:val="0"/>
      <w:divBdr>
        <w:top w:val="none" w:sz="0" w:space="0" w:color="auto"/>
        <w:left w:val="none" w:sz="0" w:space="0" w:color="auto"/>
        <w:bottom w:val="none" w:sz="0" w:space="0" w:color="auto"/>
        <w:right w:val="none" w:sz="0" w:space="0" w:color="auto"/>
      </w:divBdr>
    </w:div>
    <w:div w:id="1341472714">
      <w:bodyDiv w:val="1"/>
      <w:marLeft w:val="0"/>
      <w:marRight w:val="0"/>
      <w:marTop w:val="0"/>
      <w:marBottom w:val="0"/>
      <w:divBdr>
        <w:top w:val="none" w:sz="0" w:space="0" w:color="auto"/>
        <w:left w:val="none" w:sz="0" w:space="0" w:color="auto"/>
        <w:bottom w:val="none" w:sz="0" w:space="0" w:color="auto"/>
        <w:right w:val="none" w:sz="0" w:space="0" w:color="auto"/>
      </w:divBdr>
    </w:div>
    <w:div w:id="1369792515">
      <w:bodyDiv w:val="1"/>
      <w:marLeft w:val="0"/>
      <w:marRight w:val="0"/>
      <w:marTop w:val="0"/>
      <w:marBottom w:val="0"/>
      <w:divBdr>
        <w:top w:val="none" w:sz="0" w:space="0" w:color="auto"/>
        <w:left w:val="none" w:sz="0" w:space="0" w:color="auto"/>
        <w:bottom w:val="none" w:sz="0" w:space="0" w:color="auto"/>
        <w:right w:val="none" w:sz="0" w:space="0" w:color="auto"/>
      </w:divBdr>
    </w:div>
    <w:div w:id="1414544469">
      <w:bodyDiv w:val="1"/>
      <w:marLeft w:val="0"/>
      <w:marRight w:val="0"/>
      <w:marTop w:val="0"/>
      <w:marBottom w:val="0"/>
      <w:divBdr>
        <w:top w:val="none" w:sz="0" w:space="0" w:color="auto"/>
        <w:left w:val="none" w:sz="0" w:space="0" w:color="auto"/>
        <w:bottom w:val="none" w:sz="0" w:space="0" w:color="auto"/>
        <w:right w:val="none" w:sz="0" w:space="0" w:color="auto"/>
      </w:divBdr>
    </w:div>
    <w:div w:id="1430659577">
      <w:bodyDiv w:val="1"/>
      <w:marLeft w:val="0"/>
      <w:marRight w:val="0"/>
      <w:marTop w:val="0"/>
      <w:marBottom w:val="0"/>
      <w:divBdr>
        <w:top w:val="none" w:sz="0" w:space="0" w:color="auto"/>
        <w:left w:val="none" w:sz="0" w:space="0" w:color="auto"/>
        <w:bottom w:val="none" w:sz="0" w:space="0" w:color="auto"/>
        <w:right w:val="none" w:sz="0" w:space="0" w:color="auto"/>
      </w:divBdr>
    </w:div>
    <w:div w:id="1602101114">
      <w:bodyDiv w:val="1"/>
      <w:marLeft w:val="0"/>
      <w:marRight w:val="0"/>
      <w:marTop w:val="0"/>
      <w:marBottom w:val="0"/>
      <w:divBdr>
        <w:top w:val="none" w:sz="0" w:space="0" w:color="auto"/>
        <w:left w:val="none" w:sz="0" w:space="0" w:color="auto"/>
        <w:bottom w:val="none" w:sz="0" w:space="0" w:color="auto"/>
        <w:right w:val="none" w:sz="0" w:space="0" w:color="auto"/>
      </w:divBdr>
    </w:div>
    <w:div w:id="1620917587">
      <w:bodyDiv w:val="1"/>
      <w:marLeft w:val="0"/>
      <w:marRight w:val="0"/>
      <w:marTop w:val="0"/>
      <w:marBottom w:val="0"/>
      <w:divBdr>
        <w:top w:val="none" w:sz="0" w:space="0" w:color="auto"/>
        <w:left w:val="none" w:sz="0" w:space="0" w:color="auto"/>
        <w:bottom w:val="none" w:sz="0" w:space="0" w:color="auto"/>
        <w:right w:val="none" w:sz="0" w:space="0" w:color="auto"/>
      </w:divBdr>
    </w:div>
    <w:div w:id="1631132488">
      <w:bodyDiv w:val="1"/>
      <w:marLeft w:val="0"/>
      <w:marRight w:val="0"/>
      <w:marTop w:val="0"/>
      <w:marBottom w:val="0"/>
      <w:divBdr>
        <w:top w:val="none" w:sz="0" w:space="0" w:color="auto"/>
        <w:left w:val="none" w:sz="0" w:space="0" w:color="auto"/>
        <w:bottom w:val="none" w:sz="0" w:space="0" w:color="auto"/>
        <w:right w:val="none" w:sz="0" w:space="0" w:color="auto"/>
      </w:divBdr>
      <w:divsChild>
        <w:div w:id="768352072">
          <w:marLeft w:val="0"/>
          <w:marRight w:val="0"/>
          <w:marTop w:val="0"/>
          <w:marBottom w:val="0"/>
          <w:divBdr>
            <w:top w:val="none" w:sz="0" w:space="0" w:color="auto"/>
            <w:left w:val="none" w:sz="0" w:space="0" w:color="auto"/>
            <w:bottom w:val="none" w:sz="0" w:space="0" w:color="auto"/>
            <w:right w:val="none" w:sz="0" w:space="0" w:color="auto"/>
          </w:divBdr>
        </w:div>
        <w:div w:id="455411390">
          <w:marLeft w:val="0"/>
          <w:marRight w:val="0"/>
          <w:marTop w:val="0"/>
          <w:marBottom w:val="0"/>
          <w:divBdr>
            <w:top w:val="none" w:sz="0" w:space="0" w:color="auto"/>
            <w:left w:val="none" w:sz="0" w:space="0" w:color="auto"/>
            <w:bottom w:val="none" w:sz="0" w:space="0" w:color="auto"/>
            <w:right w:val="none" w:sz="0" w:space="0" w:color="auto"/>
          </w:divBdr>
        </w:div>
        <w:div w:id="989555038">
          <w:marLeft w:val="0"/>
          <w:marRight w:val="0"/>
          <w:marTop w:val="0"/>
          <w:marBottom w:val="0"/>
          <w:divBdr>
            <w:top w:val="none" w:sz="0" w:space="0" w:color="auto"/>
            <w:left w:val="none" w:sz="0" w:space="0" w:color="auto"/>
            <w:bottom w:val="none" w:sz="0" w:space="0" w:color="auto"/>
            <w:right w:val="none" w:sz="0" w:space="0" w:color="auto"/>
          </w:divBdr>
        </w:div>
        <w:div w:id="1844927897">
          <w:marLeft w:val="0"/>
          <w:marRight w:val="0"/>
          <w:marTop w:val="0"/>
          <w:marBottom w:val="0"/>
          <w:divBdr>
            <w:top w:val="none" w:sz="0" w:space="0" w:color="auto"/>
            <w:left w:val="none" w:sz="0" w:space="0" w:color="auto"/>
            <w:bottom w:val="none" w:sz="0" w:space="0" w:color="auto"/>
            <w:right w:val="none" w:sz="0" w:space="0" w:color="auto"/>
          </w:divBdr>
        </w:div>
        <w:div w:id="1823812827">
          <w:marLeft w:val="0"/>
          <w:marRight w:val="0"/>
          <w:marTop w:val="0"/>
          <w:marBottom w:val="0"/>
          <w:divBdr>
            <w:top w:val="none" w:sz="0" w:space="0" w:color="auto"/>
            <w:left w:val="none" w:sz="0" w:space="0" w:color="auto"/>
            <w:bottom w:val="none" w:sz="0" w:space="0" w:color="auto"/>
            <w:right w:val="none" w:sz="0" w:space="0" w:color="auto"/>
          </w:divBdr>
        </w:div>
      </w:divsChild>
    </w:div>
    <w:div w:id="1634824409">
      <w:bodyDiv w:val="1"/>
      <w:marLeft w:val="0"/>
      <w:marRight w:val="0"/>
      <w:marTop w:val="0"/>
      <w:marBottom w:val="0"/>
      <w:divBdr>
        <w:top w:val="none" w:sz="0" w:space="0" w:color="auto"/>
        <w:left w:val="none" w:sz="0" w:space="0" w:color="auto"/>
        <w:bottom w:val="none" w:sz="0" w:space="0" w:color="auto"/>
        <w:right w:val="none" w:sz="0" w:space="0" w:color="auto"/>
      </w:divBdr>
    </w:div>
    <w:div w:id="1680622556">
      <w:bodyDiv w:val="1"/>
      <w:marLeft w:val="0"/>
      <w:marRight w:val="0"/>
      <w:marTop w:val="0"/>
      <w:marBottom w:val="0"/>
      <w:divBdr>
        <w:top w:val="none" w:sz="0" w:space="0" w:color="auto"/>
        <w:left w:val="none" w:sz="0" w:space="0" w:color="auto"/>
        <w:bottom w:val="none" w:sz="0" w:space="0" w:color="auto"/>
        <w:right w:val="none" w:sz="0" w:space="0" w:color="auto"/>
      </w:divBdr>
    </w:div>
    <w:div w:id="1726559702">
      <w:bodyDiv w:val="1"/>
      <w:marLeft w:val="0"/>
      <w:marRight w:val="0"/>
      <w:marTop w:val="0"/>
      <w:marBottom w:val="0"/>
      <w:divBdr>
        <w:top w:val="none" w:sz="0" w:space="0" w:color="auto"/>
        <w:left w:val="none" w:sz="0" w:space="0" w:color="auto"/>
        <w:bottom w:val="none" w:sz="0" w:space="0" w:color="auto"/>
        <w:right w:val="none" w:sz="0" w:space="0" w:color="auto"/>
      </w:divBdr>
    </w:div>
    <w:div w:id="1736509806">
      <w:bodyDiv w:val="1"/>
      <w:marLeft w:val="0"/>
      <w:marRight w:val="0"/>
      <w:marTop w:val="0"/>
      <w:marBottom w:val="0"/>
      <w:divBdr>
        <w:top w:val="none" w:sz="0" w:space="0" w:color="auto"/>
        <w:left w:val="none" w:sz="0" w:space="0" w:color="auto"/>
        <w:bottom w:val="none" w:sz="0" w:space="0" w:color="auto"/>
        <w:right w:val="none" w:sz="0" w:space="0" w:color="auto"/>
      </w:divBdr>
    </w:div>
    <w:div w:id="1881745826">
      <w:bodyDiv w:val="1"/>
      <w:marLeft w:val="0"/>
      <w:marRight w:val="0"/>
      <w:marTop w:val="0"/>
      <w:marBottom w:val="0"/>
      <w:divBdr>
        <w:top w:val="none" w:sz="0" w:space="0" w:color="auto"/>
        <w:left w:val="none" w:sz="0" w:space="0" w:color="auto"/>
        <w:bottom w:val="none" w:sz="0" w:space="0" w:color="auto"/>
        <w:right w:val="none" w:sz="0" w:space="0" w:color="auto"/>
      </w:divBdr>
    </w:div>
    <w:div w:id="1897272982">
      <w:bodyDiv w:val="1"/>
      <w:marLeft w:val="0"/>
      <w:marRight w:val="0"/>
      <w:marTop w:val="0"/>
      <w:marBottom w:val="0"/>
      <w:divBdr>
        <w:top w:val="none" w:sz="0" w:space="0" w:color="auto"/>
        <w:left w:val="none" w:sz="0" w:space="0" w:color="auto"/>
        <w:bottom w:val="none" w:sz="0" w:space="0" w:color="auto"/>
        <w:right w:val="none" w:sz="0" w:space="0" w:color="auto"/>
      </w:divBdr>
    </w:div>
    <w:div w:id="1940091809">
      <w:bodyDiv w:val="1"/>
      <w:marLeft w:val="0"/>
      <w:marRight w:val="0"/>
      <w:marTop w:val="0"/>
      <w:marBottom w:val="0"/>
      <w:divBdr>
        <w:top w:val="none" w:sz="0" w:space="0" w:color="auto"/>
        <w:left w:val="none" w:sz="0" w:space="0" w:color="auto"/>
        <w:bottom w:val="none" w:sz="0" w:space="0" w:color="auto"/>
        <w:right w:val="none" w:sz="0" w:space="0" w:color="auto"/>
      </w:divBdr>
    </w:div>
    <w:div w:id="213525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A7E8673EEF1473DA53836819EBB36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833</Nr_x002e__x0020_akti>
    <Data_x0020_e_x0020_Krijimit xmlns="0e656187-b300-4fb0-8bf4-3a50f872073c">2026-01-05T10:56:25Z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2025-12-31T00:00:00Z</Date_x0020_protokolli>
    <Titulli xmlns="0e656187-b300-4fb0-8bf4-3a50f872073c">Për miratimin e standardeve e të kritereve  që mundësojnë  zbatimin e parimit të shkencës  së hapur dhe janë në përputhje me politikat e zonës evropiane të kërkimit</Titulli>
    <Modifikuesi xmlns="0e656187-b300-4fb0-8bf4-3a50f872073c">elnejda.cokalli</Modifikuesi>
    <Nr_x002e__x0020_prot_x0020_QBZ xmlns="0e656187-b300-4fb0-8bf4-3a50f872073c">2276</Nr_x002e__x0020_prot_x0020_QBZ>
    <Data_x0020_e_x0020_Modifikimit xmlns="0e656187-b300-4fb0-8bf4-3a50f872073c">2026-01-05T13:27:21Z</Data_x0020_e_x0020_Modifikimit>
    <Dekretuar xmlns="0e656187-b300-4fb0-8bf4-3a50f872073c">false</Dekretuar>
    <Data xmlns="0e656187-b300-4fb0-8bf4-3a50f872073c">2025-12-30T00:00:00Z</Data>
    <Nr_x002e__x0020_protokolli_x0020_i_x0020_aktit xmlns="0e656187-b300-4fb0-8bf4-3a50f872073c">6389/1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A7E8673EEF1473DA53836819EBB36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BFA0A-5C67-4D8D-A90C-DE5FC97C4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E514210-0515-41C2-B4DE-158B8F558A24}">
  <ds:schemaRefs>
    <ds:schemaRef ds:uri="http://schemas.microsoft.com/sharepoint/v3/contenttype/forms"/>
  </ds:schemaRefs>
</ds:datastoreItem>
</file>

<file path=customXml/itemProps3.xml><?xml version="1.0" encoding="utf-8"?>
<ds:datastoreItem xmlns:ds="http://schemas.openxmlformats.org/officeDocument/2006/customXml" ds:itemID="{949E5758-52BF-4BD2-9AA7-40594A5945E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60D6578-C083-4EB4-947B-F29DB1AE3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DBBCDE5-F89B-4C50-966E-293DAF78563C}">
  <ds:schemaRefs>
    <ds:schemaRef ds:uri="http://schemas.microsoft.com/sharepoint/v3/contenttype/forms"/>
  </ds:schemaRefs>
</ds:datastoreItem>
</file>

<file path=customXml/itemProps6.xml><?xml version="1.0" encoding="utf-8"?>
<ds:datastoreItem xmlns:ds="http://schemas.openxmlformats.org/officeDocument/2006/customXml" ds:itemID="{0A5D151E-0C3C-4965-85D9-9D30F6752FA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3326</Words>
  <Characters>18959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Sula</dc:creator>
  <cp:lastModifiedBy>Marsela Xhepa</cp:lastModifiedBy>
  <cp:revision>4</cp:revision>
  <cp:lastPrinted>2025-12-29T21:43:00Z</cp:lastPrinted>
  <dcterms:created xsi:type="dcterms:W3CDTF">2026-05-12T10:33:00Z</dcterms:created>
  <dcterms:modified xsi:type="dcterms:W3CDTF">2026-05-12T10:37:00Z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2023-11-09T22:08:34Z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10146f38-3ad0-4a35-8f42-ba4c9373d14d</vt:lpwstr>
  </property>
  <property fmtid="{D5CDD505-2E9C-101B-9397-08002B2CF9AE}" pid="8" name="MSIP_Label_ea60d57e-af5b-4752-ac57-3e4f28ca11dc_ContentBits">
    <vt:lpwstr>0</vt:lpwstr>
  </property>
  <property fmtid="{D5CDD505-2E9C-101B-9397-08002B2CF9AE}" pid="9" name="ContentTypeId">
    <vt:lpwstr>0x0101009ADFED34F860B24F8E71BBA59C88D93D</vt:lpwstr>
  </property>
  <property fmtid="{D5CDD505-2E9C-101B-9397-08002B2CF9AE}" pid="10" name="MSIP_Label_6cf46c2e-64e9-484b-aa4e-3ffc4469b01c_Enabled">
    <vt:lpwstr>true</vt:lpwstr>
  </property>
  <property fmtid="{D5CDD505-2E9C-101B-9397-08002B2CF9AE}" pid="11" name="MSIP_Label_6cf46c2e-64e9-484b-aa4e-3ffc4469b01c_SetDate">
    <vt:lpwstr>2025-11-20T12:08:34Z</vt:lpwstr>
  </property>
  <property fmtid="{D5CDD505-2E9C-101B-9397-08002B2CF9AE}" pid="12" name="MSIP_Label_6cf46c2e-64e9-484b-aa4e-3ffc4469b01c_Method">
    <vt:lpwstr>Standard</vt:lpwstr>
  </property>
  <property fmtid="{D5CDD505-2E9C-101B-9397-08002B2CF9AE}" pid="13" name="MSIP_Label_6cf46c2e-64e9-484b-aa4e-3ffc4469b01c_Name">
    <vt:lpwstr>General</vt:lpwstr>
  </property>
  <property fmtid="{D5CDD505-2E9C-101B-9397-08002B2CF9AE}" pid="14" name="MSIP_Label_6cf46c2e-64e9-484b-aa4e-3ffc4469b01c_SiteId">
    <vt:lpwstr>f5d8b812-606a-42ba-8cf9-3371cfe29c72</vt:lpwstr>
  </property>
  <property fmtid="{D5CDD505-2E9C-101B-9397-08002B2CF9AE}" pid="15" name="MSIP_Label_6cf46c2e-64e9-484b-aa4e-3ffc4469b01c_ActionId">
    <vt:lpwstr>f3b68eec-9d6d-4e1d-87a0-f7fcc20d4e92</vt:lpwstr>
  </property>
  <property fmtid="{D5CDD505-2E9C-101B-9397-08002B2CF9AE}" pid="16" name="MSIP_Label_6cf46c2e-64e9-484b-aa4e-3ffc4469b01c_ContentBits">
    <vt:lpwstr>0</vt:lpwstr>
  </property>
</Properties>
</file>