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68E10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B6ABF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874C551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B6ABF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5B6AB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b/>
          <w:bCs/>
          <w:color w:val="000000"/>
          <w:sz w:val="24"/>
          <w:szCs w:val="24"/>
        </w:rPr>
        <w:t>4, datë 15.1.2026</w:t>
      </w:r>
    </w:p>
    <w:p w14:paraId="72C29588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2DEF6BD5" w14:textId="1A29FAF3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5B6ABF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PROCEDURAVE TË HOLLËSISHME PËR KALIMIN E PRONËSISË SË TRUALLIT SHTETËROR NË PËRDORIM DHE MIRATIMIN E MODELIT</w:t>
      </w:r>
      <w:r w:rsidR="005B6AB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AKTIT TË KALIMIT NË PRONËSI</w:t>
      </w:r>
    </w:p>
    <w:p w14:paraId="550893BC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</w:pPr>
    </w:p>
    <w:p w14:paraId="45186678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4, të nenit 63, të ligjit nr.</w:t>
      </w:r>
      <w:r w:rsidR="005B6A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20/2020, “Për përfundimin e proceseve kalimtare të pronësisë në Republikën e Shqipërisë”, me propozimin e Kryeministrit, Këshilli i Ministrave</w:t>
      </w:r>
    </w:p>
    <w:p w14:paraId="541FD4E5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4374415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B6ABF">
        <w:rPr>
          <w:rFonts w:ascii="Garamond" w:hAnsi="Garamond" w:cs="Times New Roman"/>
          <w:bCs/>
          <w:color w:val="000000"/>
          <w:sz w:val="24"/>
          <w:szCs w:val="24"/>
        </w:rPr>
        <w:t>VENDOSI</w:t>
      </w:r>
      <w:r w:rsidRPr="008C577F">
        <w:rPr>
          <w:rFonts w:ascii="Garamond" w:hAnsi="Garamond"/>
          <w:color w:val="000000"/>
          <w:sz w:val="24"/>
        </w:rPr>
        <w:t>:</w:t>
      </w:r>
    </w:p>
    <w:p w14:paraId="373BD33D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D239D6F" w14:textId="77777777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8C577F">
        <w:rPr>
          <w:rFonts w:ascii="Garamond" w:hAnsi="Garamond"/>
          <w:color w:val="000000"/>
          <w:sz w:val="24"/>
        </w:rPr>
        <w:t>I. DISPOZITA TË PËRGJITHSHME</w:t>
      </w:r>
    </w:p>
    <w:p w14:paraId="2A5B6FBC" w14:textId="77777777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C577F">
        <w:rPr>
          <w:rFonts w:ascii="Garamond" w:hAnsi="Garamond" w:cs="Times New Roman"/>
          <w:color w:val="000000"/>
          <w:sz w:val="24"/>
          <w:szCs w:val="24"/>
        </w:rPr>
        <w:t>1. Në këtë vendim, termat e mëposhtëm kanë këto kuptime:</w:t>
      </w:r>
    </w:p>
    <w:p w14:paraId="10DA52EC" w14:textId="77777777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C577F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Pr="008C577F">
        <w:rPr>
          <w:rFonts w:ascii="Garamond" w:hAnsi="Garamond"/>
          <w:color w:val="000000"/>
          <w:sz w:val="24"/>
        </w:rPr>
        <w:t>“Harta e vlerës së tokës”</w:t>
      </w:r>
      <w:r w:rsidRPr="008C577F">
        <w:rPr>
          <w:rFonts w:ascii="Garamond" w:hAnsi="Garamond" w:cs="Times New Roman"/>
          <w:color w:val="000000"/>
          <w:sz w:val="24"/>
          <w:szCs w:val="24"/>
        </w:rPr>
        <w:t>, harta e vlerës e miratuar me vendim të Këshillit të Ministrave, në fuqi në kohën e kryerjes së procedurave, sipas këtij vendimi;</w:t>
      </w:r>
    </w:p>
    <w:p w14:paraId="22ABD01F" w14:textId="77777777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C577F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Pr="008C577F">
        <w:rPr>
          <w:rFonts w:ascii="Garamond" w:hAnsi="Garamond"/>
          <w:color w:val="000000"/>
          <w:sz w:val="24"/>
        </w:rPr>
        <w:t>“Ligj”</w:t>
      </w:r>
      <w:r w:rsidRPr="008C577F">
        <w:rPr>
          <w:rFonts w:ascii="Garamond" w:hAnsi="Garamond" w:cs="Times New Roman"/>
          <w:color w:val="000000"/>
          <w:sz w:val="24"/>
          <w:szCs w:val="24"/>
        </w:rPr>
        <w:t>, ligji nr.</w:t>
      </w:r>
      <w:r w:rsidR="005B6ABF" w:rsidRPr="008C57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C577F">
        <w:rPr>
          <w:rFonts w:ascii="Garamond" w:hAnsi="Garamond" w:cs="Times New Roman"/>
          <w:color w:val="000000"/>
          <w:sz w:val="24"/>
          <w:szCs w:val="24"/>
        </w:rPr>
        <w:t xml:space="preserve">20/2020, “Për përfundimin e proceseve kalimtare të pronësisë në Republikën e Shqipërisë”; </w:t>
      </w:r>
    </w:p>
    <w:p w14:paraId="345C0B6E" w14:textId="5DAD507F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C577F">
        <w:rPr>
          <w:rFonts w:ascii="Garamond" w:hAnsi="Garamond" w:cs="Times New Roman"/>
          <w:color w:val="000000"/>
          <w:sz w:val="24"/>
          <w:szCs w:val="24"/>
        </w:rPr>
        <w:t>c)</w:t>
      </w:r>
      <w:r w:rsidR="004A663B" w:rsidRPr="008C57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C577F">
        <w:rPr>
          <w:rFonts w:ascii="Garamond" w:hAnsi="Garamond"/>
          <w:color w:val="000000"/>
          <w:sz w:val="24"/>
        </w:rPr>
        <w:t>“Ndërtesa të privatizuara”</w:t>
      </w:r>
      <w:r w:rsidRPr="008C577F">
        <w:rPr>
          <w:rFonts w:ascii="Garamond" w:hAnsi="Garamond" w:cs="Times New Roman"/>
          <w:color w:val="000000"/>
          <w:sz w:val="24"/>
          <w:szCs w:val="24"/>
        </w:rPr>
        <w:t>, ndërtesa:</w:t>
      </w:r>
    </w:p>
    <w:p w14:paraId="4A2F5074" w14:textId="77777777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C577F">
        <w:rPr>
          <w:rFonts w:ascii="Garamond" w:hAnsi="Garamond" w:cs="Times New Roman"/>
          <w:color w:val="000000"/>
          <w:sz w:val="24"/>
          <w:szCs w:val="24"/>
        </w:rPr>
        <w:t>i. të përfituara sipas ligjit nr.</w:t>
      </w:r>
      <w:r w:rsidR="005B6ABF" w:rsidRPr="008C57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C577F">
        <w:rPr>
          <w:rFonts w:ascii="Garamond" w:hAnsi="Garamond" w:cs="Times New Roman"/>
          <w:color w:val="000000"/>
          <w:sz w:val="24"/>
          <w:szCs w:val="24"/>
        </w:rPr>
        <w:t>7512, datë 10.8.1991, “Për sanksionimin dhe mbrojtjen e pronës private të nismës së lirë, të veprimtarive private të pavarura dhe privatizimit”, të shfuqizuar;</w:t>
      </w:r>
    </w:p>
    <w:p w14:paraId="142E55A6" w14:textId="5CF5F26D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C577F">
        <w:rPr>
          <w:rFonts w:ascii="Garamond" w:hAnsi="Garamond" w:cs="Times New Roman"/>
          <w:sz w:val="24"/>
          <w:szCs w:val="24"/>
        </w:rPr>
        <w:t>ii. të</w:t>
      </w:r>
      <w:r w:rsidRPr="008C577F">
        <w:rPr>
          <w:rFonts w:ascii="Garamond" w:hAnsi="Garamond" w:cs="Times New Roman"/>
          <w:color w:val="000000"/>
          <w:sz w:val="24"/>
          <w:szCs w:val="24"/>
        </w:rPr>
        <w:t xml:space="preserve"> shitura nga ndërmarrjet shtetërore, përpara hyrjes në fuqi të ligjit nr.</w:t>
      </w:r>
      <w:r w:rsidR="005B6ABF" w:rsidRPr="008C57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C577F">
        <w:rPr>
          <w:rFonts w:ascii="Garamond" w:hAnsi="Garamond" w:cs="Times New Roman"/>
          <w:color w:val="000000"/>
          <w:sz w:val="24"/>
          <w:szCs w:val="24"/>
        </w:rPr>
        <w:t>7512, datë 10.8.1991, “Për sanksionimin dhe mbrojtjen e pronës private të nismës së lirë, të veprimtarive private të pavarur</w:t>
      </w:r>
      <w:r w:rsidR="005B6ABF" w:rsidRPr="008C577F">
        <w:rPr>
          <w:rFonts w:ascii="Garamond" w:hAnsi="Garamond" w:cs="Times New Roman"/>
          <w:color w:val="000000"/>
          <w:sz w:val="24"/>
          <w:szCs w:val="24"/>
        </w:rPr>
        <w:t>a</w:t>
      </w:r>
      <w:r w:rsidRPr="008C577F">
        <w:rPr>
          <w:rFonts w:ascii="Garamond" w:hAnsi="Garamond" w:cs="Times New Roman"/>
          <w:color w:val="000000"/>
          <w:sz w:val="24"/>
          <w:szCs w:val="24"/>
        </w:rPr>
        <w:t xml:space="preserve"> dhe privatizimit”, të shfuqizuar;</w:t>
      </w:r>
    </w:p>
    <w:p w14:paraId="50987D2C" w14:textId="626214B7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C577F">
        <w:rPr>
          <w:rFonts w:ascii="Garamond" w:hAnsi="Garamond" w:cs="Times New Roman"/>
          <w:color w:val="000000"/>
          <w:sz w:val="24"/>
          <w:szCs w:val="24"/>
        </w:rPr>
        <w:t>iii. të shitura nga ish-kooperativat bujqësore apo njësitë e vetëqeverisjes vendo</w:t>
      </w:r>
      <w:r w:rsidR="005B6ABF" w:rsidRPr="008C577F">
        <w:rPr>
          <w:rFonts w:ascii="Garamond" w:hAnsi="Garamond" w:cs="Times New Roman"/>
          <w:color w:val="000000"/>
          <w:sz w:val="24"/>
          <w:szCs w:val="24"/>
        </w:rPr>
        <w:t>re, si pronë e ish-kooperativës;</w:t>
      </w:r>
    </w:p>
    <w:p w14:paraId="0506DFD9" w14:textId="67C19781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C577F">
        <w:rPr>
          <w:rFonts w:ascii="Garamond" w:hAnsi="Garamond" w:cs="Times New Roman"/>
          <w:color w:val="000000"/>
          <w:sz w:val="24"/>
          <w:szCs w:val="24"/>
        </w:rPr>
        <w:t>ç)</w:t>
      </w:r>
      <w:r w:rsidR="004A663B" w:rsidRPr="008C57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C577F">
        <w:rPr>
          <w:rFonts w:ascii="Garamond" w:hAnsi="Garamond"/>
          <w:color w:val="000000"/>
          <w:sz w:val="24"/>
        </w:rPr>
        <w:t>“Ndërtesë e dëmtuar”</w:t>
      </w:r>
      <w:r w:rsidRPr="008C577F">
        <w:rPr>
          <w:rFonts w:ascii="Garamond" w:hAnsi="Garamond" w:cs="Times New Roman"/>
          <w:color w:val="000000"/>
          <w:sz w:val="24"/>
          <w:szCs w:val="24"/>
        </w:rPr>
        <w:t>,</w:t>
      </w:r>
      <w:r w:rsidRPr="008C577F">
        <w:rPr>
          <w:rFonts w:ascii="Garamond" w:hAnsi="Garamond"/>
          <w:color w:val="000000"/>
          <w:sz w:val="24"/>
        </w:rPr>
        <w:t xml:space="preserve"> </w:t>
      </w:r>
      <w:r w:rsidRPr="008C577F">
        <w:rPr>
          <w:rFonts w:ascii="Garamond" w:hAnsi="Garamond" w:cs="Times New Roman"/>
          <w:color w:val="000000"/>
          <w:sz w:val="24"/>
          <w:szCs w:val="24"/>
        </w:rPr>
        <w:t>në kuptim të këtij vendimi, objekti që ka pësuar dëmtime në mbulesë apo në strukturën e saj dhe nuk është prishur tërësisht;</w:t>
      </w:r>
    </w:p>
    <w:p w14:paraId="73C639A8" w14:textId="08DE26B4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C577F">
        <w:rPr>
          <w:rFonts w:ascii="Garamond" w:hAnsi="Garamond" w:cs="Times New Roman"/>
          <w:color w:val="000000"/>
          <w:sz w:val="24"/>
          <w:szCs w:val="24"/>
        </w:rPr>
        <w:t xml:space="preserve"> d)</w:t>
      </w:r>
      <w:r w:rsidR="004A663B" w:rsidRPr="008C577F">
        <w:rPr>
          <w:rFonts w:ascii="Garamond" w:hAnsi="Garamond"/>
          <w:color w:val="000000"/>
          <w:sz w:val="24"/>
        </w:rPr>
        <w:t xml:space="preserve"> </w:t>
      </w:r>
      <w:r w:rsidRPr="008C577F">
        <w:rPr>
          <w:rFonts w:ascii="Garamond" w:hAnsi="Garamond"/>
          <w:color w:val="000000"/>
          <w:sz w:val="24"/>
        </w:rPr>
        <w:t>“Ndërtesa të ngritura me leje ndërtimi”</w:t>
      </w:r>
      <w:r w:rsidRPr="008C577F">
        <w:rPr>
          <w:rFonts w:ascii="Garamond" w:hAnsi="Garamond" w:cs="Times New Roman"/>
          <w:color w:val="000000"/>
          <w:sz w:val="24"/>
          <w:szCs w:val="24"/>
        </w:rPr>
        <w:t>, ndërtesat e ngritura në bazë të lejeve të ndërtimit të lëshuara nga organet e vetëqeverisjes vendore, pas datës 10.8.1991 e në vazhdim, për të cilat mungon dokumentacioni apo vendimi i organeve të pushtetit vendor për dhënien e tokës për ndërtim;</w:t>
      </w:r>
    </w:p>
    <w:p w14:paraId="169EDA38" w14:textId="2F1222E4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C577F">
        <w:rPr>
          <w:rFonts w:ascii="Garamond" w:hAnsi="Garamond" w:cs="Times New Roman"/>
          <w:color w:val="000000"/>
          <w:sz w:val="24"/>
          <w:szCs w:val="24"/>
        </w:rPr>
        <w:t>dh)</w:t>
      </w:r>
      <w:r w:rsidR="004A663B" w:rsidRPr="008C57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C577F">
        <w:rPr>
          <w:rFonts w:ascii="Garamond" w:hAnsi="Garamond"/>
          <w:color w:val="000000"/>
          <w:sz w:val="24"/>
        </w:rPr>
        <w:t>“Truall shtetëror në përdorim”</w:t>
      </w:r>
      <w:r w:rsidRPr="008C577F">
        <w:rPr>
          <w:rFonts w:ascii="Garamond" w:hAnsi="Garamond" w:cs="Times New Roman"/>
          <w:color w:val="000000"/>
          <w:sz w:val="24"/>
          <w:szCs w:val="24"/>
        </w:rPr>
        <w:t>, sipas kuptimit të pikës 23, të nenit 4, të ligjit nr.</w:t>
      </w:r>
      <w:r w:rsidR="005B6ABF" w:rsidRPr="008C57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C577F">
        <w:rPr>
          <w:rFonts w:ascii="Garamond" w:hAnsi="Garamond" w:cs="Times New Roman"/>
          <w:color w:val="000000"/>
          <w:sz w:val="24"/>
          <w:szCs w:val="24"/>
        </w:rPr>
        <w:t>20/2020, “Për përfundimin e proceseve kalimtare të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pronësisë në Republikën e Shqipërisë”, që përfshin truallin e përcaktuar në</w:t>
      </w:r>
      <w:r w:rsidR="004A663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genplanin dhe dokumentacionin në momentin e privatizimit të ndërmarrjeve apo objekteve, ku përfshihet sipërfaqja nën objekt dhe sipërfaqe funksionale përreth tij, nëse ka, si dhe sipërfaqja e truallit</w:t>
      </w:r>
      <w:r w:rsidR="005B6ABF">
        <w:rPr>
          <w:rFonts w:ascii="Garamond" w:hAnsi="Garamond" w:cs="Times New Roman"/>
          <w:color w:val="000000"/>
          <w:sz w:val="24"/>
          <w:szCs w:val="24"/>
        </w:rPr>
        <w:t>,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sipas genplanit dhe dokumentacionit të dhënies së lejes së ndërtimit, në të cilat janë përcaktuar sipërfaqja e objektit dhe e sheshit të ndërtimit.</w:t>
      </w:r>
    </w:p>
    <w:p w14:paraId="6726574E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2. Procedurat administrative të kalimit të së drejtës së pronësisë së truallit do të kryhen nga Agjencia Shtetërore e Kadastrës (në vijim ASHK</w:t>
      </w:r>
      <w:r w:rsidR="005B6ABF">
        <w:rPr>
          <w:rFonts w:ascii="Garamond" w:hAnsi="Garamond" w:cs="Times New Roman"/>
          <w:color w:val="000000"/>
          <w:sz w:val="24"/>
          <w:szCs w:val="24"/>
        </w:rPr>
        <w:t>-ja</w:t>
      </w:r>
      <w:r w:rsidRPr="005B6ABF">
        <w:rPr>
          <w:rFonts w:ascii="Garamond" w:hAnsi="Garamond" w:cs="Times New Roman"/>
          <w:color w:val="000000"/>
          <w:sz w:val="24"/>
          <w:szCs w:val="24"/>
        </w:rPr>
        <w:t>) edhe në ato raste kur ndërtesa e privatizuar sipas shkronjës “c”, të pikës 1, të këtij kreu, dhe ndërtesa e ngritur sipas lejes së ndërtimit, sipas shkronjës “d”, të pikës 1, të këtij kreu, është e dëmtuar, në momentin e hyrjes në fuqi të këtij vendimi, me kushtin që ndërtimi të jetë i pasqyruar në regjistrat kadastralë të pasurive të paluajtshme.</w:t>
      </w:r>
    </w:p>
    <w:p w14:paraId="44F037AF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sz w:val="24"/>
          <w:szCs w:val="24"/>
        </w:rPr>
        <w:t xml:space="preserve">3. Procedura e kalimit të së drejtës së pronësisë, sipas këtij vendimi, </w:t>
      </w:r>
      <w:r w:rsidRPr="005B6ABF">
        <w:rPr>
          <w:rFonts w:ascii="Garamond" w:hAnsi="Garamond" w:cs="Times New Roman"/>
          <w:color w:val="000000"/>
          <w:sz w:val="24"/>
          <w:szCs w:val="24"/>
        </w:rPr>
        <w:t>fillon sipas përcaktimeve të nenit 62, të ligjit nr.</w:t>
      </w:r>
      <w:r w:rsidR="005B6A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20/2020, “Për përfundimin e proceseve kalimtare të pronësisë në Republikën e Shqipërisë”, dhe ndjek rregullat dhe afatet e parashikuara në këtë ligj dhe në Kodin e Procedurave Administrative.</w:t>
      </w:r>
    </w:p>
    <w:p w14:paraId="4E950113" w14:textId="65D14A96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4. Për kërkesat e paraqitura nga subjektet, modeli i kërkesës për kalimin e pronësisë është sipas aneksit 1, që i bashkëlidhet këtij vendimi dhe është pjesë përbërëse e tij. Kërkesa paraqitet </w:t>
      </w:r>
      <w:r w:rsidR="005B6ABF">
        <w:rPr>
          <w:rFonts w:ascii="Garamond" w:hAnsi="Garamond" w:cs="Times New Roman"/>
          <w:i/>
          <w:iCs/>
          <w:color w:val="000000"/>
          <w:sz w:val="24"/>
          <w:szCs w:val="24"/>
        </w:rPr>
        <w:t>on</w:t>
      </w:r>
      <w:r w:rsidRPr="005B6ABF">
        <w:rPr>
          <w:rFonts w:ascii="Garamond" w:hAnsi="Garamond" w:cs="Times New Roman"/>
          <w:i/>
          <w:iCs/>
          <w:color w:val="000000"/>
          <w:sz w:val="24"/>
          <w:szCs w:val="24"/>
        </w:rPr>
        <w:t>line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nëpërmjet portalit unik qeveritar “</w:t>
      </w:r>
      <w:r w:rsidRPr="005B6ABF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5B6ABF">
        <w:rPr>
          <w:rFonts w:ascii="Garamond" w:hAnsi="Garamond" w:cs="Times New Roman"/>
          <w:color w:val="000000"/>
          <w:sz w:val="24"/>
          <w:szCs w:val="24"/>
        </w:rPr>
        <w:t>” dhe tarifa e shërbimit paguhet në momentin e paraqitjes së kërkesës nga subjekti i interesuar.</w:t>
      </w:r>
    </w:p>
    <w:p w14:paraId="45572133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5. Tarifa e shërbimit për procedurën administrative është sipas vendimit nr.</w:t>
      </w:r>
      <w:r w:rsidR="005B6A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5, datë 11.1.2023, të Këshillit të Ministrave, “Për përcaktimin e vlerës së tarifave dhe pagesave, masës së penaliteteve, si dhe të mënyrës së llogaritjes, mbledhjes dhe administrimit të të ardhurave të arkëtuara nga proceset kalimtare të pronësisë”, dhe është e pakthyeshme në rast të refuzimit të kërkesës nga ASHK-ja.</w:t>
      </w:r>
    </w:p>
    <w:p w14:paraId="3AA17F90" w14:textId="29273A74" w:rsidR="00586BE9" w:rsidRPr="005B6ABF" w:rsidRDefault="00586BE9" w:rsidP="00586BE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6. Për kërkesat e paraqitura pranë strukturës përgjegjëse për shitjen e pronës publike, para hyrjes në fuqi të ligjit, për të cilat nuk ka përfunduar procedura administrative, nuk aplikohet pagesa e tarifës sipas pikës 5</w:t>
      </w:r>
      <w:r w:rsidR="005B6ABF">
        <w:rPr>
          <w:rFonts w:ascii="Garamond" w:hAnsi="Garamond" w:cs="Times New Roman"/>
          <w:color w:val="000000"/>
          <w:sz w:val="24"/>
          <w:szCs w:val="24"/>
        </w:rPr>
        <w:t>, të kreut I, të këtij vendimi.</w:t>
      </w:r>
    </w:p>
    <w:p w14:paraId="60A78F94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7. Në rastet kur gjatë regjistrimit fillestar apo përmirësimit të zonës kadastrale evidentohen raste të aplikimit të procedurave të kalimit të pronësisë së truallit shtetëror në përdorim, ASHK-ja njofton subjektin nëpërmjet njoftimit publik, sipas rregullave të parashikuara në kreun II, të pjesës së shtatë të Kodit të Procedurave Administrative, për depozitimin e kërkesës nëpërmjet portalit unik qeveritar “</w:t>
      </w:r>
      <w:r w:rsidRPr="005B6ABF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5B6ABF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173BF98F" w14:textId="7C46B698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8. </w:t>
      </w:r>
      <w:r w:rsidR="005B6ABF">
        <w:rPr>
          <w:rFonts w:ascii="Garamond" w:hAnsi="Garamond" w:cs="Times New Roman"/>
          <w:color w:val="000000"/>
          <w:sz w:val="24"/>
          <w:szCs w:val="24"/>
        </w:rPr>
        <w:t>Përfitojnë ulje 20</w:t>
      </w:r>
      <w:r w:rsidRPr="005B6ABF">
        <w:rPr>
          <w:rFonts w:ascii="Garamond" w:hAnsi="Garamond" w:cs="Times New Roman"/>
          <w:color w:val="000000"/>
          <w:sz w:val="24"/>
          <w:szCs w:val="24"/>
        </w:rPr>
        <w:t>% të vlerës subjektet që kanë paraqitur kërkesë për privatizim të truallit shtetëror në përdorim, përpara datës 1.7.2012, dhe nuk e kanë kryer pagesën për efekt të mosnjoftimit të faturës, sipas ligjit nr.</w:t>
      </w:r>
      <w:r w:rsidR="005B6A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10270, datë 22.4.2010, “Për të drejtën e privatizimit të truallit shtetëror në përdorim dhe taksën mbi të drejtën e përdorimit të tij”, nëse kryejnë pagesën brenda 30 (tridhjetë) ditëve nga marrja dijeni për njoftimin. Kjo lehtësi përfitohet sipas p</w:t>
      </w:r>
      <w:r w:rsidR="005B6ABF">
        <w:rPr>
          <w:rFonts w:ascii="Garamond" w:hAnsi="Garamond" w:cs="Times New Roman"/>
          <w:color w:val="000000"/>
          <w:sz w:val="24"/>
          <w:szCs w:val="24"/>
        </w:rPr>
        <w:t>ikës 3, të nenit 63, të ligjit.</w:t>
      </w:r>
    </w:p>
    <w:p w14:paraId="72E19FCA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9. Të ardhurat e mbledhura nga kalimi i të drejtës së pronësisë së truallit shtetëror në përdorim arkëtohen dhe përdoren nga ASHK-ja, në përputhje e parashikimet e nenit 67, të ligjit.</w:t>
      </w:r>
    </w:p>
    <w:p w14:paraId="54BBF51A" w14:textId="77777777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8C577F">
        <w:rPr>
          <w:rFonts w:ascii="Garamond" w:hAnsi="Garamond"/>
          <w:color w:val="000000"/>
          <w:sz w:val="24"/>
        </w:rPr>
        <w:t xml:space="preserve">II. PROCEDURAT E KALIMIT TË PRONËSISË PËR TROJET E NDËRTESAVE TË </w:t>
      </w:r>
      <w:r w:rsidR="005B6ABF" w:rsidRPr="008C577F">
        <w:rPr>
          <w:rFonts w:ascii="Garamond" w:hAnsi="Garamond"/>
          <w:color w:val="000000"/>
          <w:sz w:val="24"/>
        </w:rPr>
        <w:t>PRIVATIZUARA</w:t>
      </w:r>
    </w:p>
    <w:p w14:paraId="49B6D5DD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1. Kërkesa e paraqitur sipas pikës 4, të kreut I, të këtij vendimi, shoqërohet nga dokumentacioni, që, sipas rastit është, si më poshtë vijon:</w:t>
      </w:r>
    </w:p>
    <w:p w14:paraId="06375CF3" w14:textId="3FD7EE6A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a) Kontrata e kalimit të së drejtës së pronësisë mbi ndërtesën, bashkë me genplanin ose planimetrinë përkatëse në çastin e privatizimit, kur pronësia mbi ndërtesën nuk është e regjistruar në regjistrin kadastral, dhe deklarata noteriale e mostjetërsimit të ndërtesës te</w:t>
      </w:r>
      <w:r w:rsidR="005B6ABF">
        <w:rPr>
          <w:rFonts w:ascii="Garamond" w:hAnsi="Garamond" w:cs="Times New Roman"/>
          <w:color w:val="000000"/>
          <w:sz w:val="24"/>
          <w:szCs w:val="24"/>
        </w:rPr>
        <w:t>k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të tretët. Në këtë rast, ASHK-ja shqyrton dokumentacionin e depozituar pranë saj në momentin e paraqitjes së kërkesës, me qëllim vërtetimin e pronësisë së ndërtesës; ose</w:t>
      </w:r>
    </w:p>
    <w:p w14:paraId="14F58BB4" w14:textId="59E22276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b) Kontrata e kalimit të pronësisë së ndërtesës, kur pronësia e saj ka kaluar te</w:t>
      </w:r>
      <w:r w:rsidR="005B6ABF">
        <w:rPr>
          <w:rFonts w:ascii="Garamond" w:hAnsi="Garamond" w:cs="Times New Roman"/>
          <w:color w:val="000000"/>
          <w:sz w:val="24"/>
          <w:szCs w:val="24"/>
        </w:rPr>
        <w:t>k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të tretët; ose</w:t>
      </w:r>
    </w:p>
    <w:p w14:paraId="2AFD3F6D" w14:textId="5350ED6C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c) Vërtetimi ose certifikata e regjistrimit të pronësisë së ndërtesës kur është e regjistruar</w:t>
      </w:r>
      <w:r w:rsidR="005B6ABF">
        <w:rPr>
          <w:rFonts w:ascii="Garamond" w:hAnsi="Garamond" w:cs="Times New Roman"/>
          <w:color w:val="000000"/>
          <w:sz w:val="24"/>
          <w:szCs w:val="24"/>
        </w:rPr>
        <w:t>;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5076F391" w14:textId="62B118EE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ç)</w:t>
      </w:r>
      <w:r w:rsidR="004A663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Vërtetim i lëshuar nga drejtoria rajonale tatimore për pagesën e taksës së truallit në përdorim, nga data 7.6.2010 deri në datën e paraqitjes së kërkesës për kalimin në pronësi të truallit shtetëror në përdorim.</w:t>
      </w:r>
    </w:p>
    <w:p w14:paraId="7E6AD9A3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2. Për të kaluar pronësinë mbi truallin e ndërtesës së privatizuar, ASHK-ja kryen procedurat, si më poshtë vijon:</w:t>
      </w:r>
    </w:p>
    <w:p w14:paraId="642C4BDB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a) Verifikon pronësinë mbi ndërtesën, e cila të jetë fituar në bazë të ligjit nr.</w:t>
      </w:r>
      <w:r w:rsidR="005B6A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7512, datë 10.8.1991, “Për sanksionimin dhe mbrojtjen e pronës private të nismës së lirë, të veprimtarive private të pavarura dhe privatizimit”, të shfuqizuar, provuar kjo nga kontrata e privatizimit/shitjes së objektit me organin shtetëror përgjegjës. Është organ shtetëror përgjegjës, sipas kësaj pike, ai që ka realizuar procedurat e privatizimit të ndërtesës, si më poshtë vijon:</w:t>
      </w:r>
    </w:p>
    <w:p w14:paraId="12670453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i. Agjencia Kombëtare e Privatizimit dhe degët e saj në rrethe; ose</w:t>
      </w:r>
    </w:p>
    <w:p w14:paraId="151DAFFC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ii. Ndërmarrjet shtetërore; ose</w:t>
      </w:r>
    </w:p>
    <w:p w14:paraId="2EF50321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iii. Ish-kooperativat bujqësore, njësitë e qeverisjes vendore, për pasuritë e ish-kooperativave; ose</w:t>
      </w:r>
    </w:p>
    <w:p w14:paraId="0885E5C1" w14:textId="3F16545A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lastRenderedPageBreak/>
        <w:t>iv. Agjencia Qendrore e Ristrukturimit dhe Privatizimit të Ndërmarrjeve Bujqë</w:t>
      </w:r>
      <w:r w:rsidR="005B6ABF">
        <w:rPr>
          <w:rFonts w:ascii="Garamond" w:hAnsi="Garamond" w:cs="Times New Roman"/>
          <w:color w:val="000000"/>
          <w:sz w:val="24"/>
          <w:szCs w:val="24"/>
        </w:rPr>
        <w:t>sore dhe degët e saj në rrethe;</w:t>
      </w:r>
    </w:p>
    <w:p w14:paraId="13CBCBA6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b) Evidenton nëse trualli dhe ndërtesa e privatizuar janë në posedim të kërkuesit, fakt i cili provohet nga evidentimi në terren;</w:t>
      </w:r>
    </w:p>
    <w:p w14:paraId="0C504B11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c) Verifikon nëse trualli për të cilin kërkohet kalimi i pronësisë është ende në pronësi shtetërore dhe nuk ka kaluar në pronësi të tretëve, si dhe nuk përbën tokë publike të patjetërsueshme, në kuptim të ligjit nr.</w:t>
      </w:r>
      <w:r w:rsidR="005B6A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8743, datë 22.1.2001, “Për pronat e paluajtshme të shtetit”, të ndryshuar;</w:t>
      </w:r>
    </w:p>
    <w:p w14:paraId="7F5C81A5" w14:textId="56AEDE21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ç)</w:t>
      </w:r>
      <w:r w:rsidR="004A663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Verifikon nëse janë paguar nga subjekti detyrimet lidhur me pagesën e taksës së truallit në përdorim, nga data 7.6.2010 deri në datën e paraqitjes së kërkesës për kalimin e truallit shtetëror në përdorim.</w:t>
      </w:r>
    </w:p>
    <w:p w14:paraId="1AE6992B" w14:textId="0D8C853D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3. Brenda 60 (gjashtëdhjetë) ditëve nga depozitimi i kërkesës, sipas pikës 4, të kreut I, të këtij vendimi, ASHK-ja kryen procedurat admi</w:t>
      </w:r>
      <w:r w:rsidR="005B6ABF">
        <w:rPr>
          <w:rFonts w:ascii="Garamond" w:hAnsi="Garamond" w:cs="Times New Roman"/>
          <w:color w:val="000000"/>
          <w:sz w:val="24"/>
          <w:szCs w:val="24"/>
        </w:rPr>
        <w:t>nistrative, si më poshtë vijon:</w:t>
      </w:r>
    </w:p>
    <w:p w14:paraId="1B8ED4C6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a) Verifikon dokumentacionin arkivor që administron institucioni dhe dokumentacionin e dorëzuar nga subjekti;</w:t>
      </w:r>
    </w:p>
    <w:p w14:paraId="518574B7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b) Verifikon gjendjen juridike të pronësisë së truallit, nëse trualli për të cilin kërkohet kalimi i pronësisë është shtetëror apo jo;</w:t>
      </w:r>
    </w:p>
    <w:p w14:paraId="07DB6095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c) Verifikon gjendjen faktike të ndërtesës së privatizuar e të truallit për të cilin është kërkuar kalimi i pronësisë dhe harton aktin e evidentimit në terren, sipas aneksit 2, që i bashkëlidhet këtij vendimi dhe është pjesë përbërëse e tij.</w:t>
      </w:r>
    </w:p>
    <w:p w14:paraId="0614EE47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r w:rsidRPr="005B6ABF">
        <w:rPr>
          <w:rFonts w:ascii="Garamond" w:hAnsi="Garamond" w:cs="Times New Roman"/>
          <w:sz w:val="24"/>
          <w:szCs w:val="24"/>
        </w:rPr>
        <w:t>ASHK-ja përcakton sipërfaqen e truallit të ndërtesës së privatizuar që kalon në pronësi, duke u bazuar në:</w:t>
      </w:r>
    </w:p>
    <w:p w14:paraId="6C05CB78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a) genplanin dhe dokumentacionin e praktikës së privatizimit të ndërtesës së regjistruar në regjistrin kadastral ose në dokumentacionin e dorëzuar nga subjekti për regjistrimin e ndërtesës së privatizuar;</w:t>
      </w:r>
    </w:p>
    <w:p w14:paraId="355BA4D8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b) dokumentacionin hartografik ndihmës nga Arkivi Qendror Teknik i Ndërtimit apo nga Arkivi Qendror Shtetëror; ose</w:t>
      </w:r>
    </w:p>
    <w:p w14:paraId="17CFBBD4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c) aktin e evidentimit në terren, ku evidentohet sipërfaqja e truallit nën ndërtesë, kur mungon dokumentacioni sipas shkronjave “a” dhe “b”, të kësaj pike.</w:t>
      </w:r>
    </w:p>
    <w:p w14:paraId="176560D3" w14:textId="62E02231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B6ABF">
        <w:rPr>
          <w:rFonts w:ascii="Garamond" w:hAnsi="Garamond" w:cs="Times New Roman"/>
          <w:sz w:val="24"/>
          <w:szCs w:val="24"/>
        </w:rPr>
        <w:t>5. Sipërfaqja e truallit të ndërtesës të privatizuar që kalon në pronësi është e njëjtë me sipërfaqen e përcaktuar në genplanin dhe në dokumentacionin në momentin e privatizimit të objektit. Në rastin e parashikimeve të shkronjës “c”, të pikës 4, të këtij kreu, sipërfaqja e truallit për të cilën miratohet kalimi i pronësisë ë</w:t>
      </w:r>
      <w:r w:rsidR="005B6ABF">
        <w:rPr>
          <w:rFonts w:ascii="Garamond" w:hAnsi="Garamond" w:cs="Times New Roman"/>
          <w:sz w:val="24"/>
          <w:szCs w:val="24"/>
        </w:rPr>
        <w:t>shtë sipërfaqja nën objekt.</w:t>
      </w:r>
    </w:p>
    <w:p w14:paraId="274049F5" w14:textId="4B8C9202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6. Kalimi i pronësisë për sipërfaqen e truallit, për objektin e privatizuar si banesë, i cili edhe nga evidentimi në terren rezulton se nuk ka ndryshuar destinacion, kryhet pa pagesë, në masën e përcaktuar në dokumentacionin e privatizimit, me kushtin që kjo sipërfaqe të po</w:t>
      </w:r>
      <w:r w:rsidR="005B6ABF">
        <w:rPr>
          <w:rFonts w:ascii="Garamond" w:hAnsi="Garamond" w:cs="Times New Roman"/>
          <w:color w:val="000000"/>
          <w:sz w:val="24"/>
          <w:szCs w:val="24"/>
        </w:rPr>
        <w:t>sedohet në terren nga subjekti.</w:t>
      </w:r>
    </w:p>
    <w:p w14:paraId="68620488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sz w:val="24"/>
          <w:szCs w:val="24"/>
        </w:rPr>
        <w:t xml:space="preserve">7. Kalimi i pronësisë për sipërfaqen e trojeve të ndërtesave, me funksion social-ekonomik, bëhet kundrejt pagesës, </w:t>
      </w:r>
      <w:r w:rsidRPr="005B6ABF">
        <w:rPr>
          <w:rFonts w:ascii="Garamond" w:hAnsi="Garamond" w:cs="Times New Roman"/>
          <w:color w:val="000000"/>
          <w:sz w:val="24"/>
          <w:szCs w:val="24"/>
        </w:rPr>
        <w:t>sipas çmimit të përcaktuar në hartën e vlerës së tokës, miratuar me vendim të Këshillit të Ministrave. Për ndërtimet me funksion të përzier, kalimi i pronësisë për sipërfaqen e truallit do të bëhet me pagesë vetëm për pjesën që shfrytëzohet për veprimtari social-ekonomike, duke mbajtur parasysh raportin që zë kjo sipërfaqe në raport me sipërfaqen e përdorur për banim.</w:t>
      </w:r>
    </w:p>
    <w:p w14:paraId="1354CF05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Drejtoria vendore e ASHK-së llogarit detyrimin financiar dhe ia njofton atë subjektit, brenda 10 (dhjetë) ditëve nga akti i evidentimit në terren. Pagesa e vlerës së truallit duhet të shlyhet nga subjekti brenda 60 (gjashtëdhjetë) ditëve nga data e marrjes së njoftimit.</w:t>
      </w:r>
    </w:p>
    <w:p w14:paraId="37969EBA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8. Drejtoria vendore e ASHK-së, brenda 20 (njëzet) ditëve nga data e shlyerjes së pagesës për truallin e ndërtesës së privatizuar, miraton vendimin për miratim ose refuzim të kalimit të pronësisë, sipas aneksit 3, që i bashkëlidhet këtij vendimi dhe është pjesë përbërëse e tij. Vendimi i miratuar, i shoqëruar edhe nga planvendosja e pasurisë, i njoftohet subjektit përfitues, brenda 5 (pesë) ditëve nga data e miratimit.</w:t>
      </w:r>
    </w:p>
    <w:p w14:paraId="285409FB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lastRenderedPageBreak/>
        <w:t>9. Vendimi për miratimin e kalimit të pronësisë për truallin e ndërtesës së privatizuar regjistrohet në regjistrin kadastral, kryesisht nga drejtoria vendore e ASHK-së, pasi të jetë plotësuar një nga kushtet e mëposhtme:</w:t>
      </w:r>
    </w:p>
    <w:p w14:paraId="3B0FB5CE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a) Të ketë kaluar afati 30-ditor i paraqitjes së ankimit administrativ ndaj vendimit dhe ndaj tij nuk është paraqitur ndonjë ankim. Afati i ankimit llogaritet nga data e njoftimit të vendimit; ose</w:t>
      </w:r>
    </w:p>
    <w:p w14:paraId="64BE6E95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b) Të ketë përfunduar shqyrtimi i ankimit nga struktura e posaçme për ankimet në Drejtorinë e Përgjithshme të ASHK-së dhe vendimi të jetë lënë në fuqi apo të jetë vendosur mospranimi i ankimit; ose</w:t>
      </w:r>
    </w:p>
    <w:p w14:paraId="78A546A8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c) Kur struktura e posaçme për ankimet vendos për ndryshimin e përmbajtjes së vendimit të drejtorisë vendore ose shfuqizimin apo anulimin e pjesshëm</w:t>
      </w:r>
      <w:r w:rsidR="005B6ABF">
        <w:rPr>
          <w:rFonts w:ascii="Garamond" w:hAnsi="Garamond" w:cs="Times New Roman"/>
          <w:color w:val="000000"/>
          <w:sz w:val="24"/>
          <w:szCs w:val="24"/>
        </w:rPr>
        <w:t>,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ose të plotë të tij, regjistrimi kryhet pasi drejtoria vendore të ketë miratuar vendimin e ri për dokumentin e pronësisë, në bazë të aktit të strukturës së posaçme.</w:t>
      </w:r>
    </w:p>
    <w:p w14:paraId="779496E2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10. Regjistrimi kryhet nga drejtoria vendore e ASHK-së, pa u kushtëzuar nga kërkesa për shërbim kadastral dhe nga parapagimi i tarifave kadastrale. Pas kryerjes së shërbimit të regjistrimit ajo njofton subjektin përfitues për të shlyer tarifat përkatëse. Deri në shlyerjen e vlerës së plotë të tarifës së shërbimit, mbi pasurinë e regjistruar rëndon hipoteka ligjore.</w:t>
      </w:r>
    </w:p>
    <w:p w14:paraId="1A6D660C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11. Pasuritë për të cilat është miratuar akti i kalimit të pronësisë, sipas përcaktimeve të këtij vendimi, publikohen çdo muaj</w:t>
      </w:r>
      <w:r w:rsidRPr="005B6AB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në faqen zyrtare të internetit të ASHK-së. Drejtoria vendore e ASHK-së harton njoftimin publik, i cili duhet të përmbajë gjenealitetet e subjektit përfitues (emër, atësi, mbiemër), të dhënat e pasurisë (numër pasurie trualli dhe ndërtesë, zonë kadastrale) dhe adresën e pasurisë, në përputhje me përcaktimet e ligjit nr.</w:t>
      </w:r>
      <w:r w:rsidR="005B6A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124/2024, “Për mbrojtjen e të dhënave personale”.</w:t>
      </w:r>
    </w:p>
    <w:p w14:paraId="71F09D45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12. Nuk janë objekt trajtimi i këtij vendimi rastet që lidhen me privatizimin e objekteve të ish-ndërmarrjeve bujqësore, për të cilat ka filluar procesi i privatizimit nga ish-Agjencia Qendrore e Ristrukturimit dhe Privatizimit të ndërmarrjeve bujqësore, sipas parashikimeve të bëra në ligjin nr.</w:t>
      </w:r>
      <w:r w:rsidR="005B6A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18/2023, “Për përfundimin e procesit të privatizimit të objekteve të ish-ndërmarrjeve bujqësore”, dhe aktet nënligjore të dala në zbatim të tij.</w:t>
      </w:r>
    </w:p>
    <w:p w14:paraId="36CE41C6" w14:textId="6B036D58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8C577F">
        <w:rPr>
          <w:rFonts w:ascii="Garamond" w:hAnsi="Garamond"/>
          <w:color w:val="000000"/>
          <w:sz w:val="24"/>
        </w:rPr>
        <w:t xml:space="preserve">III. KALIMI I PRONËSISË PËR TROJET E </w:t>
      </w:r>
      <w:r w:rsidRPr="008C577F">
        <w:rPr>
          <w:rFonts w:ascii="Garamond" w:hAnsi="Garamond" w:cs="Times New Roman"/>
          <w:bCs/>
          <w:color w:val="000000"/>
          <w:sz w:val="24"/>
          <w:szCs w:val="24"/>
        </w:rPr>
        <w:t>PAPRIVATIZU</w:t>
      </w:r>
      <w:r w:rsidR="005B6ABF" w:rsidRPr="008C577F">
        <w:rPr>
          <w:rFonts w:ascii="Garamond" w:hAnsi="Garamond" w:cs="Times New Roman"/>
          <w:bCs/>
          <w:color w:val="000000"/>
          <w:sz w:val="24"/>
          <w:szCs w:val="24"/>
        </w:rPr>
        <w:t>A</w:t>
      </w:r>
      <w:r w:rsidRPr="008C577F">
        <w:rPr>
          <w:rFonts w:ascii="Garamond" w:hAnsi="Garamond" w:cs="Times New Roman"/>
          <w:bCs/>
          <w:color w:val="000000"/>
          <w:sz w:val="24"/>
          <w:szCs w:val="24"/>
        </w:rPr>
        <w:t>RA</w:t>
      </w:r>
      <w:r w:rsidRPr="008C577F">
        <w:rPr>
          <w:rFonts w:ascii="Garamond" w:hAnsi="Garamond"/>
          <w:color w:val="000000"/>
          <w:sz w:val="24"/>
        </w:rPr>
        <w:t xml:space="preserve"> TË</w:t>
      </w:r>
      <w:r w:rsidR="004A663B" w:rsidRPr="008C577F">
        <w:rPr>
          <w:rFonts w:ascii="Garamond" w:hAnsi="Garamond"/>
          <w:color w:val="000000"/>
          <w:sz w:val="24"/>
        </w:rPr>
        <w:t xml:space="preserve"> </w:t>
      </w:r>
      <w:r w:rsidRPr="008C577F">
        <w:rPr>
          <w:rFonts w:ascii="Garamond" w:hAnsi="Garamond"/>
          <w:color w:val="000000"/>
          <w:sz w:val="24"/>
        </w:rPr>
        <w:t xml:space="preserve">NDËRTESAVE TË NGRITURA NË BAZË TË LEJEVE TË NDËRTIMIT TË LËSHUARA NGA ORGANET E VETËQEVERISJES VENDORE, PAS DATËS 10.8.1991 E NË VAZHDIM, KUR MUNGON DOKUMENTACIONI I DHËNIES SË TOKËS PËR NDËRTIM </w:t>
      </w:r>
    </w:p>
    <w:p w14:paraId="21BE1D60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1. Subjektet, që paraqesin kërkesë sipas këtij kreu, për kalimin e pronësisë për trojet e ndërtesave të ngritura në bazë të lejes së ndërtimit, të lëshuar pas datës 10.8.1991 e në vazhdim, e shoqërojnë kërkesën me dokumentacionin, si më poshtë vijon:</w:t>
      </w:r>
    </w:p>
    <w:p w14:paraId="1579BA8D" w14:textId="7D86B72F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a) Lejen e ndërtimit dhe genplanin përkatës, kur pronësia mbi ndërtesën nuk është regjistruar në regjistrin kadastral dhe deklaratën noteriale të mostjetërsimit të ndërtesës te</w:t>
      </w:r>
      <w:r w:rsidR="005B6ABF">
        <w:rPr>
          <w:rFonts w:ascii="Garamond" w:hAnsi="Garamond" w:cs="Times New Roman"/>
          <w:color w:val="000000"/>
          <w:sz w:val="24"/>
          <w:szCs w:val="24"/>
        </w:rPr>
        <w:t>k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të tretët. Në këtë rast, ASHK-ja shqyrton dokumentacionin e depozituar pranë saj, me qëllim vërtetimin e pronësisë së ndërtesës; ose</w:t>
      </w:r>
    </w:p>
    <w:p w14:paraId="79F6826B" w14:textId="342E8DC5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b) Kontratën e kalimit të pronësisë për ndërtesën, në rastin kur ajo ka kaluar te</w:t>
      </w:r>
      <w:r w:rsidR="005B6ABF">
        <w:rPr>
          <w:rFonts w:ascii="Garamond" w:hAnsi="Garamond" w:cs="Times New Roman"/>
          <w:color w:val="000000"/>
          <w:sz w:val="24"/>
          <w:szCs w:val="24"/>
        </w:rPr>
        <w:t>k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të tretët; ose</w:t>
      </w:r>
    </w:p>
    <w:p w14:paraId="00F642DA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c) Vërtetimin ose certifikatën e pronësisë për ndërtesën kur është e regjistruar; dhe</w:t>
      </w:r>
    </w:p>
    <w:p w14:paraId="026F61F7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ç) Vërtetimin e lëshuar nga organet e vetëqeverisjes vendore, që vërteton se subjekti ka paguar rregullisht qiranë e truallit në përdorim nga përfundimi i procedurës së lejes së ndërtimit deri në datën 7.6.2010, si dhe nga drejtoria rajonale e tatimeve për pagesën e taksës së truallit në përdorim, nga data 7.6.2010 deri në datën e paraqitjes së kërkesës për kalimin në pronësi të truallit shtetëror në përdorim.</w:t>
      </w:r>
    </w:p>
    <w:p w14:paraId="060E0020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sz w:val="24"/>
          <w:szCs w:val="24"/>
        </w:rPr>
        <w:t>2. Brenda 60 (gjashtëdhjetë) d</w:t>
      </w:r>
      <w:r w:rsidR="005B6ABF">
        <w:rPr>
          <w:rFonts w:ascii="Garamond" w:hAnsi="Garamond" w:cs="Times New Roman"/>
          <w:sz w:val="24"/>
          <w:szCs w:val="24"/>
        </w:rPr>
        <w:t xml:space="preserve">itëve nga depozitimi i kërkesës, </w:t>
      </w:r>
      <w:r w:rsidRPr="005B6ABF">
        <w:rPr>
          <w:rFonts w:ascii="Garamond" w:hAnsi="Garamond" w:cs="Times New Roman"/>
          <w:sz w:val="24"/>
          <w:szCs w:val="24"/>
        </w:rPr>
        <w:t>sipas pikës 1, të këtij kreu, ASHK-ja kryen procedurat administrative, si më poshtë vijon:</w:t>
      </w:r>
    </w:p>
    <w:p w14:paraId="62277DDC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sz w:val="24"/>
          <w:szCs w:val="24"/>
        </w:rPr>
        <w:t>a) Verifikon nëse për ndërtesën ka leje ndërtimi, të miratuar nga organet e vetëqeverisjes vendore, në periudhën kohore pas datës 10.08.1991 e në vazhdim;</w:t>
      </w:r>
    </w:p>
    <w:p w14:paraId="20145542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sz w:val="24"/>
          <w:szCs w:val="24"/>
        </w:rPr>
        <w:lastRenderedPageBreak/>
        <w:t>b) Verifikon nëse ka d</w:t>
      </w:r>
      <w:r w:rsidRPr="005B6ABF">
        <w:rPr>
          <w:rFonts w:ascii="Garamond" w:hAnsi="Garamond" w:cs="Times New Roman"/>
          <w:color w:val="000000"/>
          <w:sz w:val="24"/>
          <w:szCs w:val="24"/>
        </w:rPr>
        <w:t>okumentacion administrativ për dhënien e truallit për ndërtim nga organet e vetëqeverisjes vendore, ku këto të fundit lëshojnë vërtetim për këtë fakt;</w:t>
      </w:r>
    </w:p>
    <w:p w14:paraId="47179AC5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c) Evidenton nëse trualli është në posedim të kërkuesit, fakt i cili provohet nga evidentimi në terren;</w:t>
      </w:r>
    </w:p>
    <w:p w14:paraId="6F995094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ç) Verifikon nëse trualli është ende në pronësi shtetërore dhe nuk ka kaluar në pronësi të të tretëve, si dhe nuk përbën tokë publike të patjetërsueshme, në kuptim të ligjit nr.</w:t>
      </w:r>
      <w:r w:rsidR="005B6A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8743, datë 22.</w:t>
      </w:r>
      <w:r w:rsidRPr="005B6ABF">
        <w:rPr>
          <w:rFonts w:ascii="Garamond" w:hAnsi="Garamond" w:cs="Times New Roman"/>
          <w:sz w:val="24"/>
          <w:szCs w:val="24"/>
        </w:rPr>
        <w:t>1.2001, “Për pronat e paluajtshme të shtetit”, të ndryshuar;</w:t>
      </w:r>
    </w:p>
    <w:p w14:paraId="67B535E0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d) Verifikon nëse janë paguar nga subjekti detyrimet lidhur me pagesën e qirasë së truallit, nga përfundimi i procedurës së lejes së ndërtimit deri në datën 7.6.2010, si dhe pagesën e taksës së truallit në përdorim për periudhën, nga data 7.6.2010 deri në datën e paraqitjes së kërkesës për kalimin në pronësi të truallit shtetëror në përdorim.</w:t>
      </w:r>
    </w:p>
    <w:p w14:paraId="2DE0B2CF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sz w:val="24"/>
          <w:szCs w:val="24"/>
        </w:rPr>
        <w:t>3. ASHK-ja përcakton sipërfaqen e truallit të ndërtesës së privatizuar që kalon në pronësi, duke u bazuar në:</w:t>
      </w:r>
    </w:p>
    <w:p w14:paraId="20388046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B6ABF">
        <w:rPr>
          <w:rFonts w:ascii="Garamond" w:hAnsi="Garamond" w:cs="Times New Roman"/>
          <w:sz w:val="24"/>
          <w:szCs w:val="24"/>
        </w:rPr>
        <w:t>a) genplanin dhe dokumentacionin e praktikës së lejes së ndërtimit të regjistruar në regjistrin kadastral ose në dokumentacionin e dorëzuar nga subjekti për regjistrimin e ndërtesës, në të cilën janë përcaktuar objekti dhe sheshi i ndërtimit;</w:t>
      </w:r>
    </w:p>
    <w:p w14:paraId="329DC570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b) dokumentacionin hartografik ndihmës nga Arkivi Qendror Teknik i Ndërtimit apo Arkivi Qendror Shtetëror; ose</w:t>
      </w:r>
    </w:p>
    <w:p w14:paraId="69AC2284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c) aktin e evidentimit në terren, ku evidentohet sipërfaqja e truallit nën objekt, kur mungon dokumentacioni</w:t>
      </w:r>
      <w:r w:rsidR="005B6ABF">
        <w:rPr>
          <w:rFonts w:ascii="Garamond" w:hAnsi="Garamond" w:cs="Times New Roman"/>
          <w:color w:val="000000"/>
          <w:sz w:val="24"/>
          <w:szCs w:val="24"/>
        </w:rPr>
        <w:t>,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sipas shkronjave “a” dhe “b”, të kësaj pike.</w:t>
      </w:r>
    </w:p>
    <w:p w14:paraId="0BB51113" w14:textId="4CFBA28E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B6ABF">
        <w:rPr>
          <w:rFonts w:ascii="Garamond" w:hAnsi="Garamond" w:cs="Times New Roman"/>
          <w:sz w:val="24"/>
          <w:szCs w:val="24"/>
        </w:rPr>
        <w:t xml:space="preserve">4. Sipërfaqja e truallit të objektit </w:t>
      </w:r>
      <w:r w:rsidR="005B6ABF">
        <w:rPr>
          <w:rFonts w:ascii="Garamond" w:hAnsi="Garamond" w:cs="Times New Roman"/>
          <w:sz w:val="24"/>
          <w:szCs w:val="24"/>
        </w:rPr>
        <w:t>t</w:t>
      </w:r>
      <w:r w:rsidRPr="005B6ABF">
        <w:rPr>
          <w:rFonts w:ascii="Garamond" w:hAnsi="Garamond" w:cs="Times New Roman"/>
          <w:sz w:val="24"/>
          <w:szCs w:val="24"/>
        </w:rPr>
        <w:t>ë ngritur në bazë të lejes së ndërtimit, që kalon në pronësi, është e njëjtë me sipërfaqen e përcaktuar në genplanin shoqërues të lejes së ndërtimit ose dokumentacionin ligjor të saj. Në rastin e parashikimeve të shkronjës “c”, të pikës 3, të këtij kreu, sipërfaqja e truallit, për të cilën miratohet kalimi i pronësisë, do të jetë sipërfaqja</w:t>
      </w:r>
      <w:r w:rsidR="005B6ABF">
        <w:rPr>
          <w:rFonts w:ascii="Garamond" w:hAnsi="Garamond" w:cs="Times New Roman"/>
          <w:sz w:val="24"/>
          <w:szCs w:val="24"/>
        </w:rPr>
        <w:t xml:space="preserve"> nën objekt.</w:t>
      </w:r>
    </w:p>
    <w:p w14:paraId="3C5CC7B1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5. Kur ndërtesa ka funksion banimi sipas lejes së ndërtimit, si dhe nga evidentimi në terren konstatohet se përdoret për banim, kalimi i pronësisë mbi truallin, për sipërfaqen e konfiguruar sipas dokumentacionit të lejes së ndërtimit (ku bën pjesë edhe trualli nën ndërtesë), kryhet pa pagesë.</w:t>
      </w:r>
    </w:p>
    <w:p w14:paraId="4E659735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6. Kur ndërtesa e ngritur në bazë të lejes së ndërtimit, lëshuar pas datës 10.8.1991 e në vazhdim, ka funksion social-ekonomik, vlera e truallit për të cilin miratohet kalimi i pronësisë llogaritet në bazë të çmimit të përcaktuar në hartën e vlerës së tokës, miratuar me vendim të Këshillit të Ministrave. Për ndërtimet me funksion të përzier, kalimi i pronësisë për sipërfaqen e truallit do të bëhet me pagesë vetëm për pjesën që shfrytëzohet për veprimtari social-ekonomike, duke mbajtur parasysh raportin që zë kjo sipërfaqe në raport me sipërfaqen e përdorur për banim.</w:t>
      </w:r>
    </w:p>
    <w:p w14:paraId="2A66B827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Drejtoria vendore e ASHK-së llogarit detyrimin financiar dhe ia njofton atë subjektit, brenda 10 (dhjetë) ditëve nga akti i evidentimit në terren. Pagesa e vlerës së truallit duhet të shlyhet nga subjekti brenda 60 (gjashtëdhjetë) ditëve nga data e marrjes së njoftimit.</w:t>
      </w:r>
    </w:p>
    <w:p w14:paraId="41B37939" w14:textId="6C98114D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7. Rregullat e parashikuara në pikat 8</w:t>
      </w:r>
      <w:r w:rsidR="005B6ABF">
        <w:rPr>
          <w:rFonts w:ascii="Garamond" w:hAnsi="Garamond" w:cs="Times New Roman"/>
          <w:color w:val="000000"/>
          <w:sz w:val="24"/>
          <w:szCs w:val="24"/>
        </w:rPr>
        <w:t>–</w:t>
      </w:r>
      <w:r w:rsidRPr="005B6ABF">
        <w:rPr>
          <w:rFonts w:ascii="Garamond" w:hAnsi="Garamond" w:cs="Times New Roman"/>
          <w:color w:val="000000"/>
          <w:sz w:val="24"/>
          <w:szCs w:val="24"/>
        </w:rPr>
        <w:t>11, të kreut II, të këtij vendimi, që lidhen me afatet e miratimit, njoftimit, regjistrimit dhe publikimit të vendimit të kalimit të pronësisë mbi truallin, zbatohen edhe për ndërtesën e ngritur në bazë të lejes së ndërtimit, lëshuar pas datës 10.8.1991 e në vazhdim.</w:t>
      </w:r>
    </w:p>
    <w:p w14:paraId="1D3E5D5F" w14:textId="77777777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C577F">
        <w:rPr>
          <w:rFonts w:ascii="Garamond" w:hAnsi="Garamond"/>
          <w:color w:val="000000"/>
          <w:sz w:val="24"/>
        </w:rPr>
        <w:t>IV. KALIMI I PRONËSISË SË TRUALLIT SHTETËROR NË PËRDORIM KUR PRONARI I NDËRTESËS SË PRIVATIZUAR/ME LEJE NDËRTIMI KA KRYER EDHE NDËRTIM PA LEJE OSE KUR TRUALLI SHTETËROR ËSHTË TRANSFERUAR TEK INSTITUCIONET QENDRORE DHE NJËSITË E VETËQEVERISJES VENDORE</w:t>
      </w:r>
    </w:p>
    <w:p w14:paraId="7C90BAEF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1. Nëse ASHK-ja gjatë evidentimit në terren verifikon se poseduesi i truallit në përdorim ka kryer ndërtime pa leje mbi të njëjtin truall, të lidhura me ndërtesën e privatizuar/me leje ndërtimi, kalimi i pronësisë së truallit do t’i nënshtrohet përcaktimeve të pikës 1, të nenit 63, të ligjit, dhe parashikimeve të këtij vendimi.</w:t>
      </w:r>
    </w:p>
    <w:p w14:paraId="57605038" w14:textId="5972B2FF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sz w:val="24"/>
          <w:szCs w:val="24"/>
        </w:rPr>
        <w:lastRenderedPageBreak/>
        <w:t>2. Kur nga evidentimi në terren, sipas shkronjës “c”, të pikës 4, të kreut II, të këtij vendimi, konstatohet se ka ndryshim të sipërfaqeve në raport me dokumentacionin e privatizimit, në masën minus/plus 5 për qind, por në asnjë rast, jo më shumë se 50 (pesëdhjet</w:t>
      </w:r>
      <w:r w:rsidR="008C577F">
        <w:rPr>
          <w:rFonts w:ascii="Garamond" w:hAnsi="Garamond" w:cs="Times New Roman"/>
          <w:sz w:val="24"/>
          <w:szCs w:val="24"/>
        </w:rPr>
        <w:t>ë) m</w:t>
      </w:r>
      <w:r w:rsidR="008C577F" w:rsidRPr="008C577F">
        <w:rPr>
          <w:rFonts w:ascii="Garamond" w:hAnsi="Garamond" w:cs="Times New Roman"/>
          <w:sz w:val="24"/>
          <w:szCs w:val="24"/>
          <w:vertAlign w:val="superscript"/>
        </w:rPr>
        <w:t>2</w:t>
      </w:r>
      <w:r w:rsidRPr="005B6ABF">
        <w:rPr>
          <w:rFonts w:ascii="Garamond" w:hAnsi="Garamond" w:cs="Times New Roman"/>
          <w:sz w:val="24"/>
          <w:szCs w:val="24"/>
        </w:rPr>
        <w:t xml:space="preserve">, ky ndryshim do të konsiderohet si normë gabimi në matje. </w:t>
      </w:r>
      <w:r w:rsidRPr="005B6ABF">
        <w:rPr>
          <w:rFonts w:ascii="Garamond" w:hAnsi="Garamond" w:cs="Times New Roman"/>
          <w:color w:val="000000"/>
          <w:sz w:val="24"/>
          <w:szCs w:val="24"/>
        </w:rPr>
        <w:t>Ky ndryshim i konstatuar nga evidentimi në terren do të mbahet parasysh gjatë procesit të kalimit të sipërfaqes së truallit shtetëror në përdorim.</w:t>
      </w:r>
    </w:p>
    <w:p w14:paraId="24F255AD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3. Nëse trualli për të cilin kërkohet kalimi i pronësisë, me përjashtim të pronës publike të patjetërsueshme, gjendet në pasuri të transferuara në përgjegjësi administrimi tek institucionet e qeverisjes qendrore,</w:t>
      </w:r>
      <w:r w:rsidRPr="005B6ABF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>sipas legjislacionit në fuqi për transferimin e pronave të paluajtshme publike të shtetit, apo në përdorim te njësitë e vetëqeverisjes vendore, sipas legjislacionit në fuqi për transferimin e pronave të paluajtshme të shtetit te njësitë e qeverisjes vendore, me miratimin e kalimit të pronësisë, sipas këtij vendimi, shuhet edhe përgjegjësia e administrimit apo e përdorimit, sipas rastit. ASHK-ja regjistron vendimin në regjistrat kadastralë dhe për këto sipërfaqe njofton organet shtetërore përkatëse për shuarjen e përgjegjësisë së administrimit, duke i bashkëlidhur njoftimit dokumentacionin, si më poshtë vijon:</w:t>
      </w:r>
    </w:p>
    <w:p w14:paraId="7FCDA5CF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a) Kopje të vendimit të kalimit të pronësisë së truallit në përdorim në emër të subjektit;</w:t>
      </w:r>
    </w:p>
    <w:p w14:paraId="0F5EFFD9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b) Hartën kadastrale të pronës për të cilën shuhet përgjegjësia e organit shtetëror qendror/njësisë së vetëqeverisjes vendore.</w:t>
      </w:r>
    </w:p>
    <w:p w14:paraId="4A89CEDF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Organet e qeverisjes qendrore/njësitë e vetëqeverisjes vendore kanë të drejtë t’i kërkojnë Këshillit të Ministrave zëvendësimin e këtyre pasurive me pasuri të tjera shtetërore, të lira.</w:t>
      </w:r>
    </w:p>
    <w:p w14:paraId="23D20CD7" w14:textId="4D6C36AE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sz w:val="24"/>
          <w:szCs w:val="24"/>
        </w:rPr>
        <w:t xml:space="preserve">4. Nëse trualli për të cilin kërkohet kalimi i pronësisë, me përjashtim të pronës publike të patjetërsueshme, figuron i regjistruar në regjistrat kadastralë </w:t>
      </w:r>
      <w:r w:rsidRPr="005B6ABF">
        <w:rPr>
          <w:rFonts w:ascii="Garamond" w:hAnsi="Garamond" w:cs="Times New Roman"/>
          <w:color w:val="000000"/>
          <w:sz w:val="24"/>
          <w:szCs w:val="24"/>
        </w:rPr>
        <w:t>në pronësi të njësive të vetëqeverisjes vendore, me miratimin e kalimit të pronësisë, ASHK-ja njofton këto institucione për vendimmarrjen për kalimin në pronësi të truallit shtetëror në përdorim dhe i kërkon përditësimin e listës së pronave shtetërore. Vetëm pas miratimit të vendimit të Këshillit të Ministrave, për heqjen nga inventari të kësaj pasurie, ASHK-ja vijon me regjistrimin e vendimit për kalimin në pronësi të truallit shtetëror në regjistrin k</w:t>
      </w:r>
      <w:r w:rsidR="004A663B">
        <w:rPr>
          <w:rFonts w:ascii="Garamond" w:hAnsi="Garamond" w:cs="Times New Roman"/>
          <w:color w:val="000000"/>
          <w:sz w:val="24"/>
          <w:szCs w:val="24"/>
        </w:rPr>
        <w:t>adastral në favor të subjektit.</w:t>
      </w:r>
    </w:p>
    <w:p w14:paraId="4C43670D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Njësitë e vetëqeverisjes vendore kanë të drejtë t’i kërkojnë Këshillit të Ministrave zëvendësimin e këtyre pasurive me pasuri të tjera shtetërore, të lira.</w:t>
      </w:r>
    </w:p>
    <w:p w14:paraId="50D53A7C" w14:textId="73F8DE53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577F">
        <w:rPr>
          <w:rFonts w:ascii="Garamond" w:hAnsi="Garamond"/>
          <w:color w:val="000000"/>
          <w:sz w:val="24"/>
        </w:rPr>
        <w:t xml:space="preserve">V. TRAJTIMI I RASTEVE </w:t>
      </w:r>
      <w:r w:rsidR="004A663B" w:rsidRPr="008C577F">
        <w:rPr>
          <w:rFonts w:ascii="Garamond" w:hAnsi="Garamond"/>
          <w:color w:val="000000"/>
          <w:sz w:val="24"/>
        </w:rPr>
        <w:t>P</w:t>
      </w:r>
      <w:r w:rsidR="008C577F">
        <w:rPr>
          <w:rFonts w:ascii="Garamond" w:hAnsi="Garamond"/>
          <w:color w:val="000000"/>
          <w:sz w:val="24"/>
        </w:rPr>
        <w:t>Ë</w:t>
      </w:r>
      <w:r w:rsidR="004A663B" w:rsidRPr="008C577F">
        <w:rPr>
          <w:rFonts w:ascii="Garamond" w:hAnsi="Garamond"/>
          <w:color w:val="000000"/>
          <w:sz w:val="24"/>
        </w:rPr>
        <w:t>RJASHTIMORE</w:t>
      </w:r>
      <w:r w:rsidRPr="008C577F">
        <w:rPr>
          <w:rFonts w:ascii="Garamond" w:hAnsi="Garamond"/>
          <w:color w:val="000000"/>
          <w:sz w:val="24"/>
        </w:rPr>
        <w:t>, SI PASOJË E ZBATIMIT TË VENDIMIT NR.</w:t>
      </w:r>
      <w:r w:rsidR="004A663B" w:rsidRPr="008C577F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8C577F">
        <w:rPr>
          <w:rFonts w:ascii="Garamond" w:hAnsi="Garamond"/>
          <w:color w:val="000000"/>
          <w:sz w:val="24"/>
        </w:rPr>
        <w:t>413, DATË 25.6.2014, TË KËSHILLIT TË MINISTRAVE</w:t>
      </w:r>
    </w:p>
    <w:p w14:paraId="1F317BF1" w14:textId="4B7A87AE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1. Në rastet kur ndërtesa e privatizuar/me leje ndërtimi është e regjistruar në regjistrin kadastral, por ASHK-ja nuk administron praktikën e regjistrimit apo mungojnë akte në përmbajtje të praktikës, atëherë do të kërkohet, sipas rastit, kopje e konfirmuar e praktikës apo e dokumentacionit që është në mungesë, pranë Drejtorisë së Përgjithshme të Arkivave, arkivit vendor, arkivit noterial apo institucionit publik, ku është depozituar dokumentacioni i ndërtesës së privatizuar/me leje ndërtimi. Nëse nga kërkimi rezulton se dosja mungon, ASHK-ja do të pranojë dokumentacionin origjinal që disponon subjekti i interesuar, e shoqëruar nga një deklaratë noteriale, nëpërmjet të cilës ai merr përsipër përgjegjësinë për origjinalitetin dhe vërtetësinë e dokumentacionit të dorëzuar për mostjetërsimin e pasurisë te</w:t>
      </w:r>
      <w:r w:rsidR="004A663B">
        <w:rPr>
          <w:rFonts w:ascii="Garamond" w:hAnsi="Garamond" w:cs="Times New Roman"/>
          <w:color w:val="000000"/>
          <w:sz w:val="24"/>
          <w:szCs w:val="24"/>
        </w:rPr>
        <w:t>k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të tretët, si dhe për faktin që titulli i pronësisë nuk është shpallur i pavlefshëm me një vendim gjyqësor të formës së prerë.</w:t>
      </w:r>
    </w:p>
    <w:p w14:paraId="486C9EAC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2. Në rastin kur nga dokumentacioni i administruar rezultojnë pagesa të kryera nga subjekti për blerjen e truallit të ndërtesës së privatizuar/me leje ndërtimi, pas konfirmimit të tyre ato merren të mirëqena, në funksion të përfundimit të procedurës administrative të kalimit në pronësi të truallit shtetëror në përdorim.</w:t>
      </w:r>
    </w:p>
    <w:p w14:paraId="0A100953" w14:textId="36B3E93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3. Kur ndërtesa e privatizuar figuron e regjistruar në regjistrat kadastralë dhe e tjetërsuar te</w:t>
      </w:r>
      <w:r w:rsidR="004A663B">
        <w:rPr>
          <w:rFonts w:ascii="Garamond" w:hAnsi="Garamond" w:cs="Times New Roman"/>
          <w:color w:val="000000"/>
          <w:sz w:val="24"/>
          <w:szCs w:val="24"/>
        </w:rPr>
        <w:t>k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të tretët, por akti i origjinës së fitimit të pronësisë (akti i privatizimit) nuk është në formën e kërkuar nga ligji (jo përpara noterit), ASHK-ja vijon procedurat për kalimin e pronësisë së truallit shtetëror, për subjektin që ka pronësinë mbi ndërtesën.</w:t>
      </w:r>
    </w:p>
    <w:p w14:paraId="24426AA7" w14:textId="2F8101BB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lastRenderedPageBreak/>
        <w:t>4. Kur gjatë kryerjes së procedurave administrative, ASHK-ja konstaton se pronësia mbi ndërtesën e privatizuar/ndërtesën me leje ndërtimi është transferuar te</w:t>
      </w:r>
      <w:r w:rsidR="004A663B">
        <w:rPr>
          <w:rFonts w:ascii="Garamond" w:hAnsi="Garamond" w:cs="Times New Roman"/>
          <w:color w:val="000000"/>
          <w:sz w:val="24"/>
          <w:szCs w:val="24"/>
        </w:rPr>
        <w:t>k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 të tretët, kalimi në pronësi i truallit do të realizohet</w:t>
      </w:r>
      <w:r w:rsidR="004A663B">
        <w:rPr>
          <w:rFonts w:ascii="Garamond" w:hAnsi="Garamond" w:cs="Times New Roman"/>
          <w:color w:val="000000"/>
          <w:sz w:val="24"/>
          <w:szCs w:val="24"/>
        </w:rPr>
        <w:t xml:space="preserve"> në favor të këtyre të fundit.</w:t>
      </w:r>
    </w:p>
    <w:p w14:paraId="230256AC" w14:textId="032C33B6" w:rsidR="00586BE9" w:rsidRPr="008C577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577F">
        <w:rPr>
          <w:rFonts w:ascii="Garamond" w:hAnsi="Garamond"/>
          <w:sz w:val="24"/>
        </w:rPr>
        <w:t>VI.</w:t>
      </w:r>
      <w:r w:rsidR="004A663B" w:rsidRPr="008C577F">
        <w:rPr>
          <w:rFonts w:ascii="Garamond" w:hAnsi="Garamond"/>
          <w:sz w:val="24"/>
        </w:rPr>
        <w:t xml:space="preserve"> </w:t>
      </w:r>
      <w:r w:rsidRPr="008C577F">
        <w:rPr>
          <w:rFonts w:ascii="Garamond" w:hAnsi="Garamond"/>
          <w:sz w:val="24"/>
        </w:rPr>
        <w:t>DISPOZITA KALIMTARE DHE TË FUNDIT</w:t>
      </w:r>
    </w:p>
    <w:p w14:paraId="2BC3BB55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1. Kërkesat e paraqitura përpara hyrjes në fuqi të këtij vendimi, për të cilat struktura e shitjes së pronës publike në ministrinë përgjegjëse, nuk ka përfunduar procedurën administrative të kalimit të pronësisë së truallit, do t’i nënshtrohen përcaktimeve të këtij vendimi.</w:t>
      </w:r>
    </w:p>
    <w:p w14:paraId="0EF68439" w14:textId="51C87940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2. Vendimi nr.</w:t>
      </w:r>
      <w:r w:rsidR="004A663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6ABF">
        <w:rPr>
          <w:rFonts w:ascii="Garamond" w:hAnsi="Garamond" w:cs="Times New Roman"/>
          <w:color w:val="000000"/>
          <w:sz w:val="24"/>
          <w:szCs w:val="24"/>
        </w:rPr>
        <w:t xml:space="preserve">413, datë 25.6.2014, i Këshillit të Ministrave, “Për përcaktimin e kritereve e të procedurave të shitjes së trojeve në përdorim, sipërfaqes </w:t>
      </w:r>
      <w:r w:rsidR="004A663B">
        <w:rPr>
          <w:rFonts w:ascii="Garamond" w:hAnsi="Garamond" w:cs="Times New Roman"/>
          <w:color w:val="000000"/>
          <w:sz w:val="24"/>
          <w:szCs w:val="24"/>
        </w:rPr>
        <w:t>s</w:t>
      </w:r>
      <w:r w:rsidRPr="005B6ABF">
        <w:rPr>
          <w:rFonts w:ascii="Garamond" w:hAnsi="Garamond" w:cs="Times New Roman"/>
          <w:color w:val="000000"/>
          <w:sz w:val="24"/>
          <w:szCs w:val="24"/>
        </w:rPr>
        <w:t>ë domosdoshme, dhe trojeve shtesë funksionale të ndërmarrjeve shoqërive tregtare, të objekteve shtetërore të veçuara, të privatizuara, të objekteve apo ndërtesave të shitura të ish-kooperativave bujqësore, si dhe të ndërtesave të ndërtuara në bazë të lejeve të ndërtimit”, i ndryshuar, shfuqizohet, me përjashtim të rregullave që lidhen me privatizimin e truallit shtetëror në përdorim për personat juridikë, shoqëri tregtare.</w:t>
      </w:r>
    </w:p>
    <w:p w14:paraId="223B381B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3. Ngarkohen Agjencia Shtetërore e Kadastrës dhe struktura përgjegjëse për shitjen e pronës publike pranë ministrisë përgjegjëse për administrimin e pronës shtetërore për zbatimin e këtij vendimi.</w:t>
      </w:r>
    </w:p>
    <w:p w14:paraId="54E41C87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B6ABF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4E275423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5D3AE89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mallCaps/>
          <w:color w:val="000000"/>
          <w:sz w:val="24"/>
          <w:szCs w:val="28"/>
        </w:rPr>
      </w:pPr>
      <w:r w:rsidRPr="005B6ABF">
        <w:rPr>
          <w:rFonts w:ascii="Garamond" w:hAnsi="Garamond"/>
          <w:bCs/>
          <w:smallCaps/>
          <w:color w:val="000000"/>
          <w:sz w:val="24"/>
          <w:szCs w:val="28"/>
        </w:rPr>
        <w:t>KRYEMINISTËR</w:t>
      </w:r>
    </w:p>
    <w:p w14:paraId="34DBA638" w14:textId="77777777" w:rsidR="00586BE9" w:rsidRPr="005B6ABF" w:rsidRDefault="00586BE9" w:rsidP="00586B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B6ABF">
        <w:rPr>
          <w:rFonts w:ascii="Garamond" w:hAnsi="Garamond"/>
          <w:b/>
          <w:sz w:val="24"/>
        </w:rPr>
        <w:t>Edi Rama</w:t>
      </w:r>
    </w:p>
    <w:p w14:paraId="6984941F" w14:textId="77777777" w:rsidR="00586BE9" w:rsidRPr="005B6ABF" w:rsidRDefault="00586BE9" w:rsidP="00586B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8"/>
          <w:szCs w:val="24"/>
        </w:rPr>
      </w:pPr>
    </w:p>
    <w:p w14:paraId="1E336B0A" w14:textId="77777777" w:rsidR="007B1A5B" w:rsidRPr="005B6ABF" w:rsidRDefault="007B1A5B" w:rsidP="007B1A5B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8"/>
          <w:szCs w:val="24"/>
        </w:rPr>
      </w:pPr>
      <w:r w:rsidRPr="008C577F">
        <w:rPr>
          <w:rFonts w:ascii="Garamond" w:hAnsi="Garamond"/>
          <w:noProof/>
          <w:color w:val="000000"/>
          <w:sz w:val="28"/>
        </w:rPr>
        <w:lastRenderedPageBreak/>
        <w:drawing>
          <wp:inline distT="0" distB="0" distL="0" distR="0" wp14:anchorId="6AAD7935" wp14:editId="1C0FC81D">
            <wp:extent cx="5972175" cy="78676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2" b="3476"/>
                    <a:stretch/>
                  </pic:blipFill>
                  <pic:spPr bwMode="auto">
                    <a:xfrm>
                      <a:off x="0" y="0"/>
                      <a:ext cx="597217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9E2930" w14:textId="77777777" w:rsidR="00F108E4" w:rsidRPr="005B6ABF" w:rsidRDefault="007B1A5B" w:rsidP="007B1A5B">
      <w:pPr>
        <w:spacing w:after="0" w:line="240" w:lineRule="auto"/>
        <w:rPr>
          <w:rFonts w:ascii="Garamond" w:hAnsi="Garamond"/>
          <w:sz w:val="28"/>
          <w:szCs w:val="24"/>
        </w:rPr>
      </w:pPr>
      <w:r w:rsidRPr="008C577F">
        <w:rPr>
          <w:rFonts w:ascii="Garamond" w:hAnsi="Garamond"/>
          <w:noProof/>
          <w:sz w:val="28"/>
        </w:rPr>
        <w:lastRenderedPageBreak/>
        <w:drawing>
          <wp:inline distT="0" distB="0" distL="0" distR="0" wp14:anchorId="247CBC8E" wp14:editId="605A5A04">
            <wp:extent cx="5962650" cy="80999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3" t="3594" r="4569"/>
                    <a:stretch/>
                  </pic:blipFill>
                  <pic:spPr bwMode="auto">
                    <a:xfrm>
                      <a:off x="0" y="0"/>
                      <a:ext cx="5968714" cy="8108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EE604" w14:textId="77777777" w:rsidR="007B1A5B" w:rsidRPr="005B6ABF" w:rsidRDefault="007B1A5B" w:rsidP="007B1A5B">
      <w:pPr>
        <w:spacing w:after="0" w:line="240" w:lineRule="auto"/>
        <w:rPr>
          <w:rFonts w:ascii="Garamond" w:hAnsi="Garamond"/>
          <w:sz w:val="28"/>
          <w:szCs w:val="24"/>
        </w:rPr>
      </w:pPr>
      <w:r w:rsidRPr="008C577F">
        <w:rPr>
          <w:rFonts w:ascii="Garamond" w:hAnsi="Garamond"/>
          <w:noProof/>
          <w:sz w:val="28"/>
        </w:rPr>
        <w:lastRenderedPageBreak/>
        <w:drawing>
          <wp:inline distT="0" distB="0" distL="0" distR="0" wp14:anchorId="053C41C5" wp14:editId="73B3CEC5">
            <wp:extent cx="6029325" cy="7810057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3" cy="7810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AD72E" w14:textId="77777777" w:rsidR="007B1A5B" w:rsidRPr="005B6ABF" w:rsidRDefault="007B1A5B" w:rsidP="007B1A5B">
      <w:pPr>
        <w:spacing w:after="0" w:line="240" w:lineRule="auto"/>
        <w:rPr>
          <w:rFonts w:ascii="Garamond" w:hAnsi="Garamond"/>
          <w:sz w:val="28"/>
          <w:szCs w:val="24"/>
        </w:rPr>
      </w:pPr>
    </w:p>
    <w:p w14:paraId="154DF49A" w14:textId="433699A9" w:rsidR="007B1A5B" w:rsidRPr="005B6ABF" w:rsidRDefault="00C81DE9" w:rsidP="007B1A5B">
      <w:pPr>
        <w:spacing w:after="0" w:line="240" w:lineRule="auto"/>
        <w:rPr>
          <w:rFonts w:ascii="Garamond" w:hAnsi="Garamond"/>
          <w:sz w:val="28"/>
          <w:szCs w:val="24"/>
        </w:rPr>
      </w:pPr>
      <w:r>
        <w:rPr>
          <w:rFonts w:ascii="Garamond" w:hAnsi="Garamond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B1B460" wp14:editId="21460304">
                <wp:simplePos x="0" y="0"/>
                <wp:positionH relativeFrom="column">
                  <wp:posOffset>711018</wp:posOffset>
                </wp:positionH>
                <wp:positionV relativeFrom="paragraph">
                  <wp:posOffset>2795181</wp:posOffset>
                </wp:positionV>
                <wp:extent cx="5269750" cy="3142891"/>
                <wp:effectExtent l="1368107" t="384493" r="1394778" b="385127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48692" flipV="1">
                          <a:off x="0" y="0"/>
                          <a:ext cx="5269750" cy="31428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C41E4A" w14:textId="76CBE14D" w:rsidR="00C81DE9" w:rsidRPr="00C81DE9" w:rsidRDefault="00C81DE9" w:rsidP="00C81DE9">
                            <w:pPr>
                              <w:spacing w:after="0" w:line="240" w:lineRule="auto"/>
                              <w:jc w:val="center"/>
                              <w:rPr>
                                <w:color w:val="D9D9D9" w:themeColor="background1" w:themeShade="D9"/>
                                <w:sz w:val="260"/>
                              </w:rPr>
                            </w:pPr>
                            <w:r w:rsidRPr="00C81DE9">
                              <w:rPr>
                                <w:color w:val="D9D9D9" w:themeColor="background1" w:themeShade="D9"/>
                                <w:sz w:val="260"/>
                              </w:rPr>
                              <w:t>MODEL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1B460" id="Rectangle 1" o:spid="_x0000_s1026" style="position:absolute;margin-left:56pt;margin-top:220.1pt;width:414.95pt;height:247.45pt;rotation:-8682091fd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" fillcolor="white [3212]" strokecolor="white [3212]" strokeweight="1pt">
                <v:textbox>
                  <w:txbxContent>
                    <w:p w14:paraId="42C41E4A" w14:textId="76CBE14D" w:rsidR="00C81DE9" w:rsidRPr="00C81DE9" w:rsidRDefault="00C81DE9" w:rsidP="00C81DE9">
                      <w:pPr>
                        <w:spacing w:after="0" w:line="240" w:lineRule="auto"/>
                        <w:jc w:val="center"/>
                        <w:rPr>
                          <w:color w:val="D9D9D9" w:themeColor="background1" w:themeShade="D9"/>
                          <w:sz w:val="260"/>
                        </w:rPr>
                      </w:pPr>
                      <w:r w:rsidRPr="00C81DE9">
                        <w:rPr>
                          <w:color w:val="D9D9D9" w:themeColor="background1" w:themeShade="D9"/>
                          <w:sz w:val="260"/>
                        </w:rPr>
                        <w:t>MODEL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 w:rsidR="007B1A5B" w:rsidRPr="008C577F">
        <w:rPr>
          <w:rFonts w:ascii="Garamond" w:hAnsi="Garamond"/>
          <w:noProof/>
          <w:sz w:val="28"/>
        </w:rPr>
        <w:drawing>
          <wp:inline distT="0" distB="0" distL="0" distR="0" wp14:anchorId="47127E04" wp14:editId="43E34B7E">
            <wp:extent cx="6356839" cy="7877175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7"/>
                    <a:stretch/>
                  </pic:blipFill>
                  <pic:spPr bwMode="auto">
                    <a:xfrm>
                      <a:off x="0" y="0"/>
                      <a:ext cx="6360784" cy="788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B1A5B" w:rsidRPr="005B6ABF" w:rsidSect="004A663B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3E2AD" w14:textId="77777777" w:rsidR="00C81DE9" w:rsidRDefault="00C81DE9">
      <w:pPr>
        <w:spacing w:after="0" w:line="240" w:lineRule="auto"/>
      </w:pPr>
      <w:r>
        <w:separator/>
      </w:r>
    </w:p>
  </w:endnote>
  <w:endnote w:type="continuationSeparator" w:id="0">
    <w:p w14:paraId="7DC77B0D" w14:textId="77777777" w:rsidR="00C81DE9" w:rsidRDefault="00C81DE9">
      <w:pPr>
        <w:spacing w:after="0" w:line="240" w:lineRule="auto"/>
      </w:pPr>
      <w:r>
        <w:continuationSeparator/>
      </w:r>
    </w:p>
  </w:endnote>
  <w:endnote w:type="continuationNotice" w:id="1">
    <w:p w14:paraId="737778BC" w14:textId="77777777" w:rsidR="00C81DE9" w:rsidRDefault="00C81D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A00E9" w14:textId="77777777" w:rsidR="00C81DE9" w:rsidRDefault="00C81D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7B758" w14:textId="77777777" w:rsidR="00C81DE9" w:rsidRDefault="00C81DE9">
      <w:pPr>
        <w:spacing w:after="0" w:line="240" w:lineRule="auto"/>
      </w:pPr>
      <w:r>
        <w:separator/>
      </w:r>
    </w:p>
  </w:footnote>
  <w:footnote w:type="continuationSeparator" w:id="0">
    <w:p w14:paraId="6EC36EAD" w14:textId="77777777" w:rsidR="00C81DE9" w:rsidRDefault="00C81DE9">
      <w:pPr>
        <w:spacing w:after="0" w:line="240" w:lineRule="auto"/>
      </w:pPr>
      <w:r>
        <w:continuationSeparator/>
      </w:r>
    </w:p>
  </w:footnote>
  <w:footnote w:type="continuationNotice" w:id="1">
    <w:p w14:paraId="0E8FEEDA" w14:textId="77777777" w:rsidR="00C81DE9" w:rsidRDefault="00C81D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0958C" w14:textId="77777777" w:rsidR="00C81DE9" w:rsidRDefault="00C81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D06CE"/>
    <w:multiLevelType w:val="hybridMultilevel"/>
    <w:tmpl w:val="736A4E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902C2"/>
    <w:multiLevelType w:val="hybridMultilevel"/>
    <w:tmpl w:val="9FD8B39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537E1"/>
    <w:multiLevelType w:val="hybridMultilevel"/>
    <w:tmpl w:val="E18696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71B7A"/>
    <w:multiLevelType w:val="hybridMultilevel"/>
    <w:tmpl w:val="9C8E6E92"/>
    <w:lvl w:ilvl="0" w:tplc="5582F6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54240"/>
    <w:multiLevelType w:val="hybridMultilevel"/>
    <w:tmpl w:val="B00C68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15DBC"/>
    <w:multiLevelType w:val="hybridMultilevel"/>
    <w:tmpl w:val="E504863C"/>
    <w:lvl w:ilvl="0" w:tplc="69EE55F4">
      <w:start w:val="1"/>
      <w:numFmt w:val="decimal"/>
      <w:lvlText w:val="%1-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53249D6"/>
    <w:multiLevelType w:val="hybridMultilevel"/>
    <w:tmpl w:val="1D7690B2"/>
    <w:lvl w:ilvl="0" w:tplc="75BAE7C8">
      <w:start w:val="5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F362D"/>
    <w:multiLevelType w:val="hybridMultilevel"/>
    <w:tmpl w:val="2DB27DD6"/>
    <w:lvl w:ilvl="0" w:tplc="0409001B">
      <w:start w:val="1"/>
      <w:numFmt w:val="lowerRoman"/>
      <w:lvlText w:val="%1."/>
      <w:lvlJc w:val="right"/>
      <w:pPr>
        <w:ind w:left="737" w:hanging="360"/>
      </w:pPr>
    </w:lvl>
    <w:lvl w:ilvl="1" w:tplc="04090019" w:tentative="1">
      <w:start w:val="1"/>
      <w:numFmt w:val="lowerLetter"/>
      <w:lvlText w:val="%2."/>
      <w:lvlJc w:val="left"/>
      <w:pPr>
        <w:ind w:left="1457" w:hanging="360"/>
      </w:pPr>
    </w:lvl>
    <w:lvl w:ilvl="2" w:tplc="0409001B" w:tentative="1">
      <w:start w:val="1"/>
      <w:numFmt w:val="lowerRoman"/>
      <w:lvlText w:val="%3."/>
      <w:lvlJc w:val="right"/>
      <w:pPr>
        <w:ind w:left="2177" w:hanging="180"/>
      </w:pPr>
    </w:lvl>
    <w:lvl w:ilvl="3" w:tplc="0409000F" w:tentative="1">
      <w:start w:val="1"/>
      <w:numFmt w:val="decimal"/>
      <w:lvlText w:val="%4."/>
      <w:lvlJc w:val="left"/>
      <w:pPr>
        <w:ind w:left="2897" w:hanging="360"/>
      </w:pPr>
    </w:lvl>
    <w:lvl w:ilvl="4" w:tplc="04090019" w:tentative="1">
      <w:start w:val="1"/>
      <w:numFmt w:val="lowerLetter"/>
      <w:lvlText w:val="%5."/>
      <w:lvlJc w:val="left"/>
      <w:pPr>
        <w:ind w:left="3617" w:hanging="360"/>
      </w:pPr>
    </w:lvl>
    <w:lvl w:ilvl="5" w:tplc="0409001B" w:tentative="1">
      <w:start w:val="1"/>
      <w:numFmt w:val="lowerRoman"/>
      <w:lvlText w:val="%6."/>
      <w:lvlJc w:val="right"/>
      <w:pPr>
        <w:ind w:left="4337" w:hanging="180"/>
      </w:pPr>
    </w:lvl>
    <w:lvl w:ilvl="6" w:tplc="0409000F" w:tentative="1">
      <w:start w:val="1"/>
      <w:numFmt w:val="decimal"/>
      <w:lvlText w:val="%7."/>
      <w:lvlJc w:val="left"/>
      <w:pPr>
        <w:ind w:left="5057" w:hanging="360"/>
      </w:pPr>
    </w:lvl>
    <w:lvl w:ilvl="7" w:tplc="04090019" w:tentative="1">
      <w:start w:val="1"/>
      <w:numFmt w:val="lowerLetter"/>
      <w:lvlText w:val="%8."/>
      <w:lvlJc w:val="left"/>
      <w:pPr>
        <w:ind w:left="5777" w:hanging="360"/>
      </w:pPr>
    </w:lvl>
    <w:lvl w:ilvl="8" w:tplc="0409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8" w15:restartNumberingAfterBreak="0">
    <w:nsid w:val="17F30A28"/>
    <w:multiLevelType w:val="hybridMultilevel"/>
    <w:tmpl w:val="501A66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73042E"/>
    <w:multiLevelType w:val="multilevel"/>
    <w:tmpl w:val="78CA52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1A3B6EA5"/>
    <w:multiLevelType w:val="hybridMultilevel"/>
    <w:tmpl w:val="4F4815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D23C4"/>
    <w:multiLevelType w:val="hybridMultilevel"/>
    <w:tmpl w:val="8E028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F39E8"/>
    <w:multiLevelType w:val="hybridMultilevel"/>
    <w:tmpl w:val="11F2EBB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F0532C"/>
    <w:multiLevelType w:val="hybridMultilevel"/>
    <w:tmpl w:val="266C4A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B13BBA"/>
    <w:multiLevelType w:val="hybridMultilevel"/>
    <w:tmpl w:val="E80495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3E60B1"/>
    <w:multiLevelType w:val="hybridMultilevel"/>
    <w:tmpl w:val="626E8362"/>
    <w:lvl w:ilvl="0" w:tplc="0809001B">
      <w:start w:val="1"/>
      <w:numFmt w:val="lowerRoman"/>
      <w:lvlText w:val="%1."/>
      <w:lvlJc w:val="righ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876A34"/>
    <w:multiLevelType w:val="hybridMultilevel"/>
    <w:tmpl w:val="5BE4A6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D316BD"/>
    <w:multiLevelType w:val="hybridMultilevel"/>
    <w:tmpl w:val="2BDAC214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6EB42C5"/>
    <w:multiLevelType w:val="hybridMultilevel"/>
    <w:tmpl w:val="804C5C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EE0395"/>
    <w:multiLevelType w:val="hybridMultilevel"/>
    <w:tmpl w:val="C24A04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B66B91"/>
    <w:multiLevelType w:val="hybridMultilevel"/>
    <w:tmpl w:val="D4F411C8"/>
    <w:lvl w:ilvl="0" w:tplc="4E0218AC">
      <w:start w:val="20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29CC228C"/>
    <w:multiLevelType w:val="hybridMultilevel"/>
    <w:tmpl w:val="750CEAA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D73AA"/>
    <w:multiLevelType w:val="hybridMultilevel"/>
    <w:tmpl w:val="6FD47036"/>
    <w:lvl w:ilvl="0" w:tplc="272AD77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BBD3CED"/>
    <w:multiLevelType w:val="hybridMultilevel"/>
    <w:tmpl w:val="04BA9B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E6614E"/>
    <w:multiLevelType w:val="hybridMultilevel"/>
    <w:tmpl w:val="619C06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9058E4"/>
    <w:multiLevelType w:val="hybridMultilevel"/>
    <w:tmpl w:val="AC94371E"/>
    <w:lvl w:ilvl="0" w:tplc="0409001B">
      <w:start w:val="1"/>
      <w:numFmt w:val="lowerRoman"/>
      <w:lvlText w:val="%1."/>
      <w:lvlJc w:val="right"/>
      <w:pPr>
        <w:ind w:left="735" w:hanging="360"/>
      </w:p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6" w15:restartNumberingAfterBreak="0">
    <w:nsid w:val="307E0D90"/>
    <w:multiLevelType w:val="hybridMultilevel"/>
    <w:tmpl w:val="DBDE6630"/>
    <w:lvl w:ilvl="0" w:tplc="9B1AB0AA">
      <w:start w:val="5"/>
      <w:numFmt w:val="upperRoman"/>
      <w:lvlText w:val="%1."/>
      <w:lvlJc w:val="left"/>
      <w:pPr>
        <w:ind w:left="89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7" w15:restartNumberingAfterBreak="0">
    <w:nsid w:val="344F79A2"/>
    <w:multiLevelType w:val="hybridMultilevel"/>
    <w:tmpl w:val="068EE76A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5C501CF"/>
    <w:multiLevelType w:val="hybridMultilevel"/>
    <w:tmpl w:val="0A888942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02474CF"/>
    <w:multiLevelType w:val="hybridMultilevel"/>
    <w:tmpl w:val="E6085F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264602"/>
    <w:multiLevelType w:val="hybridMultilevel"/>
    <w:tmpl w:val="E3B682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F37812"/>
    <w:multiLevelType w:val="hybridMultilevel"/>
    <w:tmpl w:val="2D10395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213323"/>
    <w:multiLevelType w:val="hybridMultilevel"/>
    <w:tmpl w:val="FCF870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E450B3"/>
    <w:multiLevelType w:val="hybridMultilevel"/>
    <w:tmpl w:val="13DEAC74"/>
    <w:lvl w:ilvl="0" w:tplc="57CA59B2">
      <w:start w:val="1"/>
      <w:numFmt w:val="upperRoman"/>
      <w:lvlText w:val="%1."/>
      <w:lvlJc w:val="left"/>
      <w:pPr>
        <w:ind w:left="173" w:hanging="720"/>
      </w:pPr>
      <w:rPr>
        <w:rFonts w:hint="default"/>
        <w:b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533" w:hanging="360"/>
      </w:pPr>
    </w:lvl>
    <w:lvl w:ilvl="2" w:tplc="041C001B" w:tentative="1">
      <w:start w:val="1"/>
      <w:numFmt w:val="lowerRoman"/>
      <w:lvlText w:val="%3."/>
      <w:lvlJc w:val="right"/>
      <w:pPr>
        <w:ind w:left="1253" w:hanging="180"/>
      </w:pPr>
    </w:lvl>
    <w:lvl w:ilvl="3" w:tplc="041C000F" w:tentative="1">
      <w:start w:val="1"/>
      <w:numFmt w:val="decimal"/>
      <w:lvlText w:val="%4."/>
      <w:lvlJc w:val="left"/>
      <w:pPr>
        <w:ind w:left="1973" w:hanging="360"/>
      </w:pPr>
    </w:lvl>
    <w:lvl w:ilvl="4" w:tplc="041C0019" w:tentative="1">
      <w:start w:val="1"/>
      <w:numFmt w:val="lowerLetter"/>
      <w:lvlText w:val="%5."/>
      <w:lvlJc w:val="left"/>
      <w:pPr>
        <w:ind w:left="2693" w:hanging="360"/>
      </w:pPr>
    </w:lvl>
    <w:lvl w:ilvl="5" w:tplc="041C001B" w:tentative="1">
      <w:start w:val="1"/>
      <w:numFmt w:val="lowerRoman"/>
      <w:lvlText w:val="%6."/>
      <w:lvlJc w:val="right"/>
      <w:pPr>
        <w:ind w:left="3413" w:hanging="180"/>
      </w:pPr>
    </w:lvl>
    <w:lvl w:ilvl="6" w:tplc="041C000F" w:tentative="1">
      <w:start w:val="1"/>
      <w:numFmt w:val="decimal"/>
      <w:lvlText w:val="%7."/>
      <w:lvlJc w:val="left"/>
      <w:pPr>
        <w:ind w:left="4133" w:hanging="360"/>
      </w:pPr>
    </w:lvl>
    <w:lvl w:ilvl="7" w:tplc="041C0019" w:tentative="1">
      <w:start w:val="1"/>
      <w:numFmt w:val="lowerLetter"/>
      <w:lvlText w:val="%8."/>
      <w:lvlJc w:val="left"/>
      <w:pPr>
        <w:ind w:left="4853" w:hanging="360"/>
      </w:pPr>
    </w:lvl>
    <w:lvl w:ilvl="8" w:tplc="041C001B" w:tentative="1">
      <w:start w:val="1"/>
      <w:numFmt w:val="lowerRoman"/>
      <w:lvlText w:val="%9."/>
      <w:lvlJc w:val="right"/>
      <w:pPr>
        <w:ind w:left="5573" w:hanging="180"/>
      </w:pPr>
    </w:lvl>
  </w:abstractNum>
  <w:abstractNum w:abstractNumId="34" w15:restartNumberingAfterBreak="0">
    <w:nsid w:val="4D4508AF"/>
    <w:multiLevelType w:val="hybridMultilevel"/>
    <w:tmpl w:val="C74E6DBA"/>
    <w:lvl w:ilvl="0" w:tplc="7DB61A7C">
      <w:start w:val="22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E9D1711"/>
    <w:multiLevelType w:val="hybridMultilevel"/>
    <w:tmpl w:val="0C905B14"/>
    <w:lvl w:ilvl="0" w:tplc="B59C8F3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9C82ACA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A82040"/>
    <w:multiLevelType w:val="hybridMultilevel"/>
    <w:tmpl w:val="840C5120"/>
    <w:lvl w:ilvl="0" w:tplc="7DB61A7C">
      <w:start w:val="22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5DC93E04"/>
    <w:multiLevelType w:val="hybridMultilevel"/>
    <w:tmpl w:val="D74E45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E245D7"/>
    <w:multiLevelType w:val="hybridMultilevel"/>
    <w:tmpl w:val="4FD2BD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04E663B"/>
    <w:multiLevelType w:val="hybridMultilevel"/>
    <w:tmpl w:val="627CCD02"/>
    <w:lvl w:ilvl="0" w:tplc="643238DA">
      <w:start w:val="10"/>
      <w:numFmt w:val="decimal"/>
      <w:lvlText w:val="%1."/>
      <w:lvlJc w:val="left"/>
      <w:pPr>
        <w:ind w:left="943" w:hanging="375"/>
      </w:pPr>
      <w:rPr>
        <w:rFonts w:eastAsia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 w15:restartNumberingAfterBreak="0">
    <w:nsid w:val="60E45BDD"/>
    <w:multiLevelType w:val="hybridMultilevel"/>
    <w:tmpl w:val="8F0EB218"/>
    <w:lvl w:ilvl="0" w:tplc="0ED8E6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3A7848"/>
    <w:multiLevelType w:val="hybridMultilevel"/>
    <w:tmpl w:val="32D45446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55E0DE2"/>
    <w:multiLevelType w:val="hybridMultilevel"/>
    <w:tmpl w:val="90626118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C1B1BD0"/>
    <w:multiLevelType w:val="hybridMultilevel"/>
    <w:tmpl w:val="F58A41A6"/>
    <w:lvl w:ilvl="0" w:tplc="0409001B">
      <w:start w:val="1"/>
      <w:numFmt w:val="lowerRoman"/>
      <w:lvlText w:val="%1."/>
      <w:lvlJc w:val="right"/>
      <w:pPr>
        <w:ind w:left="65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07E5E3E"/>
    <w:multiLevelType w:val="hybridMultilevel"/>
    <w:tmpl w:val="1DBE6E5A"/>
    <w:lvl w:ilvl="0" w:tplc="162CFD7A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EE05C2"/>
    <w:multiLevelType w:val="hybridMultilevel"/>
    <w:tmpl w:val="BC627B8C"/>
    <w:lvl w:ilvl="0" w:tplc="2EA0283E">
      <w:start w:val="3"/>
      <w:numFmt w:val="upperRoman"/>
      <w:lvlText w:val="%1."/>
      <w:lvlJc w:val="left"/>
      <w:pPr>
        <w:ind w:left="173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533" w:hanging="360"/>
      </w:pPr>
    </w:lvl>
    <w:lvl w:ilvl="2" w:tplc="0809001B" w:tentative="1">
      <w:start w:val="1"/>
      <w:numFmt w:val="lowerRoman"/>
      <w:lvlText w:val="%3."/>
      <w:lvlJc w:val="right"/>
      <w:pPr>
        <w:ind w:left="1253" w:hanging="180"/>
      </w:pPr>
    </w:lvl>
    <w:lvl w:ilvl="3" w:tplc="0809000F" w:tentative="1">
      <w:start w:val="1"/>
      <w:numFmt w:val="decimal"/>
      <w:lvlText w:val="%4."/>
      <w:lvlJc w:val="left"/>
      <w:pPr>
        <w:ind w:left="1973" w:hanging="360"/>
      </w:pPr>
    </w:lvl>
    <w:lvl w:ilvl="4" w:tplc="08090019" w:tentative="1">
      <w:start w:val="1"/>
      <w:numFmt w:val="lowerLetter"/>
      <w:lvlText w:val="%5."/>
      <w:lvlJc w:val="left"/>
      <w:pPr>
        <w:ind w:left="2693" w:hanging="360"/>
      </w:pPr>
    </w:lvl>
    <w:lvl w:ilvl="5" w:tplc="0809001B" w:tentative="1">
      <w:start w:val="1"/>
      <w:numFmt w:val="lowerRoman"/>
      <w:lvlText w:val="%6."/>
      <w:lvlJc w:val="right"/>
      <w:pPr>
        <w:ind w:left="3413" w:hanging="180"/>
      </w:pPr>
    </w:lvl>
    <w:lvl w:ilvl="6" w:tplc="0809000F" w:tentative="1">
      <w:start w:val="1"/>
      <w:numFmt w:val="decimal"/>
      <w:lvlText w:val="%7."/>
      <w:lvlJc w:val="left"/>
      <w:pPr>
        <w:ind w:left="4133" w:hanging="360"/>
      </w:pPr>
    </w:lvl>
    <w:lvl w:ilvl="7" w:tplc="08090019" w:tentative="1">
      <w:start w:val="1"/>
      <w:numFmt w:val="lowerLetter"/>
      <w:lvlText w:val="%8."/>
      <w:lvlJc w:val="left"/>
      <w:pPr>
        <w:ind w:left="4853" w:hanging="360"/>
      </w:pPr>
    </w:lvl>
    <w:lvl w:ilvl="8" w:tplc="0809001B" w:tentative="1">
      <w:start w:val="1"/>
      <w:numFmt w:val="lowerRoman"/>
      <w:lvlText w:val="%9."/>
      <w:lvlJc w:val="right"/>
      <w:pPr>
        <w:ind w:left="5573" w:hanging="180"/>
      </w:pPr>
    </w:lvl>
  </w:abstractNum>
  <w:abstractNum w:abstractNumId="46" w15:restartNumberingAfterBreak="0">
    <w:nsid w:val="73013A07"/>
    <w:multiLevelType w:val="hybridMultilevel"/>
    <w:tmpl w:val="A50676C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26205"/>
    <w:multiLevelType w:val="hybridMultilevel"/>
    <w:tmpl w:val="E6F6EBB0"/>
    <w:lvl w:ilvl="0" w:tplc="71902C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204BF5"/>
    <w:multiLevelType w:val="hybridMultilevel"/>
    <w:tmpl w:val="568ED93E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 w15:restartNumberingAfterBreak="0">
    <w:nsid w:val="78053413"/>
    <w:multiLevelType w:val="hybridMultilevel"/>
    <w:tmpl w:val="CF220140"/>
    <w:lvl w:ilvl="0" w:tplc="0809001B">
      <w:start w:val="1"/>
      <w:numFmt w:val="lowerRoman"/>
      <w:lvlText w:val="%1."/>
      <w:lvlJc w:val="right"/>
      <w:pPr>
        <w:ind w:left="1712" w:hanging="360"/>
      </w:pPr>
    </w:lvl>
    <w:lvl w:ilvl="1" w:tplc="08090019" w:tentative="1">
      <w:start w:val="1"/>
      <w:numFmt w:val="lowerLetter"/>
      <w:lvlText w:val="%2."/>
      <w:lvlJc w:val="left"/>
      <w:pPr>
        <w:ind w:left="2432" w:hanging="360"/>
      </w:pPr>
    </w:lvl>
    <w:lvl w:ilvl="2" w:tplc="0809001B" w:tentative="1">
      <w:start w:val="1"/>
      <w:numFmt w:val="lowerRoman"/>
      <w:lvlText w:val="%3."/>
      <w:lvlJc w:val="right"/>
      <w:pPr>
        <w:ind w:left="3152" w:hanging="180"/>
      </w:pPr>
    </w:lvl>
    <w:lvl w:ilvl="3" w:tplc="0809000F" w:tentative="1">
      <w:start w:val="1"/>
      <w:numFmt w:val="decimal"/>
      <w:lvlText w:val="%4."/>
      <w:lvlJc w:val="left"/>
      <w:pPr>
        <w:ind w:left="3872" w:hanging="360"/>
      </w:pPr>
    </w:lvl>
    <w:lvl w:ilvl="4" w:tplc="08090019" w:tentative="1">
      <w:start w:val="1"/>
      <w:numFmt w:val="lowerLetter"/>
      <w:lvlText w:val="%5."/>
      <w:lvlJc w:val="left"/>
      <w:pPr>
        <w:ind w:left="4592" w:hanging="360"/>
      </w:pPr>
    </w:lvl>
    <w:lvl w:ilvl="5" w:tplc="0809001B" w:tentative="1">
      <w:start w:val="1"/>
      <w:numFmt w:val="lowerRoman"/>
      <w:lvlText w:val="%6."/>
      <w:lvlJc w:val="right"/>
      <w:pPr>
        <w:ind w:left="5312" w:hanging="180"/>
      </w:pPr>
    </w:lvl>
    <w:lvl w:ilvl="6" w:tplc="0809000F" w:tentative="1">
      <w:start w:val="1"/>
      <w:numFmt w:val="decimal"/>
      <w:lvlText w:val="%7."/>
      <w:lvlJc w:val="left"/>
      <w:pPr>
        <w:ind w:left="6032" w:hanging="360"/>
      </w:pPr>
    </w:lvl>
    <w:lvl w:ilvl="7" w:tplc="08090019" w:tentative="1">
      <w:start w:val="1"/>
      <w:numFmt w:val="lowerLetter"/>
      <w:lvlText w:val="%8."/>
      <w:lvlJc w:val="left"/>
      <w:pPr>
        <w:ind w:left="6752" w:hanging="360"/>
      </w:pPr>
    </w:lvl>
    <w:lvl w:ilvl="8" w:tplc="0809001B" w:tentative="1">
      <w:start w:val="1"/>
      <w:numFmt w:val="lowerRoman"/>
      <w:lvlText w:val="%9."/>
      <w:lvlJc w:val="right"/>
      <w:pPr>
        <w:ind w:left="7472" w:hanging="180"/>
      </w:pPr>
    </w:lvl>
  </w:abstractNum>
  <w:num w:numId="1">
    <w:abstractNumId w:val="33"/>
  </w:num>
  <w:num w:numId="2">
    <w:abstractNumId w:val="25"/>
  </w:num>
  <w:num w:numId="3">
    <w:abstractNumId w:val="5"/>
  </w:num>
  <w:num w:numId="4">
    <w:abstractNumId w:val="46"/>
  </w:num>
  <w:num w:numId="5">
    <w:abstractNumId w:val="3"/>
  </w:num>
  <w:num w:numId="6">
    <w:abstractNumId w:val="21"/>
  </w:num>
  <w:num w:numId="7">
    <w:abstractNumId w:val="40"/>
  </w:num>
  <w:num w:numId="8">
    <w:abstractNumId w:val="1"/>
  </w:num>
  <w:num w:numId="9">
    <w:abstractNumId w:val="7"/>
  </w:num>
  <w:num w:numId="10">
    <w:abstractNumId w:val="43"/>
  </w:num>
  <w:num w:numId="11">
    <w:abstractNumId w:val="35"/>
  </w:num>
  <w:num w:numId="12">
    <w:abstractNumId w:val="42"/>
  </w:num>
  <w:num w:numId="13">
    <w:abstractNumId w:val="39"/>
  </w:num>
  <w:num w:numId="14">
    <w:abstractNumId w:val="19"/>
  </w:num>
  <w:num w:numId="15">
    <w:abstractNumId w:val="44"/>
  </w:num>
  <w:num w:numId="16">
    <w:abstractNumId w:val="20"/>
  </w:num>
  <w:num w:numId="17">
    <w:abstractNumId w:val="34"/>
  </w:num>
  <w:num w:numId="18">
    <w:abstractNumId w:val="36"/>
  </w:num>
  <w:num w:numId="19">
    <w:abstractNumId w:val="45"/>
  </w:num>
  <w:num w:numId="20">
    <w:abstractNumId w:val="8"/>
  </w:num>
  <w:num w:numId="21">
    <w:abstractNumId w:val="37"/>
  </w:num>
  <w:num w:numId="22">
    <w:abstractNumId w:val="15"/>
  </w:num>
  <w:num w:numId="23">
    <w:abstractNumId w:val="6"/>
  </w:num>
  <w:num w:numId="24">
    <w:abstractNumId w:val="9"/>
  </w:num>
  <w:num w:numId="25">
    <w:abstractNumId w:val="24"/>
  </w:num>
  <w:num w:numId="26">
    <w:abstractNumId w:val="18"/>
  </w:num>
  <w:num w:numId="27">
    <w:abstractNumId w:val="41"/>
  </w:num>
  <w:num w:numId="28">
    <w:abstractNumId w:val="49"/>
  </w:num>
  <w:num w:numId="29">
    <w:abstractNumId w:val="29"/>
  </w:num>
  <w:num w:numId="30">
    <w:abstractNumId w:val="0"/>
  </w:num>
  <w:num w:numId="31">
    <w:abstractNumId w:val="47"/>
  </w:num>
  <w:num w:numId="32">
    <w:abstractNumId w:val="16"/>
  </w:num>
  <w:num w:numId="33">
    <w:abstractNumId w:val="23"/>
  </w:num>
  <w:num w:numId="34">
    <w:abstractNumId w:val="28"/>
  </w:num>
  <w:num w:numId="35">
    <w:abstractNumId w:val="4"/>
  </w:num>
  <w:num w:numId="36">
    <w:abstractNumId w:val="22"/>
  </w:num>
  <w:num w:numId="37">
    <w:abstractNumId w:val="48"/>
  </w:num>
  <w:num w:numId="38">
    <w:abstractNumId w:val="17"/>
  </w:num>
  <w:num w:numId="39">
    <w:abstractNumId w:val="27"/>
  </w:num>
  <w:num w:numId="40">
    <w:abstractNumId w:val="12"/>
  </w:num>
  <w:num w:numId="41">
    <w:abstractNumId w:val="2"/>
  </w:num>
  <w:num w:numId="42">
    <w:abstractNumId w:val="13"/>
  </w:num>
  <w:num w:numId="43">
    <w:abstractNumId w:val="32"/>
  </w:num>
  <w:num w:numId="44">
    <w:abstractNumId w:val="38"/>
  </w:num>
  <w:num w:numId="45">
    <w:abstractNumId w:val="11"/>
  </w:num>
  <w:num w:numId="46">
    <w:abstractNumId w:val="31"/>
  </w:num>
  <w:num w:numId="47">
    <w:abstractNumId w:val="26"/>
  </w:num>
  <w:num w:numId="48">
    <w:abstractNumId w:val="14"/>
  </w:num>
  <w:num w:numId="49">
    <w:abstractNumId w:val="30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A7A"/>
    <w:rsid w:val="000019BA"/>
    <w:rsid w:val="0000525D"/>
    <w:rsid w:val="0000593B"/>
    <w:rsid w:val="0001154B"/>
    <w:rsid w:val="000128D6"/>
    <w:rsid w:val="000148E0"/>
    <w:rsid w:val="000266F6"/>
    <w:rsid w:val="000305E9"/>
    <w:rsid w:val="00030D6B"/>
    <w:rsid w:val="00030E35"/>
    <w:rsid w:val="0003116A"/>
    <w:rsid w:val="000323B7"/>
    <w:rsid w:val="00032D96"/>
    <w:rsid w:val="00034A92"/>
    <w:rsid w:val="00034AC5"/>
    <w:rsid w:val="00045235"/>
    <w:rsid w:val="00045616"/>
    <w:rsid w:val="0005263E"/>
    <w:rsid w:val="000553BA"/>
    <w:rsid w:val="000560F2"/>
    <w:rsid w:val="000568EB"/>
    <w:rsid w:val="00056D63"/>
    <w:rsid w:val="00061CA1"/>
    <w:rsid w:val="000652BE"/>
    <w:rsid w:val="00065A06"/>
    <w:rsid w:val="00070B6D"/>
    <w:rsid w:val="0007146C"/>
    <w:rsid w:val="00073456"/>
    <w:rsid w:val="00073F65"/>
    <w:rsid w:val="00075461"/>
    <w:rsid w:val="000755EF"/>
    <w:rsid w:val="00075D51"/>
    <w:rsid w:val="0007697F"/>
    <w:rsid w:val="00080F75"/>
    <w:rsid w:val="000815A4"/>
    <w:rsid w:val="00082FA9"/>
    <w:rsid w:val="00084629"/>
    <w:rsid w:val="000846F3"/>
    <w:rsid w:val="00084D63"/>
    <w:rsid w:val="00086C54"/>
    <w:rsid w:val="0008702C"/>
    <w:rsid w:val="00090A7A"/>
    <w:rsid w:val="00092367"/>
    <w:rsid w:val="000970ED"/>
    <w:rsid w:val="00097B2F"/>
    <w:rsid w:val="00097B80"/>
    <w:rsid w:val="000A088E"/>
    <w:rsid w:val="000A306D"/>
    <w:rsid w:val="000A6CF5"/>
    <w:rsid w:val="000A7651"/>
    <w:rsid w:val="000A7BE1"/>
    <w:rsid w:val="000B21DF"/>
    <w:rsid w:val="000B395E"/>
    <w:rsid w:val="000B5D7A"/>
    <w:rsid w:val="000C12AF"/>
    <w:rsid w:val="000C63A8"/>
    <w:rsid w:val="000C7051"/>
    <w:rsid w:val="000D142E"/>
    <w:rsid w:val="000D5160"/>
    <w:rsid w:val="000D5B85"/>
    <w:rsid w:val="000E0C3A"/>
    <w:rsid w:val="000E5B90"/>
    <w:rsid w:val="000F2F39"/>
    <w:rsid w:val="000F3B0B"/>
    <w:rsid w:val="00100ED1"/>
    <w:rsid w:val="00103E29"/>
    <w:rsid w:val="0010626A"/>
    <w:rsid w:val="0010760C"/>
    <w:rsid w:val="00110897"/>
    <w:rsid w:val="00112559"/>
    <w:rsid w:val="001152E0"/>
    <w:rsid w:val="00116491"/>
    <w:rsid w:val="0013007A"/>
    <w:rsid w:val="00130BBA"/>
    <w:rsid w:val="00132303"/>
    <w:rsid w:val="0013274B"/>
    <w:rsid w:val="0013374A"/>
    <w:rsid w:val="00133F01"/>
    <w:rsid w:val="00134FBF"/>
    <w:rsid w:val="00136622"/>
    <w:rsid w:val="00136697"/>
    <w:rsid w:val="0014226E"/>
    <w:rsid w:val="00142FFE"/>
    <w:rsid w:val="001440C7"/>
    <w:rsid w:val="001460B2"/>
    <w:rsid w:val="0015301D"/>
    <w:rsid w:val="001552A2"/>
    <w:rsid w:val="001552D2"/>
    <w:rsid w:val="001635D3"/>
    <w:rsid w:val="00164100"/>
    <w:rsid w:val="0016671E"/>
    <w:rsid w:val="00171A70"/>
    <w:rsid w:val="001724DD"/>
    <w:rsid w:val="00175A03"/>
    <w:rsid w:val="001761CB"/>
    <w:rsid w:val="001825F9"/>
    <w:rsid w:val="00182CC6"/>
    <w:rsid w:val="00183C32"/>
    <w:rsid w:val="0018655D"/>
    <w:rsid w:val="00186ABA"/>
    <w:rsid w:val="00186AED"/>
    <w:rsid w:val="00186E67"/>
    <w:rsid w:val="00187FEA"/>
    <w:rsid w:val="0019175B"/>
    <w:rsid w:val="00191AC9"/>
    <w:rsid w:val="00192109"/>
    <w:rsid w:val="00193EC4"/>
    <w:rsid w:val="0019435F"/>
    <w:rsid w:val="00196082"/>
    <w:rsid w:val="00196ED8"/>
    <w:rsid w:val="001A00C9"/>
    <w:rsid w:val="001A2B74"/>
    <w:rsid w:val="001A46A0"/>
    <w:rsid w:val="001A53F0"/>
    <w:rsid w:val="001A78A6"/>
    <w:rsid w:val="001A7DCC"/>
    <w:rsid w:val="001B0BF4"/>
    <w:rsid w:val="001B0D78"/>
    <w:rsid w:val="001B380B"/>
    <w:rsid w:val="001C0921"/>
    <w:rsid w:val="001D03A6"/>
    <w:rsid w:val="001D0F7A"/>
    <w:rsid w:val="001D0FBE"/>
    <w:rsid w:val="001D5F75"/>
    <w:rsid w:val="001D744B"/>
    <w:rsid w:val="001E2F04"/>
    <w:rsid w:val="001E68F7"/>
    <w:rsid w:val="001E6E7F"/>
    <w:rsid w:val="001F0157"/>
    <w:rsid w:val="001F27AC"/>
    <w:rsid w:val="001F664C"/>
    <w:rsid w:val="0020004D"/>
    <w:rsid w:val="00201DE9"/>
    <w:rsid w:val="00201E57"/>
    <w:rsid w:val="00203D6C"/>
    <w:rsid w:val="0020568B"/>
    <w:rsid w:val="0020593A"/>
    <w:rsid w:val="00206335"/>
    <w:rsid w:val="00206B52"/>
    <w:rsid w:val="002101B7"/>
    <w:rsid w:val="00211317"/>
    <w:rsid w:val="0021315E"/>
    <w:rsid w:val="00213847"/>
    <w:rsid w:val="002151E1"/>
    <w:rsid w:val="00215E06"/>
    <w:rsid w:val="00220938"/>
    <w:rsid w:val="00221B5D"/>
    <w:rsid w:val="00222613"/>
    <w:rsid w:val="00227B70"/>
    <w:rsid w:val="00230D9D"/>
    <w:rsid w:val="00242989"/>
    <w:rsid w:val="002430B0"/>
    <w:rsid w:val="002436DD"/>
    <w:rsid w:val="00244A10"/>
    <w:rsid w:val="00254A6D"/>
    <w:rsid w:val="002566FC"/>
    <w:rsid w:val="00260B1B"/>
    <w:rsid w:val="002651E2"/>
    <w:rsid w:val="0026679E"/>
    <w:rsid w:val="00270AF0"/>
    <w:rsid w:val="00270C6E"/>
    <w:rsid w:val="00270DEF"/>
    <w:rsid w:val="0027281C"/>
    <w:rsid w:val="00277F2F"/>
    <w:rsid w:val="002872BD"/>
    <w:rsid w:val="0028743B"/>
    <w:rsid w:val="00293CA4"/>
    <w:rsid w:val="00296A9F"/>
    <w:rsid w:val="002A2C02"/>
    <w:rsid w:val="002A3A7A"/>
    <w:rsid w:val="002A3DBA"/>
    <w:rsid w:val="002A529A"/>
    <w:rsid w:val="002B0A8A"/>
    <w:rsid w:val="002B2758"/>
    <w:rsid w:val="002B3478"/>
    <w:rsid w:val="002B4D39"/>
    <w:rsid w:val="002C18FE"/>
    <w:rsid w:val="002C4EE0"/>
    <w:rsid w:val="002C57E8"/>
    <w:rsid w:val="002C648E"/>
    <w:rsid w:val="002C7B0B"/>
    <w:rsid w:val="002D07F2"/>
    <w:rsid w:val="002D1295"/>
    <w:rsid w:val="002D1695"/>
    <w:rsid w:val="002D2510"/>
    <w:rsid w:val="002D537A"/>
    <w:rsid w:val="002D7A47"/>
    <w:rsid w:val="002E0A06"/>
    <w:rsid w:val="002E0E08"/>
    <w:rsid w:val="002E20B0"/>
    <w:rsid w:val="002E27D6"/>
    <w:rsid w:val="002E2F27"/>
    <w:rsid w:val="002E36CB"/>
    <w:rsid w:val="002F02D2"/>
    <w:rsid w:val="002F106D"/>
    <w:rsid w:val="002F6001"/>
    <w:rsid w:val="002F6F9F"/>
    <w:rsid w:val="002F78C7"/>
    <w:rsid w:val="0030018F"/>
    <w:rsid w:val="00300A99"/>
    <w:rsid w:val="00302DA8"/>
    <w:rsid w:val="003031A6"/>
    <w:rsid w:val="00304AAF"/>
    <w:rsid w:val="00306A9E"/>
    <w:rsid w:val="003169B5"/>
    <w:rsid w:val="00317514"/>
    <w:rsid w:val="00322899"/>
    <w:rsid w:val="00322CB2"/>
    <w:rsid w:val="00325BD3"/>
    <w:rsid w:val="0033063B"/>
    <w:rsid w:val="00331F48"/>
    <w:rsid w:val="00335770"/>
    <w:rsid w:val="00336167"/>
    <w:rsid w:val="0033646F"/>
    <w:rsid w:val="0033664C"/>
    <w:rsid w:val="00337819"/>
    <w:rsid w:val="0034054F"/>
    <w:rsid w:val="00342AD8"/>
    <w:rsid w:val="00342E0F"/>
    <w:rsid w:val="003444C3"/>
    <w:rsid w:val="00345F9A"/>
    <w:rsid w:val="003473D0"/>
    <w:rsid w:val="00350A2A"/>
    <w:rsid w:val="00355118"/>
    <w:rsid w:val="003551FA"/>
    <w:rsid w:val="00355384"/>
    <w:rsid w:val="00355848"/>
    <w:rsid w:val="00361738"/>
    <w:rsid w:val="0036453E"/>
    <w:rsid w:val="00365889"/>
    <w:rsid w:val="003677D7"/>
    <w:rsid w:val="00367A43"/>
    <w:rsid w:val="00367E2B"/>
    <w:rsid w:val="00374870"/>
    <w:rsid w:val="00381779"/>
    <w:rsid w:val="00385C76"/>
    <w:rsid w:val="00390888"/>
    <w:rsid w:val="003908F4"/>
    <w:rsid w:val="00391290"/>
    <w:rsid w:val="00391D06"/>
    <w:rsid w:val="00392EE8"/>
    <w:rsid w:val="00397FAE"/>
    <w:rsid w:val="003A3158"/>
    <w:rsid w:val="003A3981"/>
    <w:rsid w:val="003A6755"/>
    <w:rsid w:val="003A7491"/>
    <w:rsid w:val="003B1ECF"/>
    <w:rsid w:val="003B374B"/>
    <w:rsid w:val="003B37A0"/>
    <w:rsid w:val="003C084A"/>
    <w:rsid w:val="003C1CD7"/>
    <w:rsid w:val="003C254C"/>
    <w:rsid w:val="003C25C6"/>
    <w:rsid w:val="003C4FE9"/>
    <w:rsid w:val="003D4502"/>
    <w:rsid w:val="003D66E9"/>
    <w:rsid w:val="003D6E90"/>
    <w:rsid w:val="003E0C39"/>
    <w:rsid w:val="003E1196"/>
    <w:rsid w:val="003E1E12"/>
    <w:rsid w:val="003E1ED0"/>
    <w:rsid w:val="003E2C5E"/>
    <w:rsid w:val="003E536B"/>
    <w:rsid w:val="003E6CFB"/>
    <w:rsid w:val="003F0FC9"/>
    <w:rsid w:val="003F3151"/>
    <w:rsid w:val="003F3B7F"/>
    <w:rsid w:val="003F4353"/>
    <w:rsid w:val="003F51E5"/>
    <w:rsid w:val="003F6D3A"/>
    <w:rsid w:val="003F72E3"/>
    <w:rsid w:val="004000B1"/>
    <w:rsid w:val="0040289B"/>
    <w:rsid w:val="0040419B"/>
    <w:rsid w:val="00404AFE"/>
    <w:rsid w:val="00410B3B"/>
    <w:rsid w:val="00411B53"/>
    <w:rsid w:val="0041495A"/>
    <w:rsid w:val="0041707C"/>
    <w:rsid w:val="004222F3"/>
    <w:rsid w:val="0042362E"/>
    <w:rsid w:val="00424BBD"/>
    <w:rsid w:val="00425B6A"/>
    <w:rsid w:val="00430DE5"/>
    <w:rsid w:val="00431C8F"/>
    <w:rsid w:val="004324E0"/>
    <w:rsid w:val="00433448"/>
    <w:rsid w:val="00433797"/>
    <w:rsid w:val="00433CE6"/>
    <w:rsid w:val="0043505C"/>
    <w:rsid w:val="0043782A"/>
    <w:rsid w:val="00440EE0"/>
    <w:rsid w:val="004420AC"/>
    <w:rsid w:val="00442548"/>
    <w:rsid w:val="004428A4"/>
    <w:rsid w:val="00442C5F"/>
    <w:rsid w:val="00444CC7"/>
    <w:rsid w:val="00445876"/>
    <w:rsid w:val="00450D83"/>
    <w:rsid w:val="004539FC"/>
    <w:rsid w:val="004539FF"/>
    <w:rsid w:val="00453E58"/>
    <w:rsid w:val="00454335"/>
    <w:rsid w:val="00455528"/>
    <w:rsid w:val="0046117D"/>
    <w:rsid w:val="00463EBA"/>
    <w:rsid w:val="0046652F"/>
    <w:rsid w:val="00474B20"/>
    <w:rsid w:val="00475C3B"/>
    <w:rsid w:val="00476F54"/>
    <w:rsid w:val="004846A8"/>
    <w:rsid w:val="00484BE1"/>
    <w:rsid w:val="004862AD"/>
    <w:rsid w:val="004863DD"/>
    <w:rsid w:val="0048756F"/>
    <w:rsid w:val="00490633"/>
    <w:rsid w:val="00491A34"/>
    <w:rsid w:val="00495145"/>
    <w:rsid w:val="00497978"/>
    <w:rsid w:val="004A0FFD"/>
    <w:rsid w:val="004A1093"/>
    <w:rsid w:val="004A1661"/>
    <w:rsid w:val="004A4565"/>
    <w:rsid w:val="004A5334"/>
    <w:rsid w:val="004A58D6"/>
    <w:rsid w:val="004A663B"/>
    <w:rsid w:val="004B1009"/>
    <w:rsid w:val="004B1623"/>
    <w:rsid w:val="004B59D5"/>
    <w:rsid w:val="004B7EA4"/>
    <w:rsid w:val="004D02FC"/>
    <w:rsid w:val="004D5A98"/>
    <w:rsid w:val="004E22B4"/>
    <w:rsid w:val="004E2F0F"/>
    <w:rsid w:val="004E5CBC"/>
    <w:rsid w:val="004E784A"/>
    <w:rsid w:val="004E7FA8"/>
    <w:rsid w:val="004F2C66"/>
    <w:rsid w:val="004F312A"/>
    <w:rsid w:val="004F5EC5"/>
    <w:rsid w:val="00503200"/>
    <w:rsid w:val="00503D47"/>
    <w:rsid w:val="005074E5"/>
    <w:rsid w:val="005134F6"/>
    <w:rsid w:val="00517550"/>
    <w:rsid w:val="005177A5"/>
    <w:rsid w:val="005201CD"/>
    <w:rsid w:val="005227CF"/>
    <w:rsid w:val="00522B79"/>
    <w:rsid w:val="00526E11"/>
    <w:rsid w:val="0052753F"/>
    <w:rsid w:val="00533E7C"/>
    <w:rsid w:val="0053643D"/>
    <w:rsid w:val="0054244D"/>
    <w:rsid w:val="00544DAF"/>
    <w:rsid w:val="00550638"/>
    <w:rsid w:val="00552A33"/>
    <w:rsid w:val="00554D51"/>
    <w:rsid w:val="00563885"/>
    <w:rsid w:val="00565183"/>
    <w:rsid w:val="00565C70"/>
    <w:rsid w:val="00572CDE"/>
    <w:rsid w:val="00573F85"/>
    <w:rsid w:val="00576798"/>
    <w:rsid w:val="00577E99"/>
    <w:rsid w:val="00586BE9"/>
    <w:rsid w:val="00587676"/>
    <w:rsid w:val="005907B3"/>
    <w:rsid w:val="00590FC1"/>
    <w:rsid w:val="00591CCC"/>
    <w:rsid w:val="00593C1F"/>
    <w:rsid w:val="00595525"/>
    <w:rsid w:val="00596E9E"/>
    <w:rsid w:val="005A09CC"/>
    <w:rsid w:val="005A1A09"/>
    <w:rsid w:val="005A203A"/>
    <w:rsid w:val="005A21C3"/>
    <w:rsid w:val="005A2EE1"/>
    <w:rsid w:val="005A3D7F"/>
    <w:rsid w:val="005A4F78"/>
    <w:rsid w:val="005B066D"/>
    <w:rsid w:val="005B1E61"/>
    <w:rsid w:val="005B3493"/>
    <w:rsid w:val="005B398D"/>
    <w:rsid w:val="005B483A"/>
    <w:rsid w:val="005B6ABF"/>
    <w:rsid w:val="005C1645"/>
    <w:rsid w:val="005C6B55"/>
    <w:rsid w:val="005D09AB"/>
    <w:rsid w:val="005D1C36"/>
    <w:rsid w:val="005D6AE0"/>
    <w:rsid w:val="005D7B62"/>
    <w:rsid w:val="005F0F01"/>
    <w:rsid w:val="005F22F1"/>
    <w:rsid w:val="005F5702"/>
    <w:rsid w:val="005F5878"/>
    <w:rsid w:val="005F7687"/>
    <w:rsid w:val="005F7ADE"/>
    <w:rsid w:val="006012F9"/>
    <w:rsid w:val="00603FD8"/>
    <w:rsid w:val="00604749"/>
    <w:rsid w:val="00604901"/>
    <w:rsid w:val="00606253"/>
    <w:rsid w:val="006138E4"/>
    <w:rsid w:val="00613F8F"/>
    <w:rsid w:val="00616318"/>
    <w:rsid w:val="00617984"/>
    <w:rsid w:val="00624C94"/>
    <w:rsid w:val="00627B20"/>
    <w:rsid w:val="00631750"/>
    <w:rsid w:val="00635D1B"/>
    <w:rsid w:val="00636422"/>
    <w:rsid w:val="0064652A"/>
    <w:rsid w:val="00646D0D"/>
    <w:rsid w:val="00651A52"/>
    <w:rsid w:val="00652826"/>
    <w:rsid w:val="0065371F"/>
    <w:rsid w:val="0065470A"/>
    <w:rsid w:val="006549F3"/>
    <w:rsid w:val="00656608"/>
    <w:rsid w:val="00662E28"/>
    <w:rsid w:val="00663AD4"/>
    <w:rsid w:val="006707A3"/>
    <w:rsid w:val="006710CB"/>
    <w:rsid w:val="0067171D"/>
    <w:rsid w:val="00673491"/>
    <w:rsid w:val="00677CE9"/>
    <w:rsid w:val="0068178B"/>
    <w:rsid w:val="00682DC0"/>
    <w:rsid w:val="006835A7"/>
    <w:rsid w:val="00684042"/>
    <w:rsid w:val="00684697"/>
    <w:rsid w:val="00686535"/>
    <w:rsid w:val="00687DF1"/>
    <w:rsid w:val="0069200F"/>
    <w:rsid w:val="0069232F"/>
    <w:rsid w:val="00693A9E"/>
    <w:rsid w:val="00695895"/>
    <w:rsid w:val="006959BC"/>
    <w:rsid w:val="00695ADF"/>
    <w:rsid w:val="0069601C"/>
    <w:rsid w:val="0069667A"/>
    <w:rsid w:val="00697B74"/>
    <w:rsid w:val="00697F81"/>
    <w:rsid w:val="006A139E"/>
    <w:rsid w:val="006A5F51"/>
    <w:rsid w:val="006A67DD"/>
    <w:rsid w:val="006B06E0"/>
    <w:rsid w:val="006B455D"/>
    <w:rsid w:val="006B52AC"/>
    <w:rsid w:val="006B7762"/>
    <w:rsid w:val="006C4254"/>
    <w:rsid w:val="006C7D68"/>
    <w:rsid w:val="006D1C9D"/>
    <w:rsid w:val="006D37B0"/>
    <w:rsid w:val="006D42D7"/>
    <w:rsid w:val="006D5D22"/>
    <w:rsid w:val="006E13E6"/>
    <w:rsid w:val="006E2846"/>
    <w:rsid w:val="006E3D41"/>
    <w:rsid w:val="006E4C7A"/>
    <w:rsid w:val="006E5372"/>
    <w:rsid w:val="006E6388"/>
    <w:rsid w:val="00700870"/>
    <w:rsid w:val="007031DC"/>
    <w:rsid w:val="00703393"/>
    <w:rsid w:val="007130F9"/>
    <w:rsid w:val="0071321B"/>
    <w:rsid w:val="00714F9D"/>
    <w:rsid w:val="0071614F"/>
    <w:rsid w:val="007175AD"/>
    <w:rsid w:val="00720619"/>
    <w:rsid w:val="007208B7"/>
    <w:rsid w:val="00721386"/>
    <w:rsid w:val="00722748"/>
    <w:rsid w:val="00723CF4"/>
    <w:rsid w:val="00725366"/>
    <w:rsid w:val="007318E7"/>
    <w:rsid w:val="00734D34"/>
    <w:rsid w:val="007351A6"/>
    <w:rsid w:val="00735239"/>
    <w:rsid w:val="0074482F"/>
    <w:rsid w:val="007458DD"/>
    <w:rsid w:val="00745D78"/>
    <w:rsid w:val="00747E41"/>
    <w:rsid w:val="00750223"/>
    <w:rsid w:val="00761B3A"/>
    <w:rsid w:val="00762378"/>
    <w:rsid w:val="007636A0"/>
    <w:rsid w:val="00770400"/>
    <w:rsid w:val="00772023"/>
    <w:rsid w:val="00774F19"/>
    <w:rsid w:val="007840A3"/>
    <w:rsid w:val="007853BF"/>
    <w:rsid w:val="00790AC1"/>
    <w:rsid w:val="00792DB4"/>
    <w:rsid w:val="007933AC"/>
    <w:rsid w:val="00794BDA"/>
    <w:rsid w:val="007978F3"/>
    <w:rsid w:val="007A073F"/>
    <w:rsid w:val="007A0B1D"/>
    <w:rsid w:val="007A3365"/>
    <w:rsid w:val="007A3A65"/>
    <w:rsid w:val="007A566E"/>
    <w:rsid w:val="007A5BF1"/>
    <w:rsid w:val="007A704E"/>
    <w:rsid w:val="007B1A5B"/>
    <w:rsid w:val="007B1F2D"/>
    <w:rsid w:val="007C389D"/>
    <w:rsid w:val="007C482F"/>
    <w:rsid w:val="007C647A"/>
    <w:rsid w:val="007D29B3"/>
    <w:rsid w:val="007D306D"/>
    <w:rsid w:val="007D7797"/>
    <w:rsid w:val="007E0507"/>
    <w:rsid w:val="007E1601"/>
    <w:rsid w:val="007E44A7"/>
    <w:rsid w:val="007E69D1"/>
    <w:rsid w:val="007E6E6A"/>
    <w:rsid w:val="007F212C"/>
    <w:rsid w:val="007F6424"/>
    <w:rsid w:val="008003A5"/>
    <w:rsid w:val="00802AF8"/>
    <w:rsid w:val="008037AE"/>
    <w:rsid w:val="00807C78"/>
    <w:rsid w:val="008128DE"/>
    <w:rsid w:val="0081541B"/>
    <w:rsid w:val="00815673"/>
    <w:rsid w:val="0081585F"/>
    <w:rsid w:val="00821043"/>
    <w:rsid w:val="00825D08"/>
    <w:rsid w:val="00825F96"/>
    <w:rsid w:val="0082606D"/>
    <w:rsid w:val="00832A06"/>
    <w:rsid w:val="00833B4E"/>
    <w:rsid w:val="00835407"/>
    <w:rsid w:val="00835764"/>
    <w:rsid w:val="0083593D"/>
    <w:rsid w:val="00836108"/>
    <w:rsid w:val="008434B2"/>
    <w:rsid w:val="0084350C"/>
    <w:rsid w:val="00845F62"/>
    <w:rsid w:val="00851478"/>
    <w:rsid w:val="00851A00"/>
    <w:rsid w:val="00853B50"/>
    <w:rsid w:val="00855166"/>
    <w:rsid w:val="0085709D"/>
    <w:rsid w:val="0085785C"/>
    <w:rsid w:val="008628AF"/>
    <w:rsid w:val="0086466E"/>
    <w:rsid w:val="00866F09"/>
    <w:rsid w:val="00866FAD"/>
    <w:rsid w:val="008744D5"/>
    <w:rsid w:val="00877E9D"/>
    <w:rsid w:val="00880AE7"/>
    <w:rsid w:val="008865D8"/>
    <w:rsid w:val="00886900"/>
    <w:rsid w:val="0088696B"/>
    <w:rsid w:val="0089179E"/>
    <w:rsid w:val="0089193D"/>
    <w:rsid w:val="00893E03"/>
    <w:rsid w:val="00897147"/>
    <w:rsid w:val="008B0A1F"/>
    <w:rsid w:val="008B0B40"/>
    <w:rsid w:val="008B3015"/>
    <w:rsid w:val="008B4D26"/>
    <w:rsid w:val="008B5CA7"/>
    <w:rsid w:val="008B6EA4"/>
    <w:rsid w:val="008B73F4"/>
    <w:rsid w:val="008B7B2A"/>
    <w:rsid w:val="008C204F"/>
    <w:rsid w:val="008C4174"/>
    <w:rsid w:val="008C577F"/>
    <w:rsid w:val="008D0146"/>
    <w:rsid w:val="008D5741"/>
    <w:rsid w:val="008D76FE"/>
    <w:rsid w:val="008E2CC1"/>
    <w:rsid w:val="008E35B8"/>
    <w:rsid w:val="008E66F3"/>
    <w:rsid w:val="008F0878"/>
    <w:rsid w:val="008F193E"/>
    <w:rsid w:val="00901367"/>
    <w:rsid w:val="009117D8"/>
    <w:rsid w:val="009118CB"/>
    <w:rsid w:val="00912D62"/>
    <w:rsid w:val="00916030"/>
    <w:rsid w:val="00924A7F"/>
    <w:rsid w:val="00924B59"/>
    <w:rsid w:val="00924C1C"/>
    <w:rsid w:val="00924F25"/>
    <w:rsid w:val="00926E88"/>
    <w:rsid w:val="009279D9"/>
    <w:rsid w:val="0093038F"/>
    <w:rsid w:val="0093461B"/>
    <w:rsid w:val="00935DEB"/>
    <w:rsid w:val="00940419"/>
    <w:rsid w:val="00943831"/>
    <w:rsid w:val="00943EDB"/>
    <w:rsid w:val="00944D54"/>
    <w:rsid w:val="009452A6"/>
    <w:rsid w:val="00945C90"/>
    <w:rsid w:val="00945E1C"/>
    <w:rsid w:val="009479FC"/>
    <w:rsid w:val="00950FAF"/>
    <w:rsid w:val="009643E2"/>
    <w:rsid w:val="0096524A"/>
    <w:rsid w:val="0096530B"/>
    <w:rsid w:val="00966A22"/>
    <w:rsid w:val="00966F6F"/>
    <w:rsid w:val="00976157"/>
    <w:rsid w:val="00976B6B"/>
    <w:rsid w:val="00983376"/>
    <w:rsid w:val="009837AA"/>
    <w:rsid w:val="00983C89"/>
    <w:rsid w:val="00987AF1"/>
    <w:rsid w:val="00987F22"/>
    <w:rsid w:val="00987FB2"/>
    <w:rsid w:val="0099032D"/>
    <w:rsid w:val="00990D73"/>
    <w:rsid w:val="00990EC8"/>
    <w:rsid w:val="0099190C"/>
    <w:rsid w:val="00991FDB"/>
    <w:rsid w:val="00996184"/>
    <w:rsid w:val="0099782E"/>
    <w:rsid w:val="009A1943"/>
    <w:rsid w:val="009A2640"/>
    <w:rsid w:val="009A4C6B"/>
    <w:rsid w:val="009A53AC"/>
    <w:rsid w:val="009A6669"/>
    <w:rsid w:val="009B2C8C"/>
    <w:rsid w:val="009B2D74"/>
    <w:rsid w:val="009B5EE0"/>
    <w:rsid w:val="009C0748"/>
    <w:rsid w:val="009C3FD7"/>
    <w:rsid w:val="009C465B"/>
    <w:rsid w:val="009C529C"/>
    <w:rsid w:val="009C6D0C"/>
    <w:rsid w:val="009D7023"/>
    <w:rsid w:val="009E0D79"/>
    <w:rsid w:val="009E2E45"/>
    <w:rsid w:val="009E532D"/>
    <w:rsid w:val="009F1DF0"/>
    <w:rsid w:val="009F1F3F"/>
    <w:rsid w:val="009F2F72"/>
    <w:rsid w:val="009F4655"/>
    <w:rsid w:val="009F65AB"/>
    <w:rsid w:val="009F6B34"/>
    <w:rsid w:val="009F6E74"/>
    <w:rsid w:val="00A00D08"/>
    <w:rsid w:val="00A04809"/>
    <w:rsid w:val="00A051A9"/>
    <w:rsid w:val="00A076B1"/>
    <w:rsid w:val="00A10354"/>
    <w:rsid w:val="00A113FE"/>
    <w:rsid w:val="00A13944"/>
    <w:rsid w:val="00A149AF"/>
    <w:rsid w:val="00A15B92"/>
    <w:rsid w:val="00A15F1B"/>
    <w:rsid w:val="00A1678D"/>
    <w:rsid w:val="00A169F5"/>
    <w:rsid w:val="00A233EA"/>
    <w:rsid w:val="00A24777"/>
    <w:rsid w:val="00A266CE"/>
    <w:rsid w:val="00A26CC8"/>
    <w:rsid w:val="00A26CCF"/>
    <w:rsid w:val="00A32FA9"/>
    <w:rsid w:val="00A32FD1"/>
    <w:rsid w:val="00A33752"/>
    <w:rsid w:val="00A33B89"/>
    <w:rsid w:val="00A352F9"/>
    <w:rsid w:val="00A37418"/>
    <w:rsid w:val="00A43DBE"/>
    <w:rsid w:val="00A44724"/>
    <w:rsid w:val="00A473A4"/>
    <w:rsid w:val="00A539DA"/>
    <w:rsid w:val="00A555A2"/>
    <w:rsid w:val="00A64174"/>
    <w:rsid w:val="00A6569B"/>
    <w:rsid w:val="00A67067"/>
    <w:rsid w:val="00A67D77"/>
    <w:rsid w:val="00A72665"/>
    <w:rsid w:val="00A75313"/>
    <w:rsid w:val="00A7551F"/>
    <w:rsid w:val="00A778A6"/>
    <w:rsid w:val="00A77D52"/>
    <w:rsid w:val="00A81B57"/>
    <w:rsid w:val="00A827A5"/>
    <w:rsid w:val="00A827C8"/>
    <w:rsid w:val="00A82BD4"/>
    <w:rsid w:val="00A82DB4"/>
    <w:rsid w:val="00A86E71"/>
    <w:rsid w:val="00A90E45"/>
    <w:rsid w:val="00AA0AD9"/>
    <w:rsid w:val="00AA1E92"/>
    <w:rsid w:val="00AA2399"/>
    <w:rsid w:val="00AA6F93"/>
    <w:rsid w:val="00AB48D2"/>
    <w:rsid w:val="00AB75C9"/>
    <w:rsid w:val="00AB7A91"/>
    <w:rsid w:val="00AC17A9"/>
    <w:rsid w:val="00AC1B89"/>
    <w:rsid w:val="00AC35BB"/>
    <w:rsid w:val="00AC4AE4"/>
    <w:rsid w:val="00AC568E"/>
    <w:rsid w:val="00AD0517"/>
    <w:rsid w:val="00AD24CC"/>
    <w:rsid w:val="00AD2721"/>
    <w:rsid w:val="00AD768E"/>
    <w:rsid w:val="00AE0C2B"/>
    <w:rsid w:val="00AE1FDB"/>
    <w:rsid w:val="00AE3915"/>
    <w:rsid w:val="00AE6532"/>
    <w:rsid w:val="00AF0F00"/>
    <w:rsid w:val="00AF4DD7"/>
    <w:rsid w:val="00AF60CC"/>
    <w:rsid w:val="00AF7B89"/>
    <w:rsid w:val="00B007AD"/>
    <w:rsid w:val="00B02533"/>
    <w:rsid w:val="00B027E8"/>
    <w:rsid w:val="00B04F1D"/>
    <w:rsid w:val="00B1125C"/>
    <w:rsid w:val="00B1165B"/>
    <w:rsid w:val="00B11D10"/>
    <w:rsid w:val="00B14CF2"/>
    <w:rsid w:val="00B24A70"/>
    <w:rsid w:val="00B30298"/>
    <w:rsid w:val="00B30852"/>
    <w:rsid w:val="00B32B62"/>
    <w:rsid w:val="00B340EE"/>
    <w:rsid w:val="00B34EEB"/>
    <w:rsid w:val="00B363C5"/>
    <w:rsid w:val="00B36B4E"/>
    <w:rsid w:val="00B41C5B"/>
    <w:rsid w:val="00B42F19"/>
    <w:rsid w:val="00B47FEA"/>
    <w:rsid w:val="00B50B9C"/>
    <w:rsid w:val="00B50E82"/>
    <w:rsid w:val="00B511F2"/>
    <w:rsid w:val="00B513A4"/>
    <w:rsid w:val="00B51F9A"/>
    <w:rsid w:val="00B52444"/>
    <w:rsid w:val="00B52BB6"/>
    <w:rsid w:val="00B6099C"/>
    <w:rsid w:val="00B61F91"/>
    <w:rsid w:val="00B629F5"/>
    <w:rsid w:val="00B62F69"/>
    <w:rsid w:val="00B6593A"/>
    <w:rsid w:val="00B65C3D"/>
    <w:rsid w:val="00B67C3D"/>
    <w:rsid w:val="00B707D8"/>
    <w:rsid w:val="00B71D34"/>
    <w:rsid w:val="00B72A78"/>
    <w:rsid w:val="00B75780"/>
    <w:rsid w:val="00B76729"/>
    <w:rsid w:val="00B8615D"/>
    <w:rsid w:val="00B8622C"/>
    <w:rsid w:val="00B8754D"/>
    <w:rsid w:val="00B926D9"/>
    <w:rsid w:val="00B947D7"/>
    <w:rsid w:val="00B95DC0"/>
    <w:rsid w:val="00B96B2C"/>
    <w:rsid w:val="00BA02BF"/>
    <w:rsid w:val="00BA362A"/>
    <w:rsid w:val="00BA50A8"/>
    <w:rsid w:val="00BA5538"/>
    <w:rsid w:val="00BB00FE"/>
    <w:rsid w:val="00BB03D3"/>
    <w:rsid w:val="00BB3FC0"/>
    <w:rsid w:val="00BB6462"/>
    <w:rsid w:val="00BB6C2C"/>
    <w:rsid w:val="00BB6DF2"/>
    <w:rsid w:val="00BB7191"/>
    <w:rsid w:val="00BB7271"/>
    <w:rsid w:val="00BC13DC"/>
    <w:rsid w:val="00BC1645"/>
    <w:rsid w:val="00BC482C"/>
    <w:rsid w:val="00BC633E"/>
    <w:rsid w:val="00BC7256"/>
    <w:rsid w:val="00BD2752"/>
    <w:rsid w:val="00BD29B4"/>
    <w:rsid w:val="00BD4705"/>
    <w:rsid w:val="00BD64DE"/>
    <w:rsid w:val="00BD65B3"/>
    <w:rsid w:val="00BE0D0B"/>
    <w:rsid w:val="00BE27DF"/>
    <w:rsid w:val="00BE30B2"/>
    <w:rsid w:val="00BE3289"/>
    <w:rsid w:val="00BE4E08"/>
    <w:rsid w:val="00BE5817"/>
    <w:rsid w:val="00BE5C32"/>
    <w:rsid w:val="00BF5333"/>
    <w:rsid w:val="00BF5777"/>
    <w:rsid w:val="00C02CCD"/>
    <w:rsid w:val="00C04B54"/>
    <w:rsid w:val="00C0704A"/>
    <w:rsid w:val="00C104EB"/>
    <w:rsid w:val="00C11E90"/>
    <w:rsid w:val="00C135AA"/>
    <w:rsid w:val="00C13F1E"/>
    <w:rsid w:val="00C1427F"/>
    <w:rsid w:val="00C14564"/>
    <w:rsid w:val="00C15DE1"/>
    <w:rsid w:val="00C17123"/>
    <w:rsid w:val="00C21E99"/>
    <w:rsid w:val="00C24B47"/>
    <w:rsid w:val="00C25F16"/>
    <w:rsid w:val="00C26CA7"/>
    <w:rsid w:val="00C26DA3"/>
    <w:rsid w:val="00C309BF"/>
    <w:rsid w:val="00C33BC6"/>
    <w:rsid w:val="00C33D0D"/>
    <w:rsid w:val="00C45311"/>
    <w:rsid w:val="00C46BE1"/>
    <w:rsid w:val="00C511D7"/>
    <w:rsid w:val="00C52929"/>
    <w:rsid w:val="00C60B79"/>
    <w:rsid w:val="00C60C05"/>
    <w:rsid w:val="00C62D78"/>
    <w:rsid w:val="00C64B89"/>
    <w:rsid w:val="00C64F82"/>
    <w:rsid w:val="00C65D47"/>
    <w:rsid w:val="00C70414"/>
    <w:rsid w:val="00C762B1"/>
    <w:rsid w:val="00C7789E"/>
    <w:rsid w:val="00C80561"/>
    <w:rsid w:val="00C81DE9"/>
    <w:rsid w:val="00C820C8"/>
    <w:rsid w:val="00C84696"/>
    <w:rsid w:val="00C86727"/>
    <w:rsid w:val="00C86998"/>
    <w:rsid w:val="00C86AB9"/>
    <w:rsid w:val="00C90FEE"/>
    <w:rsid w:val="00C918C6"/>
    <w:rsid w:val="00C95B8C"/>
    <w:rsid w:val="00C96433"/>
    <w:rsid w:val="00C96ABE"/>
    <w:rsid w:val="00C97F6A"/>
    <w:rsid w:val="00CA368E"/>
    <w:rsid w:val="00CA5655"/>
    <w:rsid w:val="00CA70E6"/>
    <w:rsid w:val="00CB0F6A"/>
    <w:rsid w:val="00CB7BDB"/>
    <w:rsid w:val="00CC45DD"/>
    <w:rsid w:val="00CC4AD1"/>
    <w:rsid w:val="00CC4F3D"/>
    <w:rsid w:val="00CC7AC2"/>
    <w:rsid w:val="00CD4A14"/>
    <w:rsid w:val="00CD5F27"/>
    <w:rsid w:val="00CE380F"/>
    <w:rsid w:val="00CE4543"/>
    <w:rsid w:val="00CE6794"/>
    <w:rsid w:val="00CE785C"/>
    <w:rsid w:val="00CE7D07"/>
    <w:rsid w:val="00CE7DD6"/>
    <w:rsid w:val="00CF04E8"/>
    <w:rsid w:val="00CF1A72"/>
    <w:rsid w:val="00CF3F5F"/>
    <w:rsid w:val="00CF417F"/>
    <w:rsid w:val="00CF4E30"/>
    <w:rsid w:val="00CF60FD"/>
    <w:rsid w:val="00CF6647"/>
    <w:rsid w:val="00D05AD4"/>
    <w:rsid w:val="00D06DAB"/>
    <w:rsid w:val="00D07E4A"/>
    <w:rsid w:val="00D15718"/>
    <w:rsid w:val="00D22C0A"/>
    <w:rsid w:val="00D23EC0"/>
    <w:rsid w:val="00D25235"/>
    <w:rsid w:val="00D30C01"/>
    <w:rsid w:val="00D3147A"/>
    <w:rsid w:val="00D317C6"/>
    <w:rsid w:val="00D41267"/>
    <w:rsid w:val="00D5085D"/>
    <w:rsid w:val="00D50939"/>
    <w:rsid w:val="00D5445A"/>
    <w:rsid w:val="00D54572"/>
    <w:rsid w:val="00D55924"/>
    <w:rsid w:val="00D63BD6"/>
    <w:rsid w:val="00D65F49"/>
    <w:rsid w:val="00D6777C"/>
    <w:rsid w:val="00D7144F"/>
    <w:rsid w:val="00D714E2"/>
    <w:rsid w:val="00D71A0A"/>
    <w:rsid w:val="00D71E8F"/>
    <w:rsid w:val="00D757FF"/>
    <w:rsid w:val="00D77243"/>
    <w:rsid w:val="00D77916"/>
    <w:rsid w:val="00D917CF"/>
    <w:rsid w:val="00D929B9"/>
    <w:rsid w:val="00D942C7"/>
    <w:rsid w:val="00D945BE"/>
    <w:rsid w:val="00D9520D"/>
    <w:rsid w:val="00DA37EA"/>
    <w:rsid w:val="00DA54DA"/>
    <w:rsid w:val="00DA59FD"/>
    <w:rsid w:val="00DA61E6"/>
    <w:rsid w:val="00DB114E"/>
    <w:rsid w:val="00DB4167"/>
    <w:rsid w:val="00DB5125"/>
    <w:rsid w:val="00DD069A"/>
    <w:rsid w:val="00DD17DC"/>
    <w:rsid w:val="00DD5131"/>
    <w:rsid w:val="00DD6BE8"/>
    <w:rsid w:val="00DD7EBA"/>
    <w:rsid w:val="00DE0DCD"/>
    <w:rsid w:val="00DE3BD0"/>
    <w:rsid w:val="00DE4F3E"/>
    <w:rsid w:val="00DE6321"/>
    <w:rsid w:val="00DF15B8"/>
    <w:rsid w:val="00DF3E93"/>
    <w:rsid w:val="00E006AB"/>
    <w:rsid w:val="00E008C5"/>
    <w:rsid w:val="00E044E3"/>
    <w:rsid w:val="00E044E8"/>
    <w:rsid w:val="00E047C1"/>
    <w:rsid w:val="00E05A73"/>
    <w:rsid w:val="00E07135"/>
    <w:rsid w:val="00E10C80"/>
    <w:rsid w:val="00E22152"/>
    <w:rsid w:val="00E22DEC"/>
    <w:rsid w:val="00E30435"/>
    <w:rsid w:val="00E30607"/>
    <w:rsid w:val="00E31567"/>
    <w:rsid w:val="00E31642"/>
    <w:rsid w:val="00E317E0"/>
    <w:rsid w:val="00E40DD6"/>
    <w:rsid w:val="00E44AAE"/>
    <w:rsid w:val="00E471FB"/>
    <w:rsid w:val="00E50596"/>
    <w:rsid w:val="00E50A28"/>
    <w:rsid w:val="00E52188"/>
    <w:rsid w:val="00E55F09"/>
    <w:rsid w:val="00E560FE"/>
    <w:rsid w:val="00E56263"/>
    <w:rsid w:val="00E570BC"/>
    <w:rsid w:val="00E60D29"/>
    <w:rsid w:val="00E60E3A"/>
    <w:rsid w:val="00E614B5"/>
    <w:rsid w:val="00E71CAD"/>
    <w:rsid w:val="00E7278F"/>
    <w:rsid w:val="00E74336"/>
    <w:rsid w:val="00E75945"/>
    <w:rsid w:val="00E763FF"/>
    <w:rsid w:val="00E80AB4"/>
    <w:rsid w:val="00E82238"/>
    <w:rsid w:val="00E84BC8"/>
    <w:rsid w:val="00E8718D"/>
    <w:rsid w:val="00E8792F"/>
    <w:rsid w:val="00E87974"/>
    <w:rsid w:val="00E90DEF"/>
    <w:rsid w:val="00E91CED"/>
    <w:rsid w:val="00E9206E"/>
    <w:rsid w:val="00E9378C"/>
    <w:rsid w:val="00E95633"/>
    <w:rsid w:val="00E9647C"/>
    <w:rsid w:val="00E975A7"/>
    <w:rsid w:val="00E97A2D"/>
    <w:rsid w:val="00EA09ED"/>
    <w:rsid w:val="00EA1E5F"/>
    <w:rsid w:val="00EA50E4"/>
    <w:rsid w:val="00EA6321"/>
    <w:rsid w:val="00EB0FAA"/>
    <w:rsid w:val="00EB4D5C"/>
    <w:rsid w:val="00EB7B38"/>
    <w:rsid w:val="00EC24F8"/>
    <w:rsid w:val="00EC5F30"/>
    <w:rsid w:val="00EC661B"/>
    <w:rsid w:val="00ED068B"/>
    <w:rsid w:val="00ED1B16"/>
    <w:rsid w:val="00ED218D"/>
    <w:rsid w:val="00ED3A6E"/>
    <w:rsid w:val="00ED3EBA"/>
    <w:rsid w:val="00ED7CB3"/>
    <w:rsid w:val="00ED7FC0"/>
    <w:rsid w:val="00EE2699"/>
    <w:rsid w:val="00EE3534"/>
    <w:rsid w:val="00EE3635"/>
    <w:rsid w:val="00EE47BA"/>
    <w:rsid w:val="00EF2A67"/>
    <w:rsid w:val="00EF7413"/>
    <w:rsid w:val="00F02D8D"/>
    <w:rsid w:val="00F0320E"/>
    <w:rsid w:val="00F03814"/>
    <w:rsid w:val="00F054CF"/>
    <w:rsid w:val="00F05812"/>
    <w:rsid w:val="00F0709E"/>
    <w:rsid w:val="00F104D2"/>
    <w:rsid w:val="00F108B5"/>
    <w:rsid w:val="00F108E4"/>
    <w:rsid w:val="00F135A7"/>
    <w:rsid w:val="00F13680"/>
    <w:rsid w:val="00F15FCA"/>
    <w:rsid w:val="00F16552"/>
    <w:rsid w:val="00F17540"/>
    <w:rsid w:val="00F21DBA"/>
    <w:rsid w:val="00F22F22"/>
    <w:rsid w:val="00F24A20"/>
    <w:rsid w:val="00F24DCB"/>
    <w:rsid w:val="00F25FD3"/>
    <w:rsid w:val="00F30A98"/>
    <w:rsid w:val="00F37A74"/>
    <w:rsid w:val="00F402CF"/>
    <w:rsid w:val="00F413D7"/>
    <w:rsid w:val="00F4627F"/>
    <w:rsid w:val="00F4760A"/>
    <w:rsid w:val="00F54AEC"/>
    <w:rsid w:val="00F5686B"/>
    <w:rsid w:val="00F60328"/>
    <w:rsid w:val="00F60923"/>
    <w:rsid w:val="00F60BA3"/>
    <w:rsid w:val="00F62A39"/>
    <w:rsid w:val="00F736C7"/>
    <w:rsid w:val="00F82995"/>
    <w:rsid w:val="00F860C5"/>
    <w:rsid w:val="00F8705B"/>
    <w:rsid w:val="00F9513F"/>
    <w:rsid w:val="00F95305"/>
    <w:rsid w:val="00F97A1C"/>
    <w:rsid w:val="00FA061C"/>
    <w:rsid w:val="00FA067D"/>
    <w:rsid w:val="00FA0F38"/>
    <w:rsid w:val="00FA3DA3"/>
    <w:rsid w:val="00FA406E"/>
    <w:rsid w:val="00FA52B8"/>
    <w:rsid w:val="00FA5CD9"/>
    <w:rsid w:val="00FA6CD2"/>
    <w:rsid w:val="00FA79DB"/>
    <w:rsid w:val="00FB20B2"/>
    <w:rsid w:val="00FB3CA5"/>
    <w:rsid w:val="00FB790F"/>
    <w:rsid w:val="00FC1CFB"/>
    <w:rsid w:val="00FC30A5"/>
    <w:rsid w:val="00FC659B"/>
    <w:rsid w:val="00FC6879"/>
    <w:rsid w:val="00FC7957"/>
    <w:rsid w:val="00FD08E1"/>
    <w:rsid w:val="00FD2D66"/>
    <w:rsid w:val="00FE30DC"/>
    <w:rsid w:val="00FE4703"/>
    <w:rsid w:val="00FE6091"/>
    <w:rsid w:val="00FE6BFC"/>
    <w:rsid w:val="00FF11F1"/>
    <w:rsid w:val="00FF31DB"/>
    <w:rsid w:val="00FF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C37ED"/>
  <w15:chartTrackingRefBased/>
  <w15:docId w15:val="{CF3DB355-53D8-4EA8-A05A-786CAA21E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0A7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0A7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90A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A7A"/>
  </w:style>
  <w:style w:type="paragraph" w:styleId="Footer">
    <w:name w:val="footer"/>
    <w:basedOn w:val="Normal"/>
    <w:link w:val="FooterChar"/>
    <w:uiPriority w:val="99"/>
    <w:unhideWhenUsed/>
    <w:rsid w:val="00090A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A7A"/>
  </w:style>
  <w:style w:type="paragraph" w:styleId="NormalWeb">
    <w:name w:val="Normal (Web)"/>
    <w:basedOn w:val="Normal"/>
    <w:unhideWhenUsed/>
    <w:rsid w:val="00090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A7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090A7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90A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0A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0A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A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0A7A"/>
    <w:rPr>
      <w:b/>
      <w:bCs/>
      <w:sz w:val="20"/>
      <w:szCs w:val="20"/>
    </w:rPr>
  </w:style>
  <w:style w:type="character" w:customStyle="1" w:styleId="ListParagraphChar">
    <w:name w:val="List Paragraph Char"/>
    <w:link w:val="ListParagraph"/>
    <w:locked/>
    <w:rsid w:val="00090A7A"/>
  </w:style>
  <w:style w:type="paragraph" w:styleId="BodyText3">
    <w:name w:val="Body Text 3"/>
    <w:basedOn w:val="Normal"/>
    <w:link w:val="BodyText3Char"/>
    <w:semiHidden/>
    <w:unhideWhenUsed/>
    <w:rsid w:val="00682DC0"/>
    <w:pPr>
      <w:spacing w:after="0" w:line="360" w:lineRule="auto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682DC0"/>
    <w:rPr>
      <w:rFonts w:ascii="Times New Roman" w:eastAsia="Times New Roman" w:hAnsi="Times New Roman" w:cs="Times New Roman"/>
      <w:noProof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3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2026-01-19T10:14:07Z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2026-01-16T00:00:00Z</Date_x0020_protokolli>
    <Titulli xmlns="0e656187-b300-4fb0-8bf4-3a50f872073c">Për përcaktimin e procedurave të hollësishme për kalimin e pronësisë së truallit shtetëror në përdorim dhe miratimin e modelit të aktit të kalimit në pronësi</Titulli>
    <Modifikuesi xmlns="0e656187-b300-4fb0-8bf4-3a50f872073c">Etlevahaxhia</Modifikuesi>
    <Nr_x002e__x0020_prot_x0020_QBZ xmlns="0e656187-b300-4fb0-8bf4-3a50f872073c">87</Nr_x002e__x0020_prot_x0020_QBZ>
    <Data_x0020_e_x0020_Modifikimit xmlns="0e656187-b300-4fb0-8bf4-3a50f872073c">2026-01-19T12:23:48Z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040B4CC4854069B0D1ABE9ABD110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040B4CC4854069B0D1ABE9ABD110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4806F-60C2-4B95-9FDC-6841B38D9956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B27DC71-BF22-4E17-82E6-06466D8992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A37949-C096-47DE-AD12-234BB93E3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A7C6C0-FD34-48DB-A719-8009845D21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B58A3D-B50A-41B0-BC12-FD19FE9BC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991573-C815-4EFC-9235-E219936BE0A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3661</Words>
  <Characters>20870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 të hollësishme për kalimin e pronësisë së truallit shtetëror në përdorim dhe miratimin e modelit të aktit të kalimit në pronësi</vt:lpstr>
    </vt:vector>
  </TitlesOfParts>
  <Company/>
  <LinksUpToDate>false</LinksUpToDate>
  <CharactersWithSpaces>24483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 të hollësishme për kalimin e pronësisë së truallit shtetëror në përdorim dhe miratimin e modelit të aktit të kalimit në pronësi</dc:title>
  <dc:creator>Ira Dedej</dc:creator>
  <cp:lastModifiedBy>Ermira Bukaci</cp:lastModifiedBy>
  <cp:revision>11</cp:revision>
  <cp:lastPrinted>2026-01-13T16:29:00Z</cp:lastPrinted>
  <dcterms:created xsi:type="dcterms:W3CDTF">2026-01-12T18:31:00Z</dcterms:created>
  <dcterms:modified xsi:type="dcterms:W3CDTF">2026-01-19T11:40:00Z</dcterms:modified>
</cp:coreProperties>
</file>