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9A1AB" w14:textId="77777777" w:rsidR="006E7DE3" w:rsidRPr="00DA2EF0" w:rsidRDefault="006E7DE3" w:rsidP="006E7DE3">
      <w:pPr>
        <w:keepNext/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VENDIM</w:t>
      </w:r>
    </w:p>
    <w:p w14:paraId="1FDBCD9A" w14:textId="59C195CA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Nr.</w:t>
      </w:r>
      <w:r w:rsidR="00DA2EF0">
        <w:rPr>
          <w:rFonts w:ascii="Garamond" w:eastAsia="Calibri" w:hAnsi="Garamond" w:cs="Calibri"/>
          <w:b/>
          <w:bCs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193, datë 26.3.2026</w:t>
      </w:r>
    </w:p>
    <w:p w14:paraId="4E6B546D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0692BE6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DA2EF0">
        <w:rPr>
          <w:rFonts w:ascii="Garamond" w:eastAsia="Calibri" w:hAnsi="Garamond"/>
          <w:b/>
          <w:bCs/>
          <w:color w:val="000000"/>
          <w:szCs w:val="24"/>
        </w:rPr>
        <w:t xml:space="preserve">PËR MIRATIMIN E RREGULLAVE SPECIFIKE PËR TRANSFERIMIN OSE DHËNIEN ME QIRA TË </w:t>
      </w:r>
      <w:proofErr w:type="spellStart"/>
      <w:r w:rsidRPr="00DA2EF0">
        <w:rPr>
          <w:rFonts w:ascii="Garamond" w:eastAsia="Calibri" w:hAnsi="Garamond"/>
          <w:b/>
          <w:bCs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b/>
          <w:bCs/>
          <w:color w:val="000000"/>
          <w:szCs w:val="24"/>
        </w:rPr>
        <w:t xml:space="preserve"> DREJTAVE TË PËRDORIMIT TË FREKUENCAVE</w:t>
      </w:r>
    </w:p>
    <w:p w14:paraId="469E4E7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423583D9" w14:textId="7D023BEB" w:rsidR="006E7DE3" w:rsidRPr="00DA2EF0" w:rsidRDefault="006E7DE3" w:rsidP="006E7DE3">
      <w:pPr>
        <w:tabs>
          <w:tab w:val="left" w:pos="674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Në mbështetje të nenit 100 të Kushtetutës dhe të pikës 4, të nenit 71,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54/2024, “Për komunikimet elektronike në Republikën e Shqipërisë”, me propozimin e ministrit të Infrastrukturës dhe Energjisë, Këshilli i Ministrave</w:t>
      </w:r>
    </w:p>
    <w:p w14:paraId="1A0FFA6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7205B102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VENDOSI</w:t>
      </w: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:</w:t>
      </w:r>
    </w:p>
    <w:p w14:paraId="5F647C0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2CF724B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1. Miratimin e rregullave specifike për transferimin ose dhënien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të frekuencave, sipas rregullores që i bashkëlidhet këtij vendimi dhe është pjesë përbërëse e tij.</w:t>
      </w:r>
    </w:p>
    <w:p w14:paraId="2049145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2. Ngarkohet Autoriteti i Komunikimeve Elektronike dhe Postare për zbatimin e këtij vendimi.</w:t>
      </w:r>
    </w:p>
    <w:p w14:paraId="2E9F2C5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Ky vendim hyn në fuqi pas botimit në Fletoren Zyrtare.</w:t>
      </w:r>
    </w:p>
    <w:p w14:paraId="2B750FC6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  <w:szCs w:val="24"/>
        </w:rPr>
      </w:pPr>
    </w:p>
    <w:p w14:paraId="44EAF6AC" w14:textId="77777777" w:rsidR="006E7DE3" w:rsidRPr="00DA2EF0" w:rsidRDefault="006E7DE3" w:rsidP="006E7DE3">
      <w:pPr>
        <w:keepNext/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aps/>
          <w:color w:val="000000"/>
          <w:szCs w:val="24"/>
        </w:rPr>
      </w:pPr>
      <w:r w:rsidRPr="00DA2EF0">
        <w:rPr>
          <w:rFonts w:ascii="Garamond" w:eastAsia="Calibri" w:hAnsi="Garamond" w:cs="Times New Roman Bold"/>
          <w:bCs/>
          <w:caps/>
          <w:color w:val="000000"/>
          <w:szCs w:val="24"/>
        </w:rPr>
        <w:t>KRYEMINISTËR</w:t>
      </w:r>
    </w:p>
    <w:p w14:paraId="0505F2DD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Times New Roman Bold"/>
          <w:b/>
          <w:bCs/>
          <w:color w:val="000000"/>
          <w:szCs w:val="24"/>
        </w:rPr>
      </w:pPr>
      <w:r w:rsidRPr="00DA2EF0">
        <w:rPr>
          <w:rFonts w:ascii="Garamond" w:eastAsia="Calibri" w:hAnsi="Garamond" w:cs="Times New Roman Bold"/>
          <w:b/>
          <w:bCs/>
          <w:color w:val="000000"/>
          <w:szCs w:val="24"/>
        </w:rPr>
        <w:t xml:space="preserve">Edi </w:t>
      </w:r>
      <w:proofErr w:type="spellStart"/>
      <w:r w:rsidRPr="00DA2EF0">
        <w:rPr>
          <w:rFonts w:ascii="Garamond" w:eastAsia="Calibri" w:hAnsi="Garamond" w:cs="Times New Roman Bold"/>
          <w:b/>
          <w:bCs/>
          <w:color w:val="000000"/>
          <w:szCs w:val="24"/>
        </w:rPr>
        <w:t>Rama</w:t>
      </w:r>
      <w:proofErr w:type="spellEnd"/>
    </w:p>
    <w:p w14:paraId="5042BB9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 Bold"/>
          <w:b/>
          <w:bCs/>
          <w:color w:val="000000"/>
          <w:szCs w:val="24"/>
        </w:rPr>
      </w:pPr>
    </w:p>
    <w:p w14:paraId="2B2439C6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RREGULLA SPECIFIKE</w:t>
      </w:r>
    </w:p>
    <w:p w14:paraId="694B9E0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PËR TRANSFERIMIN OSE DHËNIEN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</w:t>
      </w:r>
    </w:p>
    <w:p w14:paraId="14F95F2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TË PËRDORIMIT TË FREKUENCAVE</w:t>
      </w:r>
    </w:p>
    <w:p w14:paraId="3DC476B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350B4DFB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1</w:t>
      </w:r>
    </w:p>
    <w:p w14:paraId="0DBB678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Qëllimi</w:t>
      </w:r>
    </w:p>
    <w:p w14:paraId="69809677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szCs w:val="24"/>
        </w:rPr>
      </w:pPr>
    </w:p>
    <w:p w14:paraId="051931F2" w14:textId="6CC2B443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1. Kjo rregullore përcakton rregullat specifike për transferimin ose dhënien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të frekuencave ndërmjet subjekteve të autorizuara nga Autoriteti i Komunikimeve Elektronike dhe Postare (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>), sipas parashikimeve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54/2024, “Për komunikimet elektronike në Republikën e Shqipërisë”.</w:t>
      </w:r>
    </w:p>
    <w:p w14:paraId="329DB4C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2. Qëllimi i kësaj rregulloreje është sigurimi i përdorimit efikas të spektrit të frekuencave, në përputhje me objektivat e politikës nëpërmjet një procesi transparent e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jodiskriminues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, në mbrojtje të konkurrencës në treg, të interesit publik, të sigurisë kombëtare dhe të rendit publik. </w:t>
      </w:r>
    </w:p>
    <w:p w14:paraId="672E1CE6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6F178A2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2</w:t>
      </w:r>
    </w:p>
    <w:p w14:paraId="751B076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Përkufizime</w:t>
      </w:r>
    </w:p>
    <w:p w14:paraId="28F6E397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2285D91F" w14:textId="729C441E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Përveç përkufizimeve të dhëna në nenin 4,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54/2024, “Për komunikimet elektronike në Republikën e Shqipërisë”, për qëllime të kësaj rregulloreje, termat e mëposhtëm kanë këto kuptime: </w:t>
      </w:r>
    </w:p>
    <w:p w14:paraId="03E735C2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a) “</w:t>
      </w:r>
      <w:r w:rsidRPr="00DA2EF0">
        <w:rPr>
          <w:rFonts w:ascii="Garamond" w:eastAsia="Calibri" w:hAnsi="Garamond"/>
          <w:b/>
          <w:bCs/>
          <w:color w:val="000000"/>
          <w:szCs w:val="24"/>
        </w:rPr>
        <w:t>Transferim</w:t>
      </w:r>
      <w:r w:rsidRPr="00DA2EF0">
        <w:rPr>
          <w:rFonts w:ascii="Garamond" w:eastAsia="Calibri" w:hAnsi="Garamond"/>
          <w:color w:val="000000"/>
          <w:szCs w:val="24"/>
        </w:rPr>
        <w:t xml:space="preserve">”, kalimi nga një mbajtës i të drejtave të përdorimit të frekuencave (“transferuesi”) të një pjese ose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gjitha frekuencave, të dhëna në përdorim nga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-i, në bazë të një autorizimi individual, te një palë tjetër (“përfituesi”), ku transferuesi heq dorë nga çdo e drejtë e përdorimit të frekuencave, objekt i transferimit;</w:t>
      </w:r>
    </w:p>
    <w:p w14:paraId="58060F7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b) “</w:t>
      </w: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Dhënie me qira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”, dhënie në përdorim nga një mbajtës i të drejtave të përdorimit të frekuencave me autorizim individual (“qiradhënësi”) të një pjese ose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gjitha frekuencave/të drejtave individuale të përdorimit të frekuencave, të dhëna nga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-i, në bazë të një autorizimi individual, te një palë tjetër (“qiramarrësi”), ku qiradhënësi mbetet përgjegjës për plotësimin e të gjitha </w:t>
      </w:r>
      <w:r w:rsidRPr="00DA2EF0">
        <w:rPr>
          <w:rFonts w:ascii="Garamond" w:eastAsia="Calibri" w:hAnsi="Garamond" w:cs="Calibri"/>
          <w:color w:val="000000"/>
          <w:szCs w:val="24"/>
        </w:rPr>
        <w:lastRenderedPageBreak/>
        <w:t>kushteve të autorizimit individual, përfshirë pagesën e tarifave, ndërsa qiramarrësi mban përgjegjësinë për kushtet teknike të përdorimit;</w:t>
      </w:r>
    </w:p>
    <w:p w14:paraId="7B8D419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c) “</w:t>
      </w: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Kushte teknike</w:t>
      </w:r>
      <w:r w:rsidRPr="00DA2EF0">
        <w:rPr>
          <w:rFonts w:ascii="Garamond" w:eastAsia="Calibri" w:hAnsi="Garamond" w:cs="Calibri"/>
          <w:color w:val="000000"/>
          <w:szCs w:val="24"/>
        </w:rPr>
        <w:t>”, kushtet e autorizimit individual me karakter teknik lidhur me kushtet se si mbajtësi i autorizimit individual ruan, zotëron, instalon, mirëmban, përdor e operon pajisjet, që janë subjekt i autorizimit individual për përdorimin e frekuencave;</w:t>
      </w:r>
    </w:p>
    <w:p w14:paraId="75194DFC" w14:textId="20508442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ç) “</w:t>
      </w: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Procedurë standarde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”, procedura e shqyrtimit dhe e vlerësimit me dy faza nga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-i të një kërkese për transferim apo dhënie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për autorizimet individuale, ku rreziku i shtrembërimit të konkurrencës konsiderohet i lartë, sipas përcaktimeve në nenin 72,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54/2024, “Për komunikimet elektronike në Republikën e Shqipërisë”;</w:t>
      </w:r>
    </w:p>
    <w:p w14:paraId="66D1B58E" w14:textId="053D6B7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d) “</w:t>
      </w: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Procedurë e thjeshtuar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”, procedura e shqyrtimit dhe e vlerësimit nga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-i të një kërkese për transferim ose dhënie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të frekuencave të dhëna nga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>-i, në zbatim të nenit 66,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54/2024, “Për komunikimet elektronike në Republikën e Shqipërisë”, kur rreziku i shtrembërimit të konkurrencës konsiderohet i ulët.</w:t>
      </w:r>
    </w:p>
    <w:p w14:paraId="162EEFE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21B6A9F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3</w:t>
      </w:r>
    </w:p>
    <w:p w14:paraId="77A441C6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Parime të përgjithshme</w:t>
      </w:r>
    </w:p>
    <w:p w14:paraId="737C343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7EEC731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1. Transferimi ose dhënia me qira e të drejtave të përdorimit të frekuencave bazohet në parimet e ligjshmërisë, të objektivitetit, të transparencës,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mosdiskriminimit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e të konkurrencës së ndershme.</w:t>
      </w:r>
    </w:p>
    <w:p w14:paraId="5008AB26" w14:textId="55C45C4F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2. Transferimi ose dhënia me qira e</w:t>
      </w:r>
      <w:r w:rsidR="003F5757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të drejtave të përdorimit të frekuencave lejohet vetëm me miratimin paraprak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>-it, në përputhje me objektivat e përgjithshëm politikë të përcaktuar në nenin 5,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54/2024, “Për komunikimet elektronike në Republikën e Shqipërisë” në vijim, ligji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54/2024), si dhe objektivat e politikës spektrale.</w:t>
      </w:r>
    </w:p>
    <w:p w14:paraId="779AB0A3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3. Transferimi ose dhënia me qira e të drejtave të përdorimit të frekuencave synon përdorimin sa më efikas e racional të spektrit, duke nxitur konkurrencën dhe zhvillimin e qëndrueshëm të tregut të komunikimeve elektronike.</w:t>
      </w:r>
    </w:p>
    <w:p w14:paraId="0477434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6E5C70D3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4</w:t>
      </w:r>
    </w:p>
    <w:p w14:paraId="6B6148C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Kërkesat për transferimin ose dhënien me qira të frekuencave</w:t>
      </w:r>
    </w:p>
    <w:p w14:paraId="0E3223D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3496647F" w14:textId="27870764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1. E drejta e transferimit ose e dhënies me qira e të drejtave të përdorimit të frekuencave bëhet me iniciativën e mbajtësit të tyre, sipas përcaktimeve në nenin 71 të ligjit nr.</w:t>
      </w:r>
      <w:r w:rsidR="00DA2EF0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54/2024.</w:t>
      </w:r>
    </w:p>
    <w:p w14:paraId="089A311C" w14:textId="13EF422A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2. Nga procedura e transferimit ose e dhënies me qira në përdorim të frekuencave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përjashtohen rastet e parashikuara në pikën 2, të nenit 71, të ligjit nr.</w:t>
      </w:r>
      <w:r w:rsidR="00DA2EF0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54/2024.</w:t>
      </w:r>
    </w:p>
    <w:p w14:paraId="1E5AB1E7" w14:textId="062C76EE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miraton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përdorimit, kur përmbushen kërkesat për transferim, sipas pikës 5, të nenit 71, të ligjit nr.</w:t>
      </w:r>
      <w:r w:rsidR="00DA2EF0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54/2024.</w:t>
      </w:r>
    </w:p>
    <w:p w14:paraId="18679D46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4.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refuzon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përdorimit, kur:</w:t>
      </w:r>
    </w:p>
    <w:p w14:paraId="5A093C4D" w14:textId="72DB33C5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a) transferimi ose dhënia me qira bie ndesh me rregullat e konkurrencës, sipas përcaktimeve në nenin 72, të ligjit nr.</w:t>
      </w:r>
      <w:r w:rsidR="00DA2EF0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54/2024, përfshirë:</w:t>
      </w:r>
    </w:p>
    <w:p w14:paraId="2F5B46D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i. ndikimin e mundshëm negativ në tregun e shumicës e të pakicës për komunikimet elektronike;</w:t>
      </w:r>
    </w:p>
    <w:p w14:paraId="5BB8888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proofErr w:type="spellStart"/>
      <w:r w:rsidRPr="00DA2EF0">
        <w:rPr>
          <w:rFonts w:ascii="Garamond" w:eastAsia="Calibri" w:hAnsi="Garamond"/>
          <w:color w:val="000000"/>
          <w:szCs w:val="24"/>
        </w:rPr>
        <w:t>ii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. rritjen e përqendrimit të spektrit në një sipërmarrës; </w:t>
      </w:r>
    </w:p>
    <w:p w14:paraId="515AA39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proofErr w:type="spellStart"/>
      <w:r w:rsidRPr="00DA2EF0">
        <w:rPr>
          <w:rFonts w:ascii="Garamond" w:eastAsia="Calibri" w:hAnsi="Garamond"/>
          <w:color w:val="000000"/>
          <w:szCs w:val="24"/>
        </w:rPr>
        <w:t>iii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. rritjen e mundshme të çmimeve në treg, për shkak të transferimit apo dhënies me qira dhe nga efektet e veprimit të njëanshëm; </w:t>
      </w:r>
    </w:p>
    <w:p w14:paraId="1D43D8E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proofErr w:type="spellStart"/>
      <w:r w:rsidRPr="00DA2EF0">
        <w:rPr>
          <w:rFonts w:ascii="Garamond" w:eastAsia="Calibri" w:hAnsi="Garamond"/>
          <w:color w:val="000000"/>
          <w:szCs w:val="24"/>
        </w:rPr>
        <w:t>iv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. rritjen e pengesave hyrëse në treg;</w:t>
      </w:r>
    </w:p>
    <w:p w14:paraId="4EE54DCB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v. ndryshimet e mundshme në cilësinë e ofrimit të shërbimeve pas transferimit.</w:t>
      </w:r>
    </w:p>
    <w:p w14:paraId="4DE634D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b) transferimi apo dhënia me qira ndikon negativisht në funksionimin e rrjeteve ekzistuese të komunikimeve elektronike;</w:t>
      </w:r>
    </w:p>
    <w:p w14:paraId="138622FB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c) transferimi apo dhënia me qira cenon menaxhimin efikas të spektrit;</w:t>
      </w:r>
    </w:p>
    <w:p w14:paraId="1BF8A8DD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ç) preken interesat publikë, siguria kombëtare, rendi publik ose shëndeti publik;</w:t>
      </w:r>
    </w:p>
    <w:p w14:paraId="2D72EA2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lastRenderedPageBreak/>
        <w:t xml:space="preserve">d) në autorizimin individual është përcaktuar që të drejtat e përdorimit nuk janë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transferueshme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>.</w:t>
      </w:r>
    </w:p>
    <w:p w14:paraId="2C8E633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5.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-i, me marrjen e njoftimit fillestar për synimin e një transferimi apo dhënieje me qira të së drejtës së përdorimit nga mbajtësi i tyre, ndërhyn për të parandaluar:</w:t>
      </w:r>
    </w:p>
    <w:p w14:paraId="6D80140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a) përqendrime të tepërta të spektrit te një sipërmarrës ose subjekte të lidhura ekonomikisht;</w:t>
      </w:r>
    </w:p>
    <w:p w14:paraId="658D70D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b) krijimin apo forcimin e pozitave dominuese të një sipërmarrësi;</w:t>
      </w:r>
    </w:p>
    <w:p w14:paraId="7E2DC9C7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c) pengimin e hyrjes së operatorëve të rinj në treg.</w:t>
      </w:r>
    </w:p>
    <w:p w14:paraId="3DA2DEE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6. Të gjitha kushtet teknike, detyrimet dhe kufizimet e parashikuara në autorizimin individual fillestar mbeten të vlefshme dhe detyruese edhe pas kryerjes së transferimit apo dhënies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të frekuencave.</w:t>
      </w:r>
    </w:p>
    <w:p w14:paraId="2C4E882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7. Transferimi i së drejtës nuk nënkupton automatikisht transferimin e detyrimeve, që lidhen me autorizimin individual. Përcaktimi i detyrimeve bëhet nga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>-i në vendimin e miratimit.</w:t>
      </w:r>
    </w:p>
    <w:p w14:paraId="5BCA358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777380E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5</w:t>
      </w:r>
    </w:p>
    <w:p w14:paraId="25264052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Aplikimi për transferim ose dhënie me qira</w:t>
      </w:r>
    </w:p>
    <w:p w14:paraId="477E480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529F18C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Aplikimi për miratimin e transferimit ose të dhënies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 bëhet bashkërisht nga palët e interesuara, sipas formularëve të miratuar nga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për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frekuencave.</w:t>
      </w:r>
    </w:p>
    <w:p w14:paraId="3C856B8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2. Aplikimi për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 kalon në këto faza: </w:t>
      </w:r>
    </w:p>
    <w:p w14:paraId="657AAB20" w14:textId="17F45FE0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a) </w:t>
      </w:r>
      <w:r w:rsidR="00EB62CE" w:rsidRPr="00DA2EF0">
        <w:rPr>
          <w:rFonts w:ascii="Garamond" w:eastAsia="Calibri" w:hAnsi="Garamond"/>
          <w:color w:val="000000"/>
          <w:szCs w:val="24"/>
        </w:rPr>
        <w:t xml:space="preserve">njoftimi </w:t>
      </w:r>
      <w:r w:rsidRPr="00DA2EF0">
        <w:rPr>
          <w:rFonts w:ascii="Garamond" w:eastAsia="Calibri" w:hAnsi="Garamond"/>
          <w:color w:val="000000"/>
          <w:szCs w:val="24"/>
        </w:rPr>
        <w:t>fillestar për synimin e një transferimi apo dhënieje me qira;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 xml:space="preserve"> </w:t>
      </w:r>
    </w:p>
    <w:p w14:paraId="2E03D45A" w14:textId="4B84940E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b) </w:t>
      </w:r>
      <w:r w:rsidR="00EB62CE" w:rsidRPr="00DA2EF0">
        <w:rPr>
          <w:rFonts w:ascii="Garamond" w:eastAsia="Calibri" w:hAnsi="Garamond"/>
          <w:color w:val="000000"/>
          <w:szCs w:val="24"/>
        </w:rPr>
        <w:t xml:space="preserve">njoftimi </w:t>
      </w:r>
      <w:r w:rsidRPr="00DA2EF0">
        <w:rPr>
          <w:rFonts w:ascii="Garamond" w:eastAsia="Calibri" w:hAnsi="Garamond"/>
          <w:color w:val="000000"/>
          <w:szCs w:val="24"/>
        </w:rPr>
        <w:t xml:space="preserve">zyrtar; </w:t>
      </w:r>
    </w:p>
    <w:p w14:paraId="63F63F7C" w14:textId="135A88E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c) </w:t>
      </w:r>
      <w:r w:rsidR="00EB62CE" w:rsidRPr="00DA2EF0">
        <w:rPr>
          <w:rFonts w:ascii="Garamond" w:eastAsia="Calibri" w:hAnsi="Garamond"/>
          <w:color w:val="000000"/>
          <w:szCs w:val="24"/>
        </w:rPr>
        <w:t xml:space="preserve">verifikimi </w:t>
      </w:r>
      <w:r w:rsidRPr="00DA2EF0">
        <w:rPr>
          <w:rFonts w:ascii="Garamond" w:eastAsia="Calibri" w:hAnsi="Garamond"/>
          <w:color w:val="000000"/>
          <w:szCs w:val="24"/>
        </w:rPr>
        <w:t xml:space="preserve">paraprak dhe vlerësimi nga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-i;</w:t>
      </w:r>
    </w:p>
    <w:p w14:paraId="78EE5A20" w14:textId="0D5AD3B4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ç) </w:t>
      </w:r>
      <w:r w:rsidR="00EB62CE" w:rsidRPr="00DA2EF0">
        <w:rPr>
          <w:rFonts w:ascii="Garamond" w:eastAsia="Calibri" w:hAnsi="Garamond"/>
          <w:color w:val="000000"/>
          <w:szCs w:val="24"/>
        </w:rPr>
        <w:t xml:space="preserve">vendimi </w:t>
      </w:r>
      <w:r w:rsidRPr="00DA2EF0">
        <w:rPr>
          <w:rFonts w:ascii="Garamond" w:eastAsia="Calibri" w:hAnsi="Garamond"/>
          <w:color w:val="000000"/>
          <w:szCs w:val="24"/>
        </w:rPr>
        <w:t xml:space="preserve">i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-it. </w:t>
      </w:r>
    </w:p>
    <w:p w14:paraId="6B0474E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miraton formularin e aplikimit për njoftimin zyrtar të transferimit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frekuencave. </w:t>
      </w:r>
    </w:p>
    <w:p w14:paraId="2505EF14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6FB1A36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6</w:t>
      </w:r>
    </w:p>
    <w:p w14:paraId="0CD6E87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Njoftimi fillestar</w:t>
      </w:r>
    </w:p>
    <w:p w14:paraId="2BA1A1E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72CD185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Palët që synojnë të realizojnë një transferim apo dhënie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 njoftojnë së pari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-in nëpërmjet një njoftimi fillestar. </w:t>
      </w:r>
    </w:p>
    <w:p w14:paraId="412BEAB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2. Njoftimi fillestar përmban një informacion të përgjithshëm mbi synimin për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përdorimit, të dhëna sipas autorizimit individual të referuar në këtë njoftim, që paraqitet nga mbajtësi i së drejtës së përdorimit ose bashkërisht nga palët e interesuara. </w:t>
      </w:r>
    </w:p>
    <w:p w14:paraId="4CD86D5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Me marrjen e njoftimit fillestar për synimin e një transferimi apo dhënieje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shqyrton, brenda 10 (dhjetë) ditëve punë, nëse transferimi i të drejtave të përdorimit të frekuencave është i lejuar dhe, në përfundim të këtij afati, u kthen përgjigje palëve të interesuara, duke informuar për kërkesat për vijimin ose jo të transferimit ose të dhënies me qira, sipas përcaktimeve ligjore.</w:t>
      </w:r>
    </w:p>
    <w:p w14:paraId="25E74393" w14:textId="6435E0A2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4. Gjatë shqyrtimit të njoftimit fillestar,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mund të kërkojë sqarime shtesë lidhur me kërkesat përkatëse të autorizimit individual, për të cilin synohet transferimi ose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 xml:space="preserve">dhënia me qira e të drejtave të përdorimit të frekuencave të propozuar. Në këtë rast, sipërmarrësi depoziton informacionin e kërkuar jo më vonë se 10 (dhjetë) ditë pune nga kërkesa e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-it për sqarime.</w:t>
      </w:r>
    </w:p>
    <w:p w14:paraId="3418353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5. Në rastin kur transferimi ose dhënia me qira e së drejtës së përdorimit është e lejuar,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kthen përgjigje dhe udhëzon për dokumentet, që duhet të paraqiten me njoftimin zyrtar.</w:t>
      </w:r>
    </w:p>
    <w:p w14:paraId="1FBF795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6. Në dhënien e përgjigjes për njoftimin fillestar,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mban parasysh parashikimet e nenit 4 të kësaj rregulloreje për rastet e refuzimit të transferimit ose të dhënies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</w:t>
      </w:r>
      <w:r w:rsidRPr="00DA2EF0">
        <w:rPr>
          <w:rFonts w:ascii="Garamond" w:eastAsia="Calibri" w:hAnsi="Garamond"/>
          <w:color w:val="000000"/>
          <w:szCs w:val="24"/>
        </w:rPr>
        <w:lastRenderedPageBreak/>
        <w:t xml:space="preserve">përdorimit. Në rastin kur transferimi ose dhënia me qira nuk lejohet,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merr vendim për refuzimin e kësaj të drejte. </w:t>
      </w:r>
    </w:p>
    <w:p w14:paraId="0F9FEFE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05C43CB4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7</w:t>
      </w:r>
    </w:p>
    <w:p w14:paraId="5459848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Njoftimi zyrtar</w:t>
      </w:r>
    </w:p>
    <w:p w14:paraId="093F1A26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54DAE01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Me marrjen e përgjigjes nga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për lejimin e transferimit apo të dhënies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përdorimit, sipas nenit 6 të kësaj rregulloreje, palët e interesuara kanë të drejtë të paraqesin në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një njoftim zyrtar për transferimin ose dhënien me qira.</w:t>
      </w:r>
    </w:p>
    <w:p w14:paraId="6BD4E791" w14:textId="77777777" w:rsidR="006E7DE3" w:rsidRPr="00DA2EF0" w:rsidRDefault="006E7DE3" w:rsidP="006E7DE3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2. Njoftimi zyrtar bëhet i përbashkët dhe përmban informacionin, si më poshtë vijon:</w:t>
      </w:r>
    </w:p>
    <w:p w14:paraId="61C48B80" w14:textId="417EF7D4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a)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të </w:t>
      </w:r>
      <w:r w:rsidRPr="00DA2EF0">
        <w:rPr>
          <w:rFonts w:ascii="Garamond" w:eastAsia="Calibri" w:hAnsi="Garamond" w:cs="Calibri"/>
          <w:color w:val="000000"/>
          <w:szCs w:val="24"/>
        </w:rPr>
        <w:t>dhënat e plota identifikuese të palëve;</w:t>
      </w:r>
    </w:p>
    <w:p w14:paraId="4C28A802" w14:textId="50572506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b)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të </w:t>
      </w:r>
      <w:r w:rsidRPr="00DA2EF0">
        <w:rPr>
          <w:rFonts w:ascii="Garamond" w:eastAsia="Calibri" w:hAnsi="Garamond" w:cs="Calibri"/>
          <w:color w:val="000000"/>
          <w:szCs w:val="24"/>
        </w:rPr>
        <w:t>dhënat për autorizimin individual dhe brezin e frekuencës, objekt të marrëveshjes;</w:t>
      </w:r>
    </w:p>
    <w:p w14:paraId="4EC22DE4" w14:textId="7C08708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c)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zonën </w:t>
      </w:r>
      <w:r w:rsidRPr="00DA2EF0">
        <w:rPr>
          <w:rFonts w:ascii="Garamond" w:eastAsia="Calibri" w:hAnsi="Garamond" w:cs="Calibri"/>
          <w:color w:val="000000"/>
          <w:szCs w:val="24"/>
        </w:rPr>
        <w:t>gjeografike të shërbimit dhe kapacitetet teknike të përfshira;</w:t>
      </w:r>
    </w:p>
    <w:p w14:paraId="0A676384" w14:textId="0242A1CD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ç)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afatin </w:t>
      </w:r>
      <w:r w:rsidRPr="00DA2EF0">
        <w:rPr>
          <w:rFonts w:ascii="Garamond" w:eastAsia="Calibri" w:hAnsi="Garamond" w:cs="Calibri"/>
          <w:color w:val="000000"/>
          <w:szCs w:val="24"/>
        </w:rPr>
        <w:t>kohor të marrëveshjes dhe natyrën e saj (transferim apo qira);</w:t>
      </w:r>
    </w:p>
    <w:p w14:paraId="3B6170B5" w14:textId="4D87A72B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d)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përshkrimin 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e kushteve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kontraktore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>, duke përfshirë përgjegjësitë teknike dhe financiare;</w:t>
      </w:r>
    </w:p>
    <w:p w14:paraId="242D9A9C" w14:textId="43C0B161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dh)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deklaratën </w:t>
      </w:r>
      <w:r w:rsidRPr="00DA2EF0">
        <w:rPr>
          <w:rFonts w:ascii="Garamond" w:eastAsia="Calibri" w:hAnsi="Garamond" w:cs="Calibri"/>
          <w:color w:val="000000"/>
          <w:szCs w:val="24"/>
        </w:rPr>
        <w:t>mbi ndikimin e pritshëm në treg dhe përdorimin e spektrit;</w:t>
      </w:r>
    </w:p>
    <w:p w14:paraId="049117C2" w14:textId="58AE0C02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e)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datën </w:t>
      </w:r>
      <w:r w:rsidRPr="00DA2EF0">
        <w:rPr>
          <w:rFonts w:ascii="Garamond" w:eastAsia="Calibri" w:hAnsi="Garamond" w:cs="Calibri"/>
          <w:color w:val="000000"/>
          <w:szCs w:val="24"/>
        </w:rPr>
        <w:t>e parashikuar të hyrjes në fuqi të marrëveshjes;</w:t>
      </w:r>
    </w:p>
    <w:p w14:paraId="4D493316" w14:textId="2C6C7840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ë) </w:t>
      </w:r>
      <w:r w:rsidR="00455776" w:rsidRPr="00DA2EF0">
        <w:rPr>
          <w:rFonts w:ascii="Garamond" w:eastAsia="Calibri" w:hAnsi="Garamond" w:cs="Calibri"/>
          <w:color w:val="000000"/>
          <w:szCs w:val="24"/>
        </w:rPr>
        <w:t xml:space="preserve">deklaratën </w:t>
      </w:r>
      <w:r w:rsidRPr="00DA2EF0">
        <w:rPr>
          <w:rFonts w:ascii="Garamond" w:eastAsia="Calibri" w:hAnsi="Garamond" w:cs="Calibri"/>
          <w:color w:val="000000"/>
          <w:szCs w:val="24"/>
        </w:rPr>
        <w:t>për përmbushjen e kushteve të autorizimit.</w:t>
      </w:r>
    </w:p>
    <w:p w14:paraId="0C39A30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Njoftimi zyrtar, sipas modelit të formularit të përcaktuar në pikën 3, të nenit 5, të kësaj rregulloreje, dorëzohet në formë shkresore në zyrat qendrore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-it ose nëpërmjet shërbimit postar, e nënshkruar, e vulosur dhe e mbyllur në zarf.</w:t>
      </w:r>
    </w:p>
    <w:p w14:paraId="1A2FA9F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4. Kërkesa për transferim ose dhënie me qira duhet të jetë e hartuar qartë, të përmbajë qëllimin e saj, të nënshkruhet e të vuloset nga kërkuesi/it, si dhe të shoqërohet me dokumentacionin, që vërteton përmbushjen e kërkesave të pikës 2 të këtij neni.</w:t>
      </w:r>
    </w:p>
    <w:p w14:paraId="3199517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5. Palët njoftuese, në njoftimin zyrtar të paraqitur në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, specifikojnë nëse njoftimi përmban ose jo informacion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konfidencial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, duke dhënë arsyetimin e duhur, kur kërkohet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konfidencialiteti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dhe ruajtja e sekretit tregtar. Në rast dyshimi për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konfidencialitetin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e informacionit,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merr vendim për ruajtjen e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konfidencialitetit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pasi të ketë dëgjuar e vlerësuar interesat e sipërmarrësit, që zotëron informacionin.</w:t>
      </w:r>
    </w:p>
    <w:p w14:paraId="61D5F932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68C5E64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8</w:t>
      </w:r>
    </w:p>
    <w:p w14:paraId="0B1F257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 xml:space="preserve">Verifikimi paraprak i njoftimit zyrtar </w:t>
      </w:r>
    </w:p>
    <w:p w14:paraId="44ECA4D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457B98F4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Me marrjen e njoftimit zyrtar,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bën verifikimin paraprak të aplikimit brenda 5 (pesë) ditëve punë për të përcaktuar nëse kjo kërkesë kalon në fazën e vlerësimit. Në veçanti, por pa u kufizuar,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verifikon:</w:t>
      </w:r>
    </w:p>
    <w:p w14:paraId="31A796D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a) nëse janë dhënë të gjitha informacionet e kërkuara;</w:t>
      </w:r>
    </w:p>
    <w:p w14:paraId="05538E6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b) që palët njoftuese kanë një autorizim individual;</w:t>
      </w:r>
    </w:p>
    <w:p w14:paraId="718AD164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c) nëse është një transferim apo dhënie me qira e të drejtave të përdorimit të frekuencave, që zbatohet sipas kësaj rregulloreje;</w:t>
      </w:r>
    </w:p>
    <w:p w14:paraId="758FF092" w14:textId="4B38BCE1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ç) që përdorimi i propozuar përputhet me qëllimin/shërbimet e lejuara në një regjim të caktuar autorizimi individual ose me autorizimin e përgjithshëm për ofrimin e rrjeteve ose të shërbimeve të komunikimeve elektronike, sipas ligjit nr.</w:t>
      </w:r>
      <w:r w:rsidR="00091F02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>54/2024;</w:t>
      </w:r>
    </w:p>
    <w:p w14:paraId="2E0D0BF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d) nëse janë kryer të gjitha pagesat, tarifat e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radiokomunikacionit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për autorizimin individual në lidhje me të drejtat e veçanta të përdorimit; </w:t>
      </w:r>
    </w:p>
    <w:p w14:paraId="45921253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dh) që nuk ka njoftim/e apo vendime lidhur me revokimin e autorizimit individual, që i nënshtrohet transferimit ose dhënies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të frekuencave.</w:t>
      </w:r>
    </w:p>
    <w:p w14:paraId="0FD5C815" w14:textId="348F7AD0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2.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kontrollon</w:t>
      </w:r>
      <w:r w:rsidR="00F06CA1">
        <w:rPr>
          <w:rFonts w:ascii="Garamond" w:eastAsia="Calibri" w:hAnsi="Garamond"/>
          <w:color w:val="000000"/>
          <w:szCs w:val="24"/>
        </w:rPr>
        <w:t>,</w:t>
      </w:r>
      <w:r w:rsidRPr="00DA2EF0">
        <w:rPr>
          <w:rFonts w:ascii="Garamond" w:eastAsia="Calibri" w:hAnsi="Garamond"/>
          <w:color w:val="000000"/>
          <w:szCs w:val="24"/>
        </w:rPr>
        <w:t xml:space="preserve"> gjithashtu</w:t>
      </w:r>
      <w:r w:rsidR="00F06CA1">
        <w:rPr>
          <w:rFonts w:ascii="Garamond" w:eastAsia="Calibri" w:hAnsi="Garamond"/>
          <w:color w:val="000000"/>
          <w:szCs w:val="24"/>
        </w:rPr>
        <w:t>,</w:t>
      </w:r>
      <w:r w:rsidRPr="00DA2EF0">
        <w:rPr>
          <w:rFonts w:ascii="Garamond" w:eastAsia="Calibri" w:hAnsi="Garamond"/>
          <w:color w:val="000000"/>
          <w:szCs w:val="24"/>
        </w:rPr>
        <w:t xml:space="preserve"> që çdo kërkesë për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konfidencialitet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të trajtohet dhe të zgjidhet në përputhje me legjislacionin në fuqi për ruajtjen e sekretit tregtar.</w:t>
      </w:r>
    </w:p>
    <w:p w14:paraId="17697D83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lastRenderedPageBreak/>
        <w:t xml:space="preserve">3.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kërkon sqarime ose dokumente shtesë, nëse informacioni është i paplotë.</w:t>
      </w:r>
    </w:p>
    <w:p w14:paraId="4500C0B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4.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ka të drejtë ta refuzojë shqyrtimin deri në plotësimin e të gjitha kërkesave.</w:t>
      </w:r>
    </w:p>
    <w:p w14:paraId="48ECFF52" w14:textId="14469BF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5. Nëse, në përfundim të verifikimit paraprak,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konstaton që njoftimi është i plotë dhe në përputhje me kërkesat për lejimin e transferimit ose dhënien me qira, njofton palët për fillimin e procesit të vlerësimit brenda afatit të përcaktuar në pikën 1 të këtij neni.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</w:p>
    <w:p w14:paraId="470BCF6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2B20310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9</w:t>
      </w:r>
    </w:p>
    <w:p w14:paraId="0D05C37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Procedura e vlerësimit</w:t>
      </w:r>
    </w:p>
    <w:p w14:paraId="31298C78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  <w:szCs w:val="24"/>
        </w:rPr>
      </w:pPr>
    </w:p>
    <w:p w14:paraId="21FEAD5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kryen procesin e vlerësimit të aplikimit me dy faza, si më poshtë vijon:</w:t>
      </w:r>
    </w:p>
    <w:p w14:paraId="424BA81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a) Vlerësimi i fazës së parë;</w:t>
      </w:r>
    </w:p>
    <w:p w14:paraId="6B7D100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b) Vlerësimi i thelluar. </w:t>
      </w:r>
    </w:p>
    <w:p w14:paraId="37DD2F9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2. Vlerësimi i fazës së parë fillon pas njoftimit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-it, sipas pikës 5, të nenit 8, të kësaj rregulloreje. Data e njoftimit përcakton dhe datën e fillimit të vlerësimit të fazës së parë.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kryen vlerësimin sipas fazës së parë brenda 30 (tridhjetë) ditëve nga marrja e njoftimit zyrtar.</w:t>
      </w:r>
    </w:p>
    <w:p w14:paraId="3B788E1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Vlerësimi i fazës së parë kryhet për të gjitha aplikimet, si për procedurën standarde dhe atë të thjeshtuar, brenda 30 ditëve nga data e njoftimit të dërguar nga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-i, sipas pikës 5, të nenit 8, të kësaj rregulloreje.</w:t>
      </w:r>
    </w:p>
    <w:p w14:paraId="1AF03CC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4. Gjatë fazës së parë të vlerësimit,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-i, pasi ka shqyrtuar informacionin e dhënë për transferimin apo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frekuencave, bën vlerësimin bazuar, si më poshtë:</w:t>
      </w:r>
    </w:p>
    <w:p w14:paraId="0D58AD7C" w14:textId="2D2A4DBB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a)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nëse </w:t>
      </w:r>
      <w:r w:rsidRPr="00DA2EF0">
        <w:rPr>
          <w:rFonts w:ascii="Garamond" w:eastAsia="Calibri" w:hAnsi="Garamond" w:cs="Calibri"/>
          <w:color w:val="000000"/>
          <w:szCs w:val="24"/>
        </w:rPr>
        <w:t>nga procesi do të rezultonte një shtrembërim i konkurrencës në treg për rrjetet ekzistuese dhe të reja;</w:t>
      </w:r>
    </w:p>
    <w:p w14:paraId="1E0425F2" w14:textId="649A7D54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b)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nëse 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nga procesi paraqitet një rrezik i qartë që mbajtësi i ri nuk është në gjendje të përmbushë kushtet fillestare për të drejtën e përdorimit; </w:t>
      </w:r>
    </w:p>
    <w:p w14:paraId="20307BB9" w14:textId="7EDB497D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c)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përputhshmërinë me kërkesat ligjore;</w:t>
      </w:r>
    </w:p>
    <w:p w14:paraId="7F0734A1" w14:textId="1C1481FF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ç)</w:t>
      </w:r>
      <w:r w:rsidR="00091F02">
        <w:rPr>
          <w:rFonts w:ascii="Garamond" w:eastAsia="Calibri" w:hAnsi="Garamond" w:cs="Calibri"/>
          <w:color w:val="000000"/>
          <w:szCs w:val="24"/>
        </w:rPr>
        <w:t xml:space="preserve">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kriterin ekonomik e konkurrues për të identifikuar nëse marrëveshja krijon pozita dominuese apo kufizon hyrjen në treg;</w:t>
      </w:r>
    </w:p>
    <w:p w14:paraId="527B0F2E" w14:textId="32C9C4D4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d)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kriterin që përdorimi i spektrit do të mbetet në përputhje me rregulloret ekzistuese;</w:t>
      </w:r>
    </w:p>
    <w:p w14:paraId="560239F1" w14:textId="1A0D36D6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dh)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kriterin ligjor të përputhshmërisë me detyrimet e autorizimit individual</w:t>
      </w:r>
      <w:r w:rsidR="003F5757">
        <w:rPr>
          <w:rFonts w:ascii="Garamond" w:eastAsia="Calibri" w:hAnsi="Garamond" w:cs="Calibri"/>
          <w:color w:val="000000"/>
          <w:szCs w:val="24"/>
        </w:rPr>
        <w:t xml:space="preserve"> </w:t>
      </w:r>
      <w:r w:rsidRPr="00DA2EF0">
        <w:rPr>
          <w:rFonts w:ascii="Garamond" w:eastAsia="Calibri" w:hAnsi="Garamond" w:cs="Calibri"/>
          <w:color w:val="000000"/>
          <w:szCs w:val="24"/>
        </w:rPr>
        <w:t xml:space="preserve"> dhe me ligjin për komunikimet elektronike;</w:t>
      </w:r>
    </w:p>
    <w:p w14:paraId="2E75B169" w14:textId="465B7D32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e)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vlerësimin nëse transaksioni krijon përqendrim të tepërt të spektrit në një operator të vetëm;</w:t>
      </w:r>
    </w:p>
    <w:p w14:paraId="7423E155" w14:textId="15FC6DEE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ë)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kontrollin e përputhjes ligjore dhe administrative;</w:t>
      </w:r>
    </w:p>
    <w:p w14:paraId="1F887211" w14:textId="5C899B56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f) </w:t>
      </w:r>
      <w:r w:rsidR="00C336BC" w:rsidRPr="00DA2EF0">
        <w:rPr>
          <w:rFonts w:ascii="Garamond" w:eastAsia="Calibri" w:hAnsi="Garamond" w:cs="Calibri"/>
          <w:color w:val="000000"/>
          <w:szCs w:val="24"/>
        </w:rPr>
        <w:t xml:space="preserve">mbi </w:t>
      </w:r>
      <w:r w:rsidRPr="00DA2EF0">
        <w:rPr>
          <w:rFonts w:ascii="Garamond" w:eastAsia="Calibri" w:hAnsi="Garamond" w:cs="Calibri"/>
          <w:color w:val="000000"/>
          <w:szCs w:val="24"/>
        </w:rPr>
        <w:t>analizën e ndikimit në cilësinë e shërbimit dhe në konsumatorët përfundimtarë.</w:t>
      </w:r>
    </w:p>
    <w:p w14:paraId="508CB723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5. Nëse në përfundim të vlerësimit të fazës së parë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arrin në konkluzionin që nuk ka rreziqe për shtrembërimin e konkurrencës ose nuk ka rrezik për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mospërmbushje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të kushteve fillestare të autorizimit individual,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merr vendimin për miratimin e aplikimit, sipas nenit 10 të kësaj rregulloreje.</w:t>
      </w:r>
    </w:p>
    <w:p w14:paraId="415AA61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6. Vlerësimi i thelluar fillon në përfundim të vlerësimit të fazës së parë në rastet, si më poshtë: </w:t>
      </w:r>
    </w:p>
    <w:p w14:paraId="4DA18050" w14:textId="33BC089A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a) </w:t>
      </w:r>
      <w:r w:rsidR="00B409E2" w:rsidRPr="00DA2EF0">
        <w:rPr>
          <w:rFonts w:ascii="Garamond" w:eastAsia="Calibri" w:hAnsi="Garamond"/>
          <w:color w:val="000000"/>
          <w:szCs w:val="24"/>
        </w:rPr>
        <w:t xml:space="preserve">kur </w:t>
      </w:r>
      <w:r w:rsidRPr="00DA2EF0">
        <w:rPr>
          <w:rFonts w:ascii="Garamond" w:eastAsia="Calibri" w:hAnsi="Garamond"/>
          <w:color w:val="000000"/>
          <w:szCs w:val="24"/>
        </w:rPr>
        <w:t xml:space="preserve">vlerëson se transferimi ose dhënia me qira e të drejtave të përdorimit të frekuencave të propozuar mund të çojë në shtrembërim të konkurrencës; </w:t>
      </w:r>
    </w:p>
    <w:p w14:paraId="47C4685C" w14:textId="5D31CB3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 xml:space="preserve">b) </w:t>
      </w:r>
      <w:r w:rsidR="00B409E2" w:rsidRPr="00DA2EF0">
        <w:rPr>
          <w:rFonts w:ascii="Garamond" w:eastAsia="Calibri" w:hAnsi="Garamond" w:cs="Calibri"/>
          <w:color w:val="000000"/>
          <w:szCs w:val="24"/>
        </w:rPr>
        <w:t xml:space="preserve">kur </w:t>
      </w:r>
      <w:r w:rsidRPr="00DA2EF0">
        <w:rPr>
          <w:rFonts w:ascii="Garamond" w:eastAsia="Calibri" w:hAnsi="Garamond" w:cs="Calibri"/>
          <w:color w:val="000000"/>
          <w:szCs w:val="24"/>
        </w:rPr>
        <w:t>ka dyshime që përfituesi nuk është në gjendje të përmbushë në mënyrë të qëndrueshme kushtet origjinale të autorizimit individual.</w:t>
      </w:r>
    </w:p>
    <w:p w14:paraId="54E46F75" w14:textId="531B35C3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7.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kryen vlerësimin e thelluar brenda 90 (nëntëdhjetë) ditëve nga përfundimi i vlerësimit të fazës së parë.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</w:p>
    <w:p w14:paraId="5A94B3C5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8.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njofton me shkrim palët njoftuese lidhur me vijimin e procesit të vlerësimit të thelluar të aplikimit.</w:t>
      </w:r>
    </w:p>
    <w:p w14:paraId="15C1655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9.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kërkon, për këtë qëllim, informacione të mëtejshme nga palët njoftuese për të ndihmuar në procesin e vlerësimit të thelluar.</w:t>
      </w:r>
    </w:p>
    <w:p w14:paraId="375A3744" w14:textId="371DD923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lastRenderedPageBreak/>
        <w:t xml:space="preserve">10. Gjatë vlerësimit të thelluar,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-i, sipas parashikimeve në pikën 4, të nenit 72, të ligjit nr.</w:t>
      </w:r>
      <w:r w:rsidR="00091F02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 xml:space="preserve">54/2024, merr mendimin e Autoritetit te Konkurrencës në lidhje me rrezikun e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dominancës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dhe shtrembërimit të konkurrencës në treg.</w:t>
      </w:r>
    </w:p>
    <w:p w14:paraId="1B06F210" w14:textId="53CFD5F3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11.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 merr mendimin e ministrit në rastin e ndryshimeve të rëndësishme të lidhura me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frekuencave, të dhëna me konkurrim publik, sipas parashikimeve në ligjin nr.</w:t>
      </w:r>
      <w:r w:rsidR="00091F02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54/2024, të cilat ndikojnë në përmbushjen e objektivave të përgjithshëm politikë, sipas pikës 1, të nenit 5, të ligjit nr.</w:t>
      </w:r>
      <w:r w:rsidR="00091F02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54/2024.</w:t>
      </w:r>
    </w:p>
    <w:p w14:paraId="748118CA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12. Në përfundim të vlerësimit të thelluar dhe pas marrjes së mendimit të Autoritetit të Konkurrencës dhe, sipas rastit, dhe të ministrit,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merr vendim për miratimin ose refuzimin e aplikimit.</w:t>
      </w:r>
    </w:p>
    <w:p w14:paraId="17A0FA7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13. Vendimi i arsyetuar i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-it u njoftohet palëve, sipas legjislacionit në fuqi dhe publikohet në faqen zyrtare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-it.</w:t>
      </w:r>
    </w:p>
    <w:p w14:paraId="15B47AAC" w14:textId="6E679204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14. Kundër vendimit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-it, palët njoftuese dhe çdo palë tjetër e interesuar kanë të drejtë të paraqesin ankim jo më vonë se 45 (dyzet e pesë) ditë nga data e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njoftimit të tij.</w:t>
      </w:r>
      <w:r w:rsidR="003F5757">
        <w:rPr>
          <w:rFonts w:ascii="Garamond" w:eastAsia="Calibri" w:hAnsi="Garamond"/>
          <w:color w:val="000000"/>
          <w:szCs w:val="24"/>
        </w:rPr>
        <w:t xml:space="preserve"> </w:t>
      </w:r>
    </w:p>
    <w:p w14:paraId="47D2E61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00D2A0E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10</w:t>
      </w:r>
    </w:p>
    <w:p w14:paraId="2B73AAD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 xml:space="preserve">Vendimmarrja e </w:t>
      </w:r>
      <w:proofErr w:type="spellStart"/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-it</w:t>
      </w:r>
    </w:p>
    <w:p w14:paraId="0F6EBE2D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268273D1" w14:textId="0EF384E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Në përfundim të procesit të vlerësimit,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merr vendimin</w:t>
      </w:r>
      <w:r w:rsidR="00F0447F">
        <w:rPr>
          <w:rFonts w:ascii="Garamond" w:eastAsia="Calibri" w:hAnsi="Garamond"/>
          <w:color w:val="000000"/>
          <w:szCs w:val="24"/>
        </w:rPr>
        <w:t>,</w:t>
      </w:r>
      <w:r w:rsidRPr="00DA2EF0">
        <w:rPr>
          <w:rFonts w:ascii="Garamond" w:eastAsia="Calibri" w:hAnsi="Garamond"/>
          <w:color w:val="000000"/>
          <w:szCs w:val="24"/>
        </w:rPr>
        <w:t xml:space="preserve"> për: </w:t>
      </w:r>
    </w:p>
    <w:p w14:paraId="75A1E23D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a) miratimin e transferimit ose të dhënies me qira pa kushte;</w:t>
      </w:r>
    </w:p>
    <w:p w14:paraId="5E714764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b) miratimin e transferimit ose të dhënies me qira me kushte specifike;</w:t>
      </w:r>
    </w:p>
    <w:p w14:paraId="3ACCA7E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r w:rsidRPr="00DA2EF0">
        <w:rPr>
          <w:rFonts w:ascii="Garamond" w:eastAsia="Calibri" w:hAnsi="Garamond" w:cs="Calibri"/>
          <w:color w:val="000000"/>
          <w:szCs w:val="24"/>
        </w:rPr>
        <w:t>c) refuzimin e transferimit ose të dhënies me qira, duke dhënë dhe arsyet e refuzimit.</w:t>
      </w:r>
    </w:p>
    <w:p w14:paraId="585274A7" w14:textId="77777777" w:rsidR="006E7DE3" w:rsidRPr="00DA2EF0" w:rsidRDefault="006E7DE3" w:rsidP="006E7DE3">
      <w:pPr>
        <w:tabs>
          <w:tab w:val="left" w:pos="8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2. Vendimi përfundimtar i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-it lidhur me transferimin ose dhënien me qira të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 xml:space="preserve"> drejtave të përdorimit të frekuencave përfshin një përmbledhje të informacionit, të provave dhe të parashtrimeve të shqyrtuara nga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dhe arsyet që mbështesin atë vendim.</w:t>
      </w:r>
    </w:p>
    <w:p w14:paraId="6E5210CB" w14:textId="674FBD8A" w:rsidR="006E7DE3" w:rsidRPr="00DA2EF0" w:rsidRDefault="006E7DE3" w:rsidP="006E7DE3">
      <w:pPr>
        <w:tabs>
          <w:tab w:val="left" w:pos="8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Me miratimin e transferimit ose të dhënies me qira,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lëshon autorizimin e ri individual jo më vonë se 10 (dhjetë) ditë pune nga miratimi, ku përcakton kushtet specifike për kërkesat teknike, të mbulimit, kohëzgjatjen e autorizimit, ose të dhënies me qira, detyrimet e transferuesit dhe përfituesit, si dhe detyrimet e tjera, sipas parashikimeve në ligjin nr.</w:t>
      </w:r>
      <w:r w:rsidR="00091F02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 xml:space="preserve">54/2024, për përdorimin e frekuencave. </w:t>
      </w:r>
    </w:p>
    <w:p w14:paraId="5D5B2BB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 </w:t>
      </w:r>
    </w:p>
    <w:p w14:paraId="0DA7E72B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11</w:t>
      </w:r>
    </w:p>
    <w:p w14:paraId="7D5C032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Regjistrimi i transferimit</w:t>
      </w:r>
    </w:p>
    <w:p w14:paraId="4DF11720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</w:p>
    <w:p w14:paraId="3511167E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-i mban regjistër të veçantë për autorizimet individuale dhe, me miratimin e transferimit ose të dhënies me qira të </w:t>
      </w:r>
      <w:proofErr w:type="spellStart"/>
      <w:r w:rsidRPr="00DA2EF0">
        <w:rPr>
          <w:rFonts w:ascii="Garamond" w:eastAsia="Calibri" w:hAnsi="Garamond" w:cs="Calibri"/>
          <w:color w:val="000000"/>
          <w:szCs w:val="24"/>
        </w:rPr>
        <w:t>të</w:t>
      </w:r>
      <w:proofErr w:type="spellEnd"/>
      <w:r w:rsidRPr="00DA2EF0">
        <w:rPr>
          <w:rFonts w:ascii="Garamond" w:eastAsia="Calibri" w:hAnsi="Garamond" w:cs="Calibri"/>
          <w:color w:val="000000"/>
          <w:szCs w:val="24"/>
        </w:rPr>
        <w:t xml:space="preserve"> drejtave të përdorimit të frekuencave, publikon transferimet ose dhëniet me qira të miratuara në faqen zyrtare të tij.</w:t>
      </w:r>
    </w:p>
    <w:p w14:paraId="6B98C0E1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5E2C6129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Cs/>
          <w:color w:val="000000"/>
          <w:szCs w:val="24"/>
        </w:rPr>
        <w:t>Neni 12</w:t>
      </w:r>
    </w:p>
    <w:p w14:paraId="6798519C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szCs w:val="24"/>
        </w:rPr>
      </w:pPr>
      <w:r w:rsidRPr="00DA2EF0">
        <w:rPr>
          <w:rFonts w:ascii="Garamond" w:eastAsia="Calibri" w:hAnsi="Garamond" w:cs="Calibri"/>
          <w:b/>
          <w:bCs/>
          <w:color w:val="000000"/>
          <w:szCs w:val="24"/>
        </w:rPr>
        <w:t>Mbikëqyrja dhe raportimi</w:t>
      </w:r>
    </w:p>
    <w:p w14:paraId="597FC734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Cs w:val="24"/>
        </w:rPr>
      </w:pPr>
    </w:p>
    <w:p w14:paraId="160A078F" w14:textId="77777777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1.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ushtron mbikëqyrje të vazhdueshme mbi përdorimin e spektrit të transferuar ose të dhënë me qira, për të siguruar pajtueshmërinë me kushtet e autorizimit dhe vendimin e miratimit për kushtet specifike.</w:t>
      </w:r>
    </w:p>
    <w:p w14:paraId="19D0C17C" w14:textId="7927576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>2. Sipërmarrësit janë të detyruar të paraqesin pranë Autoritetit të Komunikimeve Elektronike dhe Postare raporte periodike vjetore mbi përdorimin e frekuencave dhe efektet e marrëveshjeve në treg, si dhe në zbatim të ligjit nr.</w:t>
      </w:r>
      <w:r w:rsidR="00091F02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54/2024.</w:t>
      </w:r>
    </w:p>
    <w:p w14:paraId="789B5EED" w14:textId="75512FC8" w:rsidR="006E7DE3" w:rsidRPr="00DA2EF0" w:rsidRDefault="006E7DE3" w:rsidP="006E7DE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DA2EF0">
        <w:rPr>
          <w:rFonts w:ascii="Garamond" w:eastAsia="Calibri" w:hAnsi="Garamond"/>
          <w:color w:val="000000"/>
          <w:szCs w:val="24"/>
        </w:rPr>
        <w:t xml:space="preserve">3. Në rast të mosrespektimit të kushteve, </w:t>
      </w:r>
      <w:proofErr w:type="spellStart"/>
      <w:r w:rsidRPr="00DA2EF0">
        <w:rPr>
          <w:rFonts w:ascii="Garamond" w:eastAsia="Calibri" w:hAnsi="Garamond"/>
          <w:color w:val="000000"/>
          <w:szCs w:val="24"/>
        </w:rPr>
        <w:t>AKEP</w:t>
      </w:r>
      <w:proofErr w:type="spellEnd"/>
      <w:r w:rsidRPr="00DA2EF0">
        <w:rPr>
          <w:rFonts w:ascii="Garamond" w:eastAsia="Calibri" w:hAnsi="Garamond"/>
          <w:color w:val="000000"/>
          <w:szCs w:val="24"/>
        </w:rPr>
        <w:t>-i merr masat administrative, sipas parashikimeve në ligjin nr.</w:t>
      </w:r>
      <w:r w:rsidR="00091F02">
        <w:rPr>
          <w:rFonts w:ascii="Garamond" w:eastAsia="Calibri" w:hAnsi="Garamond"/>
          <w:color w:val="000000"/>
          <w:szCs w:val="24"/>
        </w:rPr>
        <w:t xml:space="preserve"> </w:t>
      </w:r>
      <w:r w:rsidRPr="00DA2EF0">
        <w:rPr>
          <w:rFonts w:ascii="Garamond" w:eastAsia="Calibri" w:hAnsi="Garamond"/>
          <w:color w:val="000000"/>
          <w:szCs w:val="24"/>
        </w:rPr>
        <w:t>54/2024.</w:t>
      </w:r>
      <w:bookmarkStart w:id="0" w:name="_GoBack"/>
      <w:bookmarkEnd w:id="0"/>
    </w:p>
    <w:p w14:paraId="5F0BA826" w14:textId="42FD5459" w:rsidR="005E37EC" w:rsidRPr="00DA2EF0" w:rsidRDefault="005E37EC" w:rsidP="006E7DE3">
      <w:pPr>
        <w:contextualSpacing/>
        <w:jc w:val="both"/>
        <w:rPr>
          <w:rFonts w:eastAsia="Calibri"/>
          <w:sz w:val="28"/>
        </w:rPr>
      </w:pPr>
    </w:p>
    <w:sectPr w:rsidR="005E37EC" w:rsidRPr="00DA2EF0" w:rsidSect="00DA2EF0">
      <w:footerReference w:type="even" r:id="rId13"/>
      <w:pgSz w:w="12240" w:h="15840"/>
      <w:pgMar w:top="1440" w:right="1440" w:bottom="1080" w:left="1440" w:header="720" w:footer="4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3E54C" w14:textId="77777777" w:rsidR="00DA2EF0" w:rsidRDefault="00DA2EF0">
      <w:r>
        <w:separator/>
      </w:r>
    </w:p>
  </w:endnote>
  <w:endnote w:type="continuationSeparator" w:id="0">
    <w:p w14:paraId="30717024" w14:textId="77777777" w:rsidR="00DA2EF0" w:rsidRDefault="00DA2EF0">
      <w:r>
        <w:continuationSeparator/>
      </w:r>
    </w:p>
  </w:endnote>
  <w:endnote w:type="continuationNotice" w:id="1">
    <w:p w14:paraId="7CFC7F1B" w14:textId="77777777" w:rsidR="00DA2EF0" w:rsidRDefault="00DA2E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E7D65" w14:textId="77777777" w:rsidR="00DA2EF0" w:rsidRDefault="00DA2EF0" w:rsidP="00B93D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F1E7D66" w14:textId="77777777" w:rsidR="00DA2EF0" w:rsidRDefault="00DA2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90030" w14:textId="77777777" w:rsidR="00DA2EF0" w:rsidRDefault="00DA2EF0">
      <w:r>
        <w:separator/>
      </w:r>
    </w:p>
  </w:footnote>
  <w:footnote w:type="continuationSeparator" w:id="0">
    <w:p w14:paraId="443E9796" w14:textId="77777777" w:rsidR="00DA2EF0" w:rsidRDefault="00DA2EF0">
      <w:r>
        <w:continuationSeparator/>
      </w:r>
    </w:p>
  </w:footnote>
  <w:footnote w:type="continuationNotice" w:id="1">
    <w:p w14:paraId="278852C1" w14:textId="77777777" w:rsidR="00DA2EF0" w:rsidRDefault="00DA2EF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80"/>
    <w:multiLevelType w:val="hybridMultilevel"/>
    <w:tmpl w:val="E0C819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1D052E"/>
    <w:multiLevelType w:val="hybridMultilevel"/>
    <w:tmpl w:val="136C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07C0"/>
    <w:multiLevelType w:val="hybridMultilevel"/>
    <w:tmpl w:val="2BB083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74C0B"/>
    <w:multiLevelType w:val="hybridMultilevel"/>
    <w:tmpl w:val="16E4AAC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A2704DA"/>
    <w:multiLevelType w:val="hybridMultilevel"/>
    <w:tmpl w:val="0024D8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B44A7A"/>
    <w:multiLevelType w:val="hybridMultilevel"/>
    <w:tmpl w:val="65E6AF84"/>
    <w:lvl w:ilvl="0" w:tplc="CE02E27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35A73C7"/>
    <w:multiLevelType w:val="hybridMultilevel"/>
    <w:tmpl w:val="D76E567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0033FC"/>
    <w:multiLevelType w:val="hybridMultilevel"/>
    <w:tmpl w:val="A81A91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A6A95"/>
    <w:multiLevelType w:val="hybridMultilevel"/>
    <w:tmpl w:val="4324144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26B3A5C"/>
    <w:multiLevelType w:val="hybridMultilevel"/>
    <w:tmpl w:val="16E6BE46"/>
    <w:lvl w:ilvl="0" w:tplc="FD7E5D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AB7238"/>
    <w:multiLevelType w:val="multilevel"/>
    <w:tmpl w:val="1FBA6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F944D2"/>
    <w:multiLevelType w:val="hybridMultilevel"/>
    <w:tmpl w:val="07CEB564"/>
    <w:lvl w:ilvl="0" w:tplc="6194D4CA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587C45E7"/>
    <w:multiLevelType w:val="hybridMultilevel"/>
    <w:tmpl w:val="6060C970"/>
    <w:lvl w:ilvl="0" w:tplc="60F89F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C75B0"/>
    <w:multiLevelType w:val="hybridMultilevel"/>
    <w:tmpl w:val="A3FEE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F04E6"/>
    <w:multiLevelType w:val="hybridMultilevel"/>
    <w:tmpl w:val="1BAC1A3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EF4938"/>
    <w:multiLevelType w:val="multilevel"/>
    <w:tmpl w:val="DFC04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63C54341"/>
    <w:multiLevelType w:val="multilevel"/>
    <w:tmpl w:val="96861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571CC2"/>
    <w:multiLevelType w:val="hybridMultilevel"/>
    <w:tmpl w:val="1D2C8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C801F5"/>
    <w:multiLevelType w:val="hybridMultilevel"/>
    <w:tmpl w:val="49CCA976"/>
    <w:lvl w:ilvl="0" w:tplc="F46E9F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1D25500"/>
    <w:multiLevelType w:val="hybridMultilevel"/>
    <w:tmpl w:val="856AC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92BAE"/>
    <w:multiLevelType w:val="hybridMultilevel"/>
    <w:tmpl w:val="2ACC3B1A"/>
    <w:lvl w:ilvl="0" w:tplc="8A3CA6A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CA4E09"/>
    <w:multiLevelType w:val="hybridMultilevel"/>
    <w:tmpl w:val="DFC05FB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5"/>
  </w:num>
  <w:num w:numId="10">
    <w:abstractNumId w:val="17"/>
  </w:num>
  <w:num w:numId="11">
    <w:abstractNumId w:val="9"/>
  </w:num>
  <w:num w:numId="12">
    <w:abstractNumId w:val="2"/>
  </w:num>
  <w:num w:numId="13">
    <w:abstractNumId w:val="1"/>
  </w:num>
  <w:num w:numId="14">
    <w:abstractNumId w:val="14"/>
  </w:num>
  <w:num w:numId="15">
    <w:abstractNumId w:val="18"/>
  </w:num>
  <w:num w:numId="16">
    <w:abstractNumId w:val="7"/>
  </w:num>
  <w:num w:numId="17">
    <w:abstractNumId w:val="12"/>
  </w:num>
  <w:num w:numId="18">
    <w:abstractNumId w:val="11"/>
  </w:num>
  <w:num w:numId="19">
    <w:abstractNumId w:val="0"/>
  </w:num>
  <w:num w:numId="20">
    <w:abstractNumId w:val="3"/>
  </w:num>
  <w:num w:numId="21">
    <w:abstractNumId w:val="8"/>
  </w:num>
  <w:num w:numId="22">
    <w:abstractNumId w:val="20"/>
  </w:num>
  <w:num w:numId="23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725"/>
    <w:rsid w:val="00000967"/>
    <w:rsid w:val="000021FC"/>
    <w:rsid w:val="00002F44"/>
    <w:rsid w:val="00007302"/>
    <w:rsid w:val="00010A64"/>
    <w:rsid w:val="0001108A"/>
    <w:rsid w:val="00015142"/>
    <w:rsid w:val="000155C6"/>
    <w:rsid w:val="0001764B"/>
    <w:rsid w:val="0001768F"/>
    <w:rsid w:val="00017718"/>
    <w:rsid w:val="00025004"/>
    <w:rsid w:val="00025F89"/>
    <w:rsid w:val="00027A58"/>
    <w:rsid w:val="00030C41"/>
    <w:rsid w:val="000316C7"/>
    <w:rsid w:val="00031CF6"/>
    <w:rsid w:val="00032CF3"/>
    <w:rsid w:val="000336EC"/>
    <w:rsid w:val="00034BA6"/>
    <w:rsid w:val="00036FC9"/>
    <w:rsid w:val="00037ACE"/>
    <w:rsid w:val="000461A7"/>
    <w:rsid w:val="0004660D"/>
    <w:rsid w:val="00055A48"/>
    <w:rsid w:val="000574F5"/>
    <w:rsid w:val="00057F6C"/>
    <w:rsid w:val="00060F01"/>
    <w:rsid w:val="000624CD"/>
    <w:rsid w:val="000642BF"/>
    <w:rsid w:val="00065757"/>
    <w:rsid w:val="0006578E"/>
    <w:rsid w:val="00070B1B"/>
    <w:rsid w:val="0007327A"/>
    <w:rsid w:val="0007346B"/>
    <w:rsid w:val="00074062"/>
    <w:rsid w:val="00075141"/>
    <w:rsid w:val="000801A9"/>
    <w:rsid w:val="00081FFD"/>
    <w:rsid w:val="00082747"/>
    <w:rsid w:val="000835AC"/>
    <w:rsid w:val="00085284"/>
    <w:rsid w:val="0008616E"/>
    <w:rsid w:val="000907F0"/>
    <w:rsid w:val="0009147C"/>
    <w:rsid w:val="00091CC7"/>
    <w:rsid w:val="00091CFF"/>
    <w:rsid w:val="00091F02"/>
    <w:rsid w:val="000956CF"/>
    <w:rsid w:val="00096821"/>
    <w:rsid w:val="00097671"/>
    <w:rsid w:val="000A0896"/>
    <w:rsid w:val="000A1933"/>
    <w:rsid w:val="000A497D"/>
    <w:rsid w:val="000B43D5"/>
    <w:rsid w:val="000B578C"/>
    <w:rsid w:val="000B58B4"/>
    <w:rsid w:val="000C0A0E"/>
    <w:rsid w:val="000C0E1F"/>
    <w:rsid w:val="000C17AD"/>
    <w:rsid w:val="000C2599"/>
    <w:rsid w:val="000C41EB"/>
    <w:rsid w:val="000C4CA7"/>
    <w:rsid w:val="000D1206"/>
    <w:rsid w:val="000D1C7B"/>
    <w:rsid w:val="000D2E25"/>
    <w:rsid w:val="000D33DA"/>
    <w:rsid w:val="000D5E26"/>
    <w:rsid w:val="000D5FEC"/>
    <w:rsid w:val="000D6E1B"/>
    <w:rsid w:val="000D720E"/>
    <w:rsid w:val="000D7B09"/>
    <w:rsid w:val="000E2ED6"/>
    <w:rsid w:val="000E3563"/>
    <w:rsid w:val="000E476A"/>
    <w:rsid w:val="000E520D"/>
    <w:rsid w:val="000E688F"/>
    <w:rsid w:val="000F1628"/>
    <w:rsid w:val="000F19C8"/>
    <w:rsid w:val="000F2458"/>
    <w:rsid w:val="000F3851"/>
    <w:rsid w:val="000F3BDA"/>
    <w:rsid w:val="000F5095"/>
    <w:rsid w:val="000F6780"/>
    <w:rsid w:val="00100668"/>
    <w:rsid w:val="00105EFA"/>
    <w:rsid w:val="0010628C"/>
    <w:rsid w:val="00117FA1"/>
    <w:rsid w:val="00120017"/>
    <w:rsid w:val="001230B6"/>
    <w:rsid w:val="00125557"/>
    <w:rsid w:val="00125E7A"/>
    <w:rsid w:val="00127209"/>
    <w:rsid w:val="001302D8"/>
    <w:rsid w:val="00130402"/>
    <w:rsid w:val="00133AE1"/>
    <w:rsid w:val="0013528F"/>
    <w:rsid w:val="0013787C"/>
    <w:rsid w:val="00140377"/>
    <w:rsid w:val="001417F6"/>
    <w:rsid w:val="00143139"/>
    <w:rsid w:val="00144673"/>
    <w:rsid w:val="001446D0"/>
    <w:rsid w:val="00153ED4"/>
    <w:rsid w:val="00162DDA"/>
    <w:rsid w:val="00164109"/>
    <w:rsid w:val="00164CAF"/>
    <w:rsid w:val="001659B8"/>
    <w:rsid w:val="00165A07"/>
    <w:rsid w:val="00165AE5"/>
    <w:rsid w:val="00165B43"/>
    <w:rsid w:val="00171677"/>
    <w:rsid w:val="00173E25"/>
    <w:rsid w:val="00175260"/>
    <w:rsid w:val="001763A1"/>
    <w:rsid w:val="00177B57"/>
    <w:rsid w:val="0018143A"/>
    <w:rsid w:val="00183A43"/>
    <w:rsid w:val="0018418B"/>
    <w:rsid w:val="00184FAE"/>
    <w:rsid w:val="00192035"/>
    <w:rsid w:val="001941D9"/>
    <w:rsid w:val="001946FC"/>
    <w:rsid w:val="00197BDF"/>
    <w:rsid w:val="00197EAE"/>
    <w:rsid w:val="001A09B1"/>
    <w:rsid w:val="001A2896"/>
    <w:rsid w:val="001A6B32"/>
    <w:rsid w:val="001B0E88"/>
    <w:rsid w:val="001B1717"/>
    <w:rsid w:val="001B178F"/>
    <w:rsid w:val="001B1E0C"/>
    <w:rsid w:val="001C021B"/>
    <w:rsid w:val="001C0FA6"/>
    <w:rsid w:val="001C3E4E"/>
    <w:rsid w:val="001C6BA3"/>
    <w:rsid w:val="001D69F3"/>
    <w:rsid w:val="001D7CE0"/>
    <w:rsid w:val="001E0947"/>
    <w:rsid w:val="001E49A4"/>
    <w:rsid w:val="001E4E59"/>
    <w:rsid w:val="001E6F4E"/>
    <w:rsid w:val="001E716C"/>
    <w:rsid w:val="001F4422"/>
    <w:rsid w:val="001F5400"/>
    <w:rsid w:val="001F6681"/>
    <w:rsid w:val="001F68A3"/>
    <w:rsid w:val="001F7899"/>
    <w:rsid w:val="00200916"/>
    <w:rsid w:val="00203866"/>
    <w:rsid w:val="00203F71"/>
    <w:rsid w:val="002041D5"/>
    <w:rsid w:val="002100DB"/>
    <w:rsid w:val="002105AA"/>
    <w:rsid w:val="002120FF"/>
    <w:rsid w:val="00212909"/>
    <w:rsid w:val="002137EC"/>
    <w:rsid w:val="00217C23"/>
    <w:rsid w:val="00217D50"/>
    <w:rsid w:val="00220654"/>
    <w:rsid w:val="0022290D"/>
    <w:rsid w:val="00222914"/>
    <w:rsid w:val="00224D92"/>
    <w:rsid w:val="002254E0"/>
    <w:rsid w:val="00230039"/>
    <w:rsid w:val="00233210"/>
    <w:rsid w:val="002362BB"/>
    <w:rsid w:val="002471C8"/>
    <w:rsid w:val="00253701"/>
    <w:rsid w:val="00254CF3"/>
    <w:rsid w:val="0025512D"/>
    <w:rsid w:val="00255962"/>
    <w:rsid w:val="0026317E"/>
    <w:rsid w:val="002643DF"/>
    <w:rsid w:val="0026559A"/>
    <w:rsid w:val="0026654C"/>
    <w:rsid w:val="00270FE1"/>
    <w:rsid w:val="0028396D"/>
    <w:rsid w:val="00286298"/>
    <w:rsid w:val="002866EF"/>
    <w:rsid w:val="00292686"/>
    <w:rsid w:val="00293D8C"/>
    <w:rsid w:val="0029605E"/>
    <w:rsid w:val="002A1E6C"/>
    <w:rsid w:val="002A2E58"/>
    <w:rsid w:val="002A3000"/>
    <w:rsid w:val="002A42B4"/>
    <w:rsid w:val="002A70BA"/>
    <w:rsid w:val="002A74B2"/>
    <w:rsid w:val="002B361C"/>
    <w:rsid w:val="002B3B0A"/>
    <w:rsid w:val="002B3C55"/>
    <w:rsid w:val="002B4413"/>
    <w:rsid w:val="002C21A4"/>
    <w:rsid w:val="002D06FB"/>
    <w:rsid w:val="002D0FC9"/>
    <w:rsid w:val="002D1A13"/>
    <w:rsid w:val="002D50C9"/>
    <w:rsid w:val="002D6969"/>
    <w:rsid w:val="002D6E74"/>
    <w:rsid w:val="002D7E79"/>
    <w:rsid w:val="002D7F08"/>
    <w:rsid w:val="002E31F1"/>
    <w:rsid w:val="002E51FA"/>
    <w:rsid w:val="002E6F69"/>
    <w:rsid w:val="002F0750"/>
    <w:rsid w:val="002F0DFF"/>
    <w:rsid w:val="002F115C"/>
    <w:rsid w:val="002F43E4"/>
    <w:rsid w:val="00300FB3"/>
    <w:rsid w:val="00303F77"/>
    <w:rsid w:val="0030725E"/>
    <w:rsid w:val="00312952"/>
    <w:rsid w:val="00312E9A"/>
    <w:rsid w:val="00314D1C"/>
    <w:rsid w:val="00316D08"/>
    <w:rsid w:val="00317073"/>
    <w:rsid w:val="0032453A"/>
    <w:rsid w:val="00324893"/>
    <w:rsid w:val="00324A72"/>
    <w:rsid w:val="00325D96"/>
    <w:rsid w:val="0033185C"/>
    <w:rsid w:val="00332F24"/>
    <w:rsid w:val="00333219"/>
    <w:rsid w:val="00334A0B"/>
    <w:rsid w:val="00337BED"/>
    <w:rsid w:val="00340CF4"/>
    <w:rsid w:val="0034101A"/>
    <w:rsid w:val="00342253"/>
    <w:rsid w:val="0034244F"/>
    <w:rsid w:val="00343571"/>
    <w:rsid w:val="00345B5B"/>
    <w:rsid w:val="00346A59"/>
    <w:rsid w:val="003529A4"/>
    <w:rsid w:val="00353211"/>
    <w:rsid w:val="00353C2B"/>
    <w:rsid w:val="00360172"/>
    <w:rsid w:val="00360F32"/>
    <w:rsid w:val="00365573"/>
    <w:rsid w:val="003660E2"/>
    <w:rsid w:val="003675EF"/>
    <w:rsid w:val="003711BE"/>
    <w:rsid w:val="00373B2E"/>
    <w:rsid w:val="00373F52"/>
    <w:rsid w:val="00374885"/>
    <w:rsid w:val="00377AC7"/>
    <w:rsid w:val="0038045F"/>
    <w:rsid w:val="0038215A"/>
    <w:rsid w:val="003829C8"/>
    <w:rsid w:val="00382B09"/>
    <w:rsid w:val="00391D58"/>
    <w:rsid w:val="003939BA"/>
    <w:rsid w:val="00393CD9"/>
    <w:rsid w:val="00396955"/>
    <w:rsid w:val="0039695A"/>
    <w:rsid w:val="00397764"/>
    <w:rsid w:val="003A0141"/>
    <w:rsid w:val="003A0B71"/>
    <w:rsid w:val="003A0EEC"/>
    <w:rsid w:val="003A1BC4"/>
    <w:rsid w:val="003A2F19"/>
    <w:rsid w:val="003B0B81"/>
    <w:rsid w:val="003B212B"/>
    <w:rsid w:val="003B29EE"/>
    <w:rsid w:val="003B37FE"/>
    <w:rsid w:val="003B4749"/>
    <w:rsid w:val="003B7228"/>
    <w:rsid w:val="003C17AF"/>
    <w:rsid w:val="003C1954"/>
    <w:rsid w:val="003C1FEB"/>
    <w:rsid w:val="003C3414"/>
    <w:rsid w:val="003C7560"/>
    <w:rsid w:val="003C7C8E"/>
    <w:rsid w:val="003D0381"/>
    <w:rsid w:val="003D0FB7"/>
    <w:rsid w:val="003D5741"/>
    <w:rsid w:val="003D5CFF"/>
    <w:rsid w:val="003D6275"/>
    <w:rsid w:val="003E02CE"/>
    <w:rsid w:val="003E061C"/>
    <w:rsid w:val="003E0D84"/>
    <w:rsid w:val="003E1141"/>
    <w:rsid w:val="003E4695"/>
    <w:rsid w:val="003E52CD"/>
    <w:rsid w:val="003E6DF8"/>
    <w:rsid w:val="003F02F1"/>
    <w:rsid w:val="003F0402"/>
    <w:rsid w:val="003F200F"/>
    <w:rsid w:val="003F2A99"/>
    <w:rsid w:val="003F2C9A"/>
    <w:rsid w:val="003F4707"/>
    <w:rsid w:val="003F4C14"/>
    <w:rsid w:val="003F5543"/>
    <w:rsid w:val="003F5757"/>
    <w:rsid w:val="003F579A"/>
    <w:rsid w:val="003F5AE4"/>
    <w:rsid w:val="00402B72"/>
    <w:rsid w:val="0040651B"/>
    <w:rsid w:val="00406593"/>
    <w:rsid w:val="004072AE"/>
    <w:rsid w:val="00410C09"/>
    <w:rsid w:val="00413D33"/>
    <w:rsid w:val="004140E1"/>
    <w:rsid w:val="004178D1"/>
    <w:rsid w:val="00425926"/>
    <w:rsid w:val="00426815"/>
    <w:rsid w:val="004303A9"/>
    <w:rsid w:val="00431297"/>
    <w:rsid w:val="004363D0"/>
    <w:rsid w:val="00436933"/>
    <w:rsid w:val="00437932"/>
    <w:rsid w:val="00441FA8"/>
    <w:rsid w:val="00452D98"/>
    <w:rsid w:val="00454A09"/>
    <w:rsid w:val="00454C2C"/>
    <w:rsid w:val="0045526D"/>
    <w:rsid w:val="00455776"/>
    <w:rsid w:val="00456403"/>
    <w:rsid w:val="00461747"/>
    <w:rsid w:val="00461B9F"/>
    <w:rsid w:val="00462376"/>
    <w:rsid w:val="004633CE"/>
    <w:rsid w:val="00467B4B"/>
    <w:rsid w:val="0047048E"/>
    <w:rsid w:val="00470695"/>
    <w:rsid w:val="00470BAE"/>
    <w:rsid w:val="00470E2F"/>
    <w:rsid w:val="00472F63"/>
    <w:rsid w:val="00473587"/>
    <w:rsid w:val="00473D77"/>
    <w:rsid w:val="00474011"/>
    <w:rsid w:val="004747E1"/>
    <w:rsid w:val="00481656"/>
    <w:rsid w:val="004826C0"/>
    <w:rsid w:val="004836F6"/>
    <w:rsid w:val="004838C4"/>
    <w:rsid w:val="0048793B"/>
    <w:rsid w:val="00493103"/>
    <w:rsid w:val="00493834"/>
    <w:rsid w:val="0049562A"/>
    <w:rsid w:val="004A04A1"/>
    <w:rsid w:val="004A0556"/>
    <w:rsid w:val="004A1186"/>
    <w:rsid w:val="004A1E64"/>
    <w:rsid w:val="004A4F26"/>
    <w:rsid w:val="004A579A"/>
    <w:rsid w:val="004A70C1"/>
    <w:rsid w:val="004A75CC"/>
    <w:rsid w:val="004B1060"/>
    <w:rsid w:val="004B11C7"/>
    <w:rsid w:val="004B15D5"/>
    <w:rsid w:val="004B1F57"/>
    <w:rsid w:val="004B351E"/>
    <w:rsid w:val="004B5536"/>
    <w:rsid w:val="004C2E91"/>
    <w:rsid w:val="004C3131"/>
    <w:rsid w:val="004C334C"/>
    <w:rsid w:val="004C3B6F"/>
    <w:rsid w:val="004C450F"/>
    <w:rsid w:val="004D06B5"/>
    <w:rsid w:val="004D0840"/>
    <w:rsid w:val="004D1A50"/>
    <w:rsid w:val="004D605A"/>
    <w:rsid w:val="004D659F"/>
    <w:rsid w:val="004D7CE2"/>
    <w:rsid w:val="004E515F"/>
    <w:rsid w:val="004E692B"/>
    <w:rsid w:val="004E7F6E"/>
    <w:rsid w:val="004F1037"/>
    <w:rsid w:val="004F4319"/>
    <w:rsid w:val="004F4F47"/>
    <w:rsid w:val="004F563D"/>
    <w:rsid w:val="00502003"/>
    <w:rsid w:val="00506297"/>
    <w:rsid w:val="00506589"/>
    <w:rsid w:val="00506A9A"/>
    <w:rsid w:val="00507AB8"/>
    <w:rsid w:val="00510DCE"/>
    <w:rsid w:val="0051120F"/>
    <w:rsid w:val="00511BF9"/>
    <w:rsid w:val="00514838"/>
    <w:rsid w:val="00514D37"/>
    <w:rsid w:val="00514FA5"/>
    <w:rsid w:val="00516A26"/>
    <w:rsid w:val="00517072"/>
    <w:rsid w:val="00520502"/>
    <w:rsid w:val="005226EC"/>
    <w:rsid w:val="0052428C"/>
    <w:rsid w:val="00524DB6"/>
    <w:rsid w:val="00527FD6"/>
    <w:rsid w:val="00531B6A"/>
    <w:rsid w:val="00532AFB"/>
    <w:rsid w:val="005335A2"/>
    <w:rsid w:val="005344EF"/>
    <w:rsid w:val="005350AD"/>
    <w:rsid w:val="0053669F"/>
    <w:rsid w:val="00536ACA"/>
    <w:rsid w:val="005378B3"/>
    <w:rsid w:val="00540D01"/>
    <w:rsid w:val="00545898"/>
    <w:rsid w:val="005513A1"/>
    <w:rsid w:val="005602F1"/>
    <w:rsid w:val="0056443D"/>
    <w:rsid w:val="00566A3F"/>
    <w:rsid w:val="00566DAD"/>
    <w:rsid w:val="00567097"/>
    <w:rsid w:val="00570366"/>
    <w:rsid w:val="0057269C"/>
    <w:rsid w:val="00576808"/>
    <w:rsid w:val="0057751E"/>
    <w:rsid w:val="00577BEA"/>
    <w:rsid w:val="00577C00"/>
    <w:rsid w:val="00584BD2"/>
    <w:rsid w:val="005870EA"/>
    <w:rsid w:val="00594B29"/>
    <w:rsid w:val="00596274"/>
    <w:rsid w:val="005968A4"/>
    <w:rsid w:val="00596D1F"/>
    <w:rsid w:val="005A2BC7"/>
    <w:rsid w:val="005A3ECC"/>
    <w:rsid w:val="005A50E7"/>
    <w:rsid w:val="005A58FC"/>
    <w:rsid w:val="005A656A"/>
    <w:rsid w:val="005A7D3F"/>
    <w:rsid w:val="005B05E1"/>
    <w:rsid w:val="005B294F"/>
    <w:rsid w:val="005B691E"/>
    <w:rsid w:val="005B6DB9"/>
    <w:rsid w:val="005B6F36"/>
    <w:rsid w:val="005C044B"/>
    <w:rsid w:val="005C34E6"/>
    <w:rsid w:val="005C398F"/>
    <w:rsid w:val="005C6DE5"/>
    <w:rsid w:val="005C7D2F"/>
    <w:rsid w:val="005D362F"/>
    <w:rsid w:val="005D399A"/>
    <w:rsid w:val="005D513F"/>
    <w:rsid w:val="005E37EC"/>
    <w:rsid w:val="005E487A"/>
    <w:rsid w:val="005E55E3"/>
    <w:rsid w:val="005E7D43"/>
    <w:rsid w:val="005F008C"/>
    <w:rsid w:val="005F058C"/>
    <w:rsid w:val="005F30DF"/>
    <w:rsid w:val="005F6C09"/>
    <w:rsid w:val="005F7E16"/>
    <w:rsid w:val="00601122"/>
    <w:rsid w:val="00605D1B"/>
    <w:rsid w:val="00605FA3"/>
    <w:rsid w:val="006078BF"/>
    <w:rsid w:val="00613B06"/>
    <w:rsid w:val="00614A11"/>
    <w:rsid w:val="00616820"/>
    <w:rsid w:val="00617658"/>
    <w:rsid w:val="0062148D"/>
    <w:rsid w:val="006225F2"/>
    <w:rsid w:val="00622E4C"/>
    <w:rsid w:val="006259C6"/>
    <w:rsid w:val="00626D3C"/>
    <w:rsid w:val="0062723D"/>
    <w:rsid w:val="00627370"/>
    <w:rsid w:val="00630A6B"/>
    <w:rsid w:val="00632DB5"/>
    <w:rsid w:val="00633542"/>
    <w:rsid w:val="0063543F"/>
    <w:rsid w:val="00640876"/>
    <w:rsid w:val="00641447"/>
    <w:rsid w:val="00641E1B"/>
    <w:rsid w:val="00642B9A"/>
    <w:rsid w:val="00643AD5"/>
    <w:rsid w:val="00644CEA"/>
    <w:rsid w:val="00645F28"/>
    <w:rsid w:val="006460B6"/>
    <w:rsid w:val="00651917"/>
    <w:rsid w:val="0065308A"/>
    <w:rsid w:val="00653C29"/>
    <w:rsid w:val="006553A2"/>
    <w:rsid w:val="00657DAE"/>
    <w:rsid w:val="006600BE"/>
    <w:rsid w:val="006667D5"/>
    <w:rsid w:val="00667263"/>
    <w:rsid w:val="00667686"/>
    <w:rsid w:val="00672E32"/>
    <w:rsid w:val="00675BD8"/>
    <w:rsid w:val="006918A3"/>
    <w:rsid w:val="006966DD"/>
    <w:rsid w:val="00696F55"/>
    <w:rsid w:val="006A1D70"/>
    <w:rsid w:val="006A2124"/>
    <w:rsid w:val="006A2DEE"/>
    <w:rsid w:val="006B090C"/>
    <w:rsid w:val="006B13CB"/>
    <w:rsid w:val="006B1FE3"/>
    <w:rsid w:val="006B48A8"/>
    <w:rsid w:val="006C05E9"/>
    <w:rsid w:val="006C1FEB"/>
    <w:rsid w:val="006C2D1F"/>
    <w:rsid w:val="006C4B6D"/>
    <w:rsid w:val="006D034A"/>
    <w:rsid w:val="006D2F45"/>
    <w:rsid w:val="006D4553"/>
    <w:rsid w:val="006D4F4F"/>
    <w:rsid w:val="006D6B2A"/>
    <w:rsid w:val="006E0949"/>
    <w:rsid w:val="006E0E0D"/>
    <w:rsid w:val="006E1015"/>
    <w:rsid w:val="006E2B87"/>
    <w:rsid w:val="006E3D28"/>
    <w:rsid w:val="006E5987"/>
    <w:rsid w:val="006E6377"/>
    <w:rsid w:val="006E782E"/>
    <w:rsid w:val="006E7DE3"/>
    <w:rsid w:val="006F2413"/>
    <w:rsid w:val="006F2A53"/>
    <w:rsid w:val="006F49A3"/>
    <w:rsid w:val="006F797E"/>
    <w:rsid w:val="00700D7A"/>
    <w:rsid w:val="00702F98"/>
    <w:rsid w:val="007046DB"/>
    <w:rsid w:val="00704899"/>
    <w:rsid w:val="007100E2"/>
    <w:rsid w:val="0071265A"/>
    <w:rsid w:val="007156D6"/>
    <w:rsid w:val="00716232"/>
    <w:rsid w:val="0072081A"/>
    <w:rsid w:val="007220A0"/>
    <w:rsid w:val="00722696"/>
    <w:rsid w:val="00722A8E"/>
    <w:rsid w:val="00725526"/>
    <w:rsid w:val="0073041B"/>
    <w:rsid w:val="0073481F"/>
    <w:rsid w:val="00734FD3"/>
    <w:rsid w:val="007358F1"/>
    <w:rsid w:val="00740ACA"/>
    <w:rsid w:val="00742EFE"/>
    <w:rsid w:val="00743C6A"/>
    <w:rsid w:val="00744031"/>
    <w:rsid w:val="007441B3"/>
    <w:rsid w:val="00752651"/>
    <w:rsid w:val="007528D9"/>
    <w:rsid w:val="00753B08"/>
    <w:rsid w:val="00754E60"/>
    <w:rsid w:val="0075520C"/>
    <w:rsid w:val="00755E9D"/>
    <w:rsid w:val="00756A2B"/>
    <w:rsid w:val="00756E25"/>
    <w:rsid w:val="007608F8"/>
    <w:rsid w:val="007616C5"/>
    <w:rsid w:val="007630FC"/>
    <w:rsid w:val="0076408F"/>
    <w:rsid w:val="0076435C"/>
    <w:rsid w:val="0077096C"/>
    <w:rsid w:val="00774D5D"/>
    <w:rsid w:val="007766AA"/>
    <w:rsid w:val="00780C4E"/>
    <w:rsid w:val="00783CBF"/>
    <w:rsid w:val="00785A75"/>
    <w:rsid w:val="00791909"/>
    <w:rsid w:val="00797279"/>
    <w:rsid w:val="007A02BA"/>
    <w:rsid w:val="007A0B03"/>
    <w:rsid w:val="007A2376"/>
    <w:rsid w:val="007A3545"/>
    <w:rsid w:val="007A6B73"/>
    <w:rsid w:val="007A6C39"/>
    <w:rsid w:val="007A7C73"/>
    <w:rsid w:val="007A7ED9"/>
    <w:rsid w:val="007B11C7"/>
    <w:rsid w:val="007B1397"/>
    <w:rsid w:val="007C0F3B"/>
    <w:rsid w:val="007C125E"/>
    <w:rsid w:val="007C7B87"/>
    <w:rsid w:val="007D0DB8"/>
    <w:rsid w:val="007D29FE"/>
    <w:rsid w:val="007D2B64"/>
    <w:rsid w:val="007D3D31"/>
    <w:rsid w:val="007D4883"/>
    <w:rsid w:val="007D50D7"/>
    <w:rsid w:val="007D5F94"/>
    <w:rsid w:val="007D6874"/>
    <w:rsid w:val="007E0F81"/>
    <w:rsid w:val="007E2DDF"/>
    <w:rsid w:val="007E3BDE"/>
    <w:rsid w:val="007E7788"/>
    <w:rsid w:val="007F16B2"/>
    <w:rsid w:val="007F2EBB"/>
    <w:rsid w:val="007F6224"/>
    <w:rsid w:val="007F71A5"/>
    <w:rsid w:val="007F79E4"/>
    <w:rsid w:val="008007E0"/>
    <w:rsid w:val="00801170"/>
    <w:rsid w:val="00801DF4"/>
    <w:rsid w:val="008031B2"/>
    <w:rsid w:val="00804CB4"/>
    <w:rsid w:val="00805A11"/>
    <w:rsid w:val="00812397"/>
    <w:rsid w:val="00816DCE"/>
    <w:rsid w:val="0081748B"/>
    <w:rsid w:val="00820429"/>
    <w:rsid w:val="008209C5"/>
    <w:rsid w:val="0082224B"/>
    <w:rsid w:val="0082461C"/>
    <w:rsid w:val="00825E7E"/>
    <w:rsid w:val="00826E90"/>
    <w:rsid w:val="008272A2"/>
    <w:rsid w:val="00830127"/>
    <w:rsid w:val="00830181"/>
    <w:rsid w:val="00830324"/>
    <w:rsid w:val="008319B2"/>
    <w:rsid w:val="00833E6D"/>
    <w:rsid w:val="00836DF7"/>
    <w:rsid w:val="008374CB"/>
    <w:rsid w:val="0084024E"/>
    <w:rsid w:val="00843F24"/>
    <w:rsid w:val="00845D4C"/>
    <w:rsid w:val="00850668"/>
    <w:rsid w:val="00850852"/>
    <w:rsid w:val="00851F65"/>
    <w:rsid w:val="008523FD"/>
    <w:rsid w:val="00855FA6"/>
    <w:rsid w:val="008577DD"/>
    <w:rsid w:val="00860E5A"/>
    <w:rsid w:val="00863725"/>
    <w:rsid w:val="008701C9"/>
    <w:rsid w:val="008708F8"/>
    <w:rsid w:val="00870C3E"/>
    <w:rsid w:val="00872BD3"/>
    <w:rsid w:val="00873E27"/>
    <w:rsid w:val="008740EF"/>
    <w:rsid w:val="00875865"/>
    <w:rsid w:val="008764ED"/>
    <w:rsid w:val="008768CF"/>
    <w:rsid w:val="008775CD"/>
    <w:rsid w:val="00880244"/>
    <w:rsid w:val="008852B1"/>
    <w:rsid w:val="008866AA"/>
    <w:rsid w:val="0088769C"/>
    <w:rsid w:val="00892E87"/>
    <w:rsid w:val="0089696B"/>
    <w:rsid w:val="008A0B11"/>
    <w:rsid w:val="008A150F"/>
    <w:rsid w:val="008A2175"/>
    <w:rsid w:val="008A4392"/>
    <w:rsid w:val="008A5CA9"/>
    <w:rsid w:val="008A73E2"/>
    <w:rsid w:val="008A746C"/>
    <w:rsid w:val="008B10D8"/>
    <w:rsid w:val="008B16B3"/>
    <w:rsid w:val="008B393A"/>
    <w:rsid w:val="008C1691"/>
    <w:rsid w:val="008C260A"/>
    <w:rsid w:val="008D0A75"/>
    <w:rsid w:val="008D0B26"/>
    <w:rsid w:val="008D27AE"/>
    <w:rsid w:val="008D417B"/>
    <w:rsid w:val="008D641B"/>
    <w:rsid w:val="008D7173"/>
    <w:rsid w:val="008E28D2"/>
    <w:rsid w:val="008E3F06"/>
    <w:rsid w:val="008E4985"/>
    <w:rsid w:val="008E5453"/>
    <w:rsid w:val="008F0097"/>
    <w:rsid w:val="008F0BF0"/>
    <w:rsid w:val="008F3B89"/>
    <w:rsid w:val="008F4389"/>
    <w:rsid w:val="008F48C8"/>
    <w:rsid w:val="008F6116"/>
    <w:rsid w:val="008F6131"/>
    <w:rsid w:val="008F6DF7"/>
    <w:rsid w:val="00902367"/>
    <w:rsid w:val="00903F34"/>
    <w:rsid w:val="0091247E"/>
    <w:rsid w:val="00913EA2"/>
    <w:rsid w:val="00916412"/>
    <w:rsid w:val="009203F2"/>
    <w:rsid w:val="0092088E"/>
    <w:rsid w:val="00921656"/>
    <w:rsid w:val="0092189E"/>
    <w:rsid w:val="009251E4"/>
    <w:rsid w:val="0092584B"/>
    <w:rsid w:val="0092706B"/>
    <w:rsid w:val="009324F4"/>
    <w:rsid w:val="0093264F"/>
    <w:rsid w:val="009346E6"/>
    <w:rsid w:val="00934FAF"/>
    <w:rsid w:val="0093632F"/>
    <w:rsid w:val="00936474"/>
    <w:rsid w:val="00937BFF"/>
    <w:rsid w:val="00937E50"/>
    <w:rsid w:val="009400E2"/>
    <w:rsid w:val="009401C2"/>
    <w:rsid w:val="00940AB5"/>
    <w:rsid w:val="00941015"/>
    <w:rsid w:val="009411AB"/>
    <w:rsid w:val="00950E33"/>
    <w:rsid w:val="009526AD"/>
    <w:rsid w:val="00953864"/>
    <w:rsid w:val="00954257"/>
    <w:rsid w:val="009553BD"/>
    <w:rsid w:val="00966698"/>
    <w:rsid w:val="00966D34"/>
    <w:rsid w:val="009701DD"/>
    <w:rsid w:val="00970F09"/>
    <w:rsid w:val="009714FC"/>
    <w:rsid w:val="00972E62"/>
    <w:rsid w:val="00973465"/>
    <w:rsid w:val="009739FA"/>
    <w:rsid w:val="0097642D"/>
    <w:rsid w:val="0098079F"/>
    <w:rsid w:val="00981974"/>
    <w:rsid w:val="009843DE"/>
    <w:rsid w:val="00985C0C"/>
    <w:rsid w:val="0098634A"/>
    <w:rsid w:val="00986B45"/>
    <w:rsid w:val="009879A9"/>
    <w:rsid w:val="00987D5F"/>
    <w:rsid w:val="00990A7A"/>
    <w:rsid w:val="00990BF3"/>
    <w:rsid w:val="009924C6"/>
    <w:rsid w:val="00992B05"/>
    <w:rsid w:val="00993A5B"/>
    <w:rsid w:val="00994446"/>
    <w:rsid w:val="00994F01"/>
    <w:rsid w:val="00995410"/>
    <w:rsid w:val="00995920"/>
    <w:rsid w:val="00995DEC"/>
    <w:rsid w:val="00996500"/>
    <w:rsid w:val="0099773C"/>
    <w:rsid w:val="009A2B9F"/>
    <w:rsid w:val="009A326C"/>
    <w:rsid w:val="009A34B7"/>
    <w:rsid w:val="009A65E5"/>
    <w:rsid w:val="009A7F65"/>
    <w:rsid w:val="009B05A4"/>
    <w:rsid w:val="009B1F9F"/>
    <w:rsid w:val="009B3AAF"/>
    <w:rsid w:val="009B4CBE"/>
    <w:rsid w:val="009B7093"/>
    <w:rsid w:val="009B752D"/>
    <w:rsid w:val="009C0499"/>
    <w:rsid w:val="009C2458"/>
    <w:rsid w:val="009C3A93"/>
    <w:rsid w:val="009C3D64"/>
    <w:rsid w:val="009C78D8"/>
    <w:rsid w:val="009D3397"/>
    <w:rsid w:val="009D4076"/>
    <w:rsid w:val="009D4917"/>
    <w:rsid w:val="009D6F8F"/>
    <w:rsid w:val="009E17BB"/>
    <w:rsid w:val="009E2E2D"/>
    <w:rsid w:val="009E44C1"/>
    <w:rsid w:val="009F30D7"/>
    <w:rsid w:val="009F6FC3"/>
    <w:rsid w:val="009F72A8"/>
    <w:rsid w:val="00A00644"/>
    <w:rsid w:val="00A00C07"/>
    <w:rsid w:val="00A02BE6"/>
    <w:rsid w:val="00A04FA5"/>
    <w:rsid w:val="00A05F84"/>
    <w:rsid w:val="00A0690F"/>
    <w:rsid w:val="00A07ACB"/>
    <w:rsid w:val="00A10DB0"/>
    <w:rsid w:val="00A1152B"/>
    <w:rsid w:val="00A124C7"/>
    <w:rsid w:val="00A17820"/>
    <w:rsid w:val="00A17A97"/>
    <w:rsid w:val="00A23374"/>
    <w:rsid w:val="00A24C5F"/>
    <w:rsid w:val="00A30205"/>
    <w:rsid w:val="00A30645"/>
    <w:rsid w:val="00A313CC"/>
    <w:rsid w:val="00A31B74"/>
    <w:rsid w:val="00A33198"/>
    <w:rsid w:val="00A34B53"/>
    <w:rsid w:val="00A35116"/>
    <w:rsid w:val="00A4122F"/>
    <w:rsid w:val="00A418F2"/>
    <w:rsid w:val="00A42A2E"/>
    <w:rsid w:val="00A449D9"/>
    <w:rsid w:val="00A46C0C"/>
    <w:rsid w:val="00A507B3"/>
    <w:rsid w:val="00A513CD"/>
    <w:rsid w:val="00A524F7"/>
    <w:rsid w:val="00A552A0"/>
    <w:rsid w:val="00A5607B"/>
    <w:rsid w:val="00A56A0C"/>
    <w:rsid w:val="00A57CC8"/>
    <w:rsid w:val="00A6008E"/>
    <w:rsid w:val="00A601EC"/>
    <w:rsid w:val="00A624DC"/>
    <w:rsid w:val="00A632A6"/>
    <w:rsid w:val="00A639D5"/>
    <w:rsid w:val="00A660AB"/>
    <w:rsid w:val="00A669F8"/>
    <w:rsid w:val="00A675ED"/>
    <w:rsid w:val="00A70B7F"/>
    <w:rsid w:val="00A745B0"/>
    <w:rsid w:val="00A756D6"/>
    <w:rsid w:val="00A75D48"/>
    <w:rsid w:val="00A80471"/>
    <w:rsid w:val="00A836A7"/>
    <w:rsid w:val="00A84F7E"/>
    <w:rsid w:val="00A85F5F"/>
    <w:rsid w:val="00A86ADF"/>
    <w:rsid w:val="00A87EC9"/>
    <w:rsid w:val="00A90350"/>
    <w:rsid w:val="00A92934"/>
    <w:rsid w:val="00A92DB3"/>
    <w:rsid w:val="00A93B2B"/>
    <w:rsid w:val="00A975F5"/>
    <w:rsid w:val="00AA0505"/>
    <w:rsid w:val="00AA26E7"/>
    <w:rsid w:val="00AA35A2"/>
    <w:rsid w:val="00AA6777"/>
    <w:rsid w:val="00AA7BBF"/>
    <w:rsid w:val="00AB07ED"/>
    <w:rsid w:val="00AB4329"/>
    <w:rsid w:val="00AB46E2"/>
    <w:rsid w:val="00AB4AB9"/>
    <w:rsid w:val="00AB5217"/>
    <w:rsid w:val="00AC1DA0"/>
    <w:rsid w:val="00AC481A"/>
    <w:rsid w:val="00AC4B75"/>
    <w:rsid w:val="00AC5EF6"/>
    <w:rsid w:val="00AC77A5"/>
    <w:rsid w:val="00AD349F"/>
    <w:rsid w:val="00AD4F75"/>
    <w:rsid w:val="00AD50B5"/>
    <w:rsid w:val="00AD51A2"/>
    <w:rsid w:val="00AE2572"/>
    <w:rsid w:val="00AE2A97"/>
    <w:rsid w:val="00AE6E35"/>
    <w:rsid w:val="00AF1466"/>
    <w:rsid w:val="00AF49F6"/>
    <w:rsid w:val="00B0191D"/>
    <w:rsid w:val="00B02388"/>
    <w:rsid w:val="00B0240D"/>
    <w:rsid w:val="00B03BA3"/>
    <w:rsid w:val="00B04AF4"/>
    <w:rsid w:val="00B07492"/>
    <w:rsid w:val="00B136B0"/>
    <w:rsid w:val="00B1444A"/>
    <w:rsid w:val="00B14BCD"/>
    <w:rsid w:val="00B14BFD"/>
    <w:rsid w:val="00B168A4"/>
    <w:rsid w:val="00B176B7"/>
    <w:rsid w:val="00B17BAD"/>
    <w:rsid w:val="00B2527E"/>
    <w:rsid w:val="00B276D9"/>
    <w:rsid w:val="00B31595"/>
    <w:rsid w:val="00B32716"/>
    <w:rsid w:val="00B33462"/>
    <w:rsid w:val="00B3376B"/>
    <w:rsid w:val="00B343F9"/>
    <w:rsid w:val="00B34C18"/>
    <w:rsid w:val="00B368E6"/>
    <w:rsid w:val="00B3763E"/>
    <w:rsid w:val="00B4064C"/>
    <w:rsid w:val="00B409E2"/>
    <w:rsid w:val="00B412F7"/>
    <w:rsid w:val="00B41824"/>
    <w:rsid w:val="00B421DC"/>
    <w:rsid w:val="00B4226A"/>
    <w:rsid w:val="00B422FE"/>
    <w:rsid w:val="00B42D49"/>
    <w:rsid w:val="00B44CEF"/>
    <w:rsid w:val="00B44DCB"/>
    <w:rsid w:val="00B45330"/>
    <w:rsid w:val="00B5118A"/>
    <w:rsid w:val="00B51F7B"/>
    <w:rsid w:val="00B534A8"/>
    <w:rsid w:val="00B53B21"/>
    <w:rsid w:val="00B55924"/>
    <w:rsid w:val="00B56941"/>
    <w:rsid w:val="00B60C9E"/>
    <w:rsid w:val="00B6623E"/>
    <w:rsid w:val="00B702FA"/>
    <w:rsid w:val="00B71F78"/>
    <w:rsid w:val="00B73452"/>
    <w:rsid w:val="00B812E2"/>
    <w:rsid w:val="00B821F3"/>
    <w:rsid w:val="00B82705"/>
    <w:rsid w:val="00B827AF"/>
    <w:rsid w:val="00B8527B"/>
    <w:rsid w:val="00B868ED"/>
    <w:rsid w:val="00B87ED6"/>
    <w:rsid w:val="00B916E2"/>
    <w:rsid w:val="00B919FE"/>
    <w:rsid w:val="00B93CFB"/>
    <w:rsid w:val="00B93D1E"/>
    <w:rsid w:val="00B94B74"/>
    <w:rsid w:val="00B95174"/>
    <w:rsid w:val="00B95275"/>
    <w:rsid w:val="00B95978"/>
    <w:rsid w:val="00B96064"/>
    <w:rsid w:val="00B97456"/>
    <w:rsid w:val="00BA1306"/>
    <w:rsid w:val="00BA132C"/>
    <w:rsid w:val="00BA2863"/>
    <w:rsid w:val="00BA45D4"/>
    <w:rsid w:val="00BA694E"/>
    <w:rsid w:val="00BA6B96"/>
    <w:rsid w:val="00BA759D"/>
    <w:rsid w:val="00BA7A4F"/>
    <w:rsid w:val="00BA7E56"/>
    <w:rsid w:val="00BB006F"/>
    <w:rsid w:val="00BB02F3"/>
    <w:rsid w:val="00BB23CA"/>
    <w:rsid w:val="00BB3B4B"/>
    <w:rsid w:val="00BC0695"/>
    <w:rsid w:val="00BC1197"/>
    <w:rsid w:val="00BC4514"/>
    <w:rsid w:val="00BC62C7"/>
    <w:rsid w:val="00BC6EE3"/>
    <w:rsid w:val="00BC7D0F"/>
    <w:rsid w:val="00BC7E0A"/>
    <w:rsid w:val="00BD2015"/>
    <w:rsid w:val="00BD2762"/>
    <w:rsid w:val="00BD3C38"/>
    <w:rsid w:val="00BD5667"/>
    <w:rsid w:val="00BD7028"/>
    <w:rsid w:val="00BD72BE"/>
    <w:rsid w:val="00BE0915"/>
    <w:rsid w:val="00BE273C"/>
    <w:rsid w:val="00BE2B09"/>
    <w:rsid w:val="00BE42BA"/>
    <w:rsid w:val="00BE5CA5"/>
    <w:rsid w:val="00BF1B3F"/>
    <w:rsid w:val="00BF2691"/>
    <w:rsid w:val="00BF2A48"/>
    <w:rsid w:val="00BF556F"/>
    <w:rsid w:val="00BF7968"/>
    <w:rsid w:val="00C00121"/>
    <w:rsid w:val="00C008BE"/>
    <w:rsid w:val="00C043FE"/>
    <w:rsid w:val="00C05C32"/>
    <w:rsid w:val="00C05EE6"/>
    <w:rsid w:val="00C07727"/>
    <w:rsid w:val="00C10927"/>
    <w:rsid w:val="00C1129B"/>
    <w:rsid w:val="00C1152B"/>
    <w:rsid w:val="00C13A3D"/>
    <w:rsid w:val="00C17418"/>
    <w:rsid w:val="00C17433"/>
    <w:rsid w:val="00C174D2"/>
    <w:rsid w:val="00C220CC"/>
    <w:rsid w:val="00C22B65"/>
    <w:rsid w:val="00C2301B"/>
    <w:rsid w:val="00C241AE"/>
    <w:rsid w:val="00C25414"/>
    <w:rsid w:val="00C27B75"/>
    <w:rsid w:val="00C30380"/>
    <w:rsid w:val="00C30A0C"/>
    <w:rsid w:val="00C31F7C"/>
    <w:rsid w:val="00C333C6"/>
    <w:rsid w:val="00C336BC"/>
    <w:rsid w:val="00C3420B"/>
    <w:rsid w:val="00C36221"/>
    <w:rsid w:val="00C372A3"/>
    <w:rsid w:val="00C372A5"/>
    <w:rsid w:val="00C402B1"/>
    <w:rsid w:val="00C441C3"/>
    <w:rsid w:val="00C443F5"/>
    <w:rsid w:val="00C44D5D"/>
    <w:rsid w:val="00C473C7"/>
    <w:rsid w:val="00C475AA"/>
    <w:rsid w:val="00C47658"/>
    <w:rsid w:val="00C4773D"/>
    <w:rsid w:val="00C47A8A"/>
    <w:rsid w:val="00C500C1"/>
    <w:rsid w:val="00C52981"/>
    <w:rsid w:val="00C5318A"/>
    <w:rsid w:val="00C55800"/>
    <w:rsid w:val="00C575F7"/>
    <w:rsid w:val="00C60FC3"/>
    <w:rsid w:val="00C622CA"/>
    <w:rsid w:val="00C75C04"/>
    <w:rsid w:val="00C81C25"/>
    <w:rsid w:val="00C834B2"/>
    <w:rsid w:val="00C8395F"/>
    <w:rsid w:val="00C85005"/>
    <w:rsid w:val="00C876D1"/>
    <w:rsid w:val="00C90149"/>
    <w:rsid w:val="00C93DAE"/>
    <w:rsid w:val="00C9457D"/>
    <w:rsid w:val="00C946E9"/>
    <w:rsid w:val="00C9532D"/>
    <w:rsid w:val="00C95EE2"/>
    <w:rsid w:val="00C97BF2"/>
    <w:rsid w:val="00CA03F2"/>
    <w:rsid w:val="00CA0935"/>
    <w:rsid w:val="00CA2D0A"/>
    <w:rsid w:val="00CA2D0B"/>
    <w:rsid w:val="00CA39C0"/>
    <w:rsid w:val="00CA4DE0"/>
    <w:rsid w:val="00CA50B3"/>
    <w:rsid w:val="00CA6CE4"/>
    <w:rsid w:val="00CA79DB"/>
    <w:rsid w:val="00CB2134"/>
    <w:rsid w:val="00CB43AD"/>
    <w:rsid w:val="00CB45F2"/>
    <w:rsid w:val="00CB64B6"/>
    <w:rsid w:val="00CC3EBE"/>
    <w:rsid w:val="00CC42D7"/>
    <w:rsid w:val="00CC74FB"/>
    <w:rsid w:val="00CC7A9F"/>
    <w:rsid w:val="00CD1424"/>
    <w:rsid w:val="00CD2726"/>
    <w:rsid w:val="00CD2CE5"/>
    <w:rsid w:val="00CD4B9B"/>
    <w:rsid w:val="00CD619C"/>
    <w:rsid w:val="00CD6A13"/>
    <w:rsid w:val="00CD7EBA"/>
    <w:rsid w:val="00CD7F83"/>
    <w:rsid w:val="00CE1C19"/>
    <w:rsid w:val="00CE1F33"/>
    <w:rsid w:val="00CE2471"/>
    <w:rsid w:val="00CE40E7"/>
    <w:rsid w:val="00CE4F36"/>
    <w:rsid w:val="00CE5AAB"/>
    <w:rsid w:val="00CE5ACC"/>
    <w:rsid w:val="00CE6F5A"/>
    <w:rsid w:val="00CE71D8"/>
    <w:rsid w:val="00CE7950"/>
    <w:rsid w:val="00CF1050"/>
    <w:rsid w:val="00CF3DCB"/>
    <w:rsid w:val="00CF4E13"/>
    <w:rsid w:val="00CF696E"/>
    <w:rsid w:val="00D016C6"/>
    <w:rsid w:val="00D03704"/>
    <w:rsid w:val="00D03F38"/>
    <w:rsid w:val="00D045D3"/>
    <w:rsid w:val="00D04EA7"/>
    <w:rsid w:val="00D05F66"/>
    <w:rsid w:val="00D069EF"/>
    <w:rsid w:val="00D114A9"/>
    <w:rsid w:val="00D11735"/>
    <w:rsid w:val="00D131A3"/>
    <w:rsid w:val="00D13839"/>
    <w:rsid w:val="00D15B67"/>
    <w:rsid w:val="00D24F04"/>
    <w:rsid w:val="00D33D0A"/>
    <w:rsid w:val="00D34009"/>
    <w:rsid w:val="00D345E8"/>
    <w:rsid w:val="00D36477"/>
    <w:rsid w:val="00D42ADC"/>
    <w:rsid w:val="00D42E4C"/>
    <w:rsid w:val="00D43168"/>
    <w:rsid w:val="00D435FC"/>
    <w:rsid w:val="00D45309"/>
    <w:rsid w:val="00D46440"/>
    <w:rsid w:val="00D46873"/>
    <w:rsid w:val="00D475DB"/>
    <w:rsid w:val="00D50F46"/>
    <w:rsid w:val="00D53289"/>
    <w:rsid w:val="00D55274"/>
    <w:rsid w:val="00D57A83"/>
    <w:rsid w:val="00D57DA2"/>
    <w:rsid w:val="00D60CD7"/>
    <w:rsid w:val="00D62714"/>
    <w:rsid w:val="00D643C9"/>
    <w:rsid w:val="00D655E1"/>
    <w:rsid w:val="00D725E7"/>
    <w:rsid w:val="00D77D26"/>
    <w:rsid w:val="00D80006"/>
    <w:rsid w:val="00D8448C"/>
    <w:rsid w:val="00D85880"/>
    <w:rsid w:val="00D864A1"/>
    <w:rsid w:val="00D907F6"/>
    <w:rsid w:val="00D92F01"/>
    <w:rsid w:val="00D930D7"/>
    <w:rsid w:val="00D93116"/>
    <w:rsid w:val="00D94936"/>
    <w:rsid w:val="00D949A3"/>
    <w:rsid w:val="00D94C52"/>
    <w:rsid w:val="00D94E64"/>
    <w:rsid w:val="00D9538B"/>
    <w:rsid w:val="00D97548"/>
    <w:rsid w:val="00DA1E06"/>
    <w:rsid w:val="00DA283B"/>
    <w:rsid w:val="00DA28F5"/>
    <w:rsid w:val="00DA2C40"/>
    <w:rsid w:val="00DA2EF0"/>
    <w:rsid w:val="00DA2F8E"/>
    <w:rsid w:val="00DA3CA3"/>
    <w:rsid w:val="00DA503E"/>
    <w:rsid w:val="00DA5196"/>
    <w:rsid w:val="00DA67E7"/>
    <w:rsid w:val="00DA7185"/>
    <w:rsid w:val="00DA726A"/>
    <w:rsid w:val="00DB0C86"/>
    <w:rsid w:val="00DB4222"/>
    <w:rsid w:val="00DC238D"/>
    <w:rsid w:val="00DC25C1"/>
    <w:rsid w:val="00DC36E5"/>
    <w:rsid w:val="00DC3E2D"/>
    <w:rsid w:val="00DC7DB8"/>
    <w:rsid w:val="00DD05F6"/>
    <w:rsid w:val="00DD1168"/>
    <w:rsid w:val="00DD2202"/>
    <w:rsid w:val="00DD31F2"/>
    <w:rsid w:val="00DD62B7"/>
    <w:rsid w:val="00DE02F6"/>
    <w:rsid w:val="00DE09C4"/>
    <w:rsid w:val="00DE0B03"/>
    <w:rsid w:val="00DE1BE6"/>
    <w:rsid w:val="00DE226C"/>
    <w:rsid w:val="00DE2748"/>
    <w:rsid w:val="00DE2803"/>
    <w:rsid w:val="00DE2E1B"/>
    <w:rsid w:val="00DE3E56"/>
    <w:rsid w:val="00DE43DE"/>
    <w:rsid w:val="00DE6D53"/>
    <w:rsid w:val="00DF07C9"/>
    <w:rsid w:val="00DF0DAE"/>
    <w:rsid w:val="00DF28B2"/>
    <w:rsid w:val="00DF3E67"/>
    <w:rsid w:val="00DF41D3"/>
    <w:rsid w:val="00DF557E"/>
    <w:rsid w:val="00DF5F4B"/>
    <w:rsid w:val="00DF6AB1"/>
    <w:rsid w:val="00E02758"/>
    <w:rsid w:val="00E064A4"/>
    <w:rsid w:val="00E07304"/>
    <w:rsid w:val="00E07DC7"/>
    <w:rsid w:val="00E1150D"/>
    <w:rsid w:val="00E121DC"/>
    <w:rsid w:val="00E147CA"/>
    <w:rsid w:val="00E16752"/>
    <w:rsid w:val="00E2024B"/>
    <w:rsid w:val="00E20CC0"/>
    <w:rsid w:val="00E222B5"/>
    <w:rsid w:val="00E259BE"/>
    <w:rsid w:val="00E265E6"/>
    <w:rsid w:val="00E26FA9"/>
    <w:rsid w:val="00E27369"/>
    <w:rsid w:val="00E27698"/>
    <w:rsid w:val="00E3271B"/>
    <w:rsid w:val="00E3415A"/>
    <w:rsid w:val="00E357FF"/>
    <w:rsid w:val="00E35D75"/>
    <w:rsid w:val="00E36D22"/>
    <w:rsid w:val="00E4061F"/>
    <w:rsid w:val="00E43B4C"/>
    <w:rsid w:val="00E4571F"/>
    <w:rsid w:val="00E476C8"/>
    <w:rsid w:val="00E52E52"/>
    <w:rsid w:val="00E53057"/>
    <w:rsid w:val="00E53965"/>
    <w:rsid w:val="00E57D23"/>
    <w:rsid w:val="00E6139C"/>
    <w:rsid w:val="00E61824"/>
    <w:rsid w:val="00E648E3"/>
    <w:rsid w:val="00E66975"/>
    <w:rsid w:val="00E6717A"/>
    <w:rsid w:val="00E72430"/>
    <w:rsid w:val="00E72873"/>
    <w:rsid w:val="00E74C11"/>
    <w:rsid w:val="00E75B95"/>
    <w:rsid w:val="00E762AD"/>
    <w:rsid w:val="00E76F86"/>
    <w:rsid w:val="00E80352"/>
    <w:rsid w:val="00E81DE0"/>
    <w:rsid w:val="00E82D28"/>
    <w:rsid w:val="00E83289"/>
    <w:rsid w:val="00E85C79"/>
    <w:rsid w:val="00E9374F"/>
    <w:rsid w:val="00E967FC"/>
    <w:rsid w:val="00EA017B"/>
    <w:rsid w:val="00EA13DD"/>
    <w:rsid w:val="00EB161F"/>
    <w:rsid w:val="00EB1AE9"/>
    <w:rsid w:val="00EB1E42"/>
    <w:rsid w:val="00EB5538"/>
    <w:rsid w:val="00EB62CE"/>
    <w:rsid w:val="00EB6DC2"/>
    <w:rsid w:val="00EB72F8"/>
    <w:rsid w:val="00EC0EBD"/>
    <w:rsid w:val="00EC27FD"/>
    <w:rsid w:val="00EC38BF"/>
    <w:rsid w:val="00EC5B06"/>
    <w:rsid w:val="00ED04BD"/>
    <w:rsid w:val="00ED2BCA"/>
    <w:rsid w:val="00ED3278"/>
    <w:rsid w:val="00ED3B38"/>
    <w:rsid w:val="00ED563D"/>
    <w:rsid w:val="00ED59D5"/>
    <w:rsid w:val="00ED5A88"/>
    <w:rsid w:val="00ED5CF8"/>
    <w:rsid w:val="00ED609A"/>
    <w:rsid w:val="00EE2C3D"/>
    <w:rsid w:val="00EE4FF5"/>
    <w:rsid w:val="00EE788D"/>
    <w:rsid w:val="00EF1E2A"/>
    <w:rsid w:val="00EF38EB"/>
    <w:rsid w:val="00EF4C36"/>
    <w:rsid w:val="00EF70F9"/>
    <w:rsid w:val="00F012D1"/>
    <w:rsid w:val="00F0145E"/>
    <w:rsid w:val="00F02FCC"/>
    <w:rsid w:val="00F0380B"/>
    <w:rsid w:val="00F0447F"/>
    <w:rsid w:val="00F04D0B"/>
    <w:rsid w:val="00F06CA1"/>
    <w:rsid w:val="00F06FAA"/>
    <w:rsid w:val="00F11B58"/>
    <w:rsid w:val="00F11B5F"/>
    <w:rsid w:val="00F146C2"/>
    <w:rsid w:val="00F20080"/>
    <w:rsid w:val="00F2067C"/>
    <w:rsid w:val="00F21129"/>
    <w:rsid w:val="00F2153D"/>
    <w:rsid w:val="00F2250C"/>
    <w:rsid w:val="00F22596"/>
    <w:rsid w:val="00F27625"/>
    <w:rsid w:val="00F319A3"/>
    <w:rsid w:val="00F35A48"/>
    <w:rsid w:val="00F36D7C"/>
    <w:rsid w:val="00F37F50"/>
    <w:rsid w:val="00F4179E"/>
    <w:rsid w:val="00F51177"/>
    <w:rsid w:val="00F51235"/>
    <w:rsid w:val="00F55486"/>
    <w:rsid w:val="00F56BC0"/>
    <w:rsid w:val="00F570A7"/>
    <w:rsid w:val="00F60A48"/>
    <w:rsid w:val="00F60CBE"/>
    <w:rsid w:val="00F61F0C"/>
    <w:rsid w:val="00F621C3"/>
    <w:rsid w:val="00F64C45"/>
    <w:rsid w:val="00F64E57"/>
    <w:rsid w:val="00F701B2"/>
    <w:rsid w:val="00F702C8"/>
    <w:rsid w:val="00F72B62"/>
    <w:rsid w:val="00F73857"/>
    <w:rsid w:val="00F73DC4"/>
    <w:rsid w:val="00F74CEA"/>
    <w:rsid w:val="00F76586"/>
    <w:rsid w:val="00F843E1"/>
    <w:rsid w:val="00F85776"/>
    <w:rsid w:val="00F92280"/>
    <w:rsid w:val="00F9295F"/>
    <w:rsid w:val="00FA2351"/>
    <w:rsid w:val="00FA271D"/>
    <w:rsid w:val="00FA5355"/>
    <w:rsid w:val="00FB34C0"/>
    <w:rsid w:val="00FB5313"/>
    <w:rsid w:val="00FB5DDD"/>
    <w:rsid w:val="00FB73D5"/>
    <w:rsid w:val="00FC0B7E"/>
    <w:rsid w:val="00FC1F13"/>
    <w:rsid w:val="00FD0D8B"/>
    <w:rsid w:val="00FD1B9E"/>
    <w:rsid w:val="00FD3E32"/>
    <w:rsid w:val="00FD468A"/>
    <w:rsid w:val="00FD46E3"/>
    <w:rsid w:val="00FD7C87"/>
    <w:rsid w:val="00FE0CFD"/>
    <w:rsid w:val="00FE2205"/>
    <w:rsid w:val="00FE4105"/>
    <w:rsid w:val="00FE4C3D"/>
    <w:rsid w:val="00FE7112"/>
    <w:rsid w:val="00FE77C1"/>
    <w:rsid w:val="00FF03D2"/>
    <w:rsid w:val="00FF2053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1E7C68"/>
  <w15:docId w15:val="{9A41266F-CC69-4DF3-8214-8D0A21E5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725"/>
    <w:rPr>
      <w:rFonts w:ascii="Times New Roman" w:eastAsia="Times New Roman" w:hAnsi="Times New Roman"/>
      <w:sz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A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A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A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A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A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A1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A1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A1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A1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637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63725"/>
    <w:rPr>
      <w:rFonts w:ascii="Times New Roman" w:eastAsia="Times New Roman" w:hAnsi="Times New Roman" w:cs="Times New Roman"/>
      <w:sz w:val="24"/>
      <w:szCs w:val="20"/>
      <w:lang w:val="sq-AL"/>
    </w:rPr>
  </w:style>
  <w:style w:type="character" w:styleId="PageNumber">
    <w:name w:val="page number"/>
    <w:rsid w:val="00863725"/>
  </w:style>
  <w:style w:type="paragraph" w:customStyle="1" w:styleId="Autoriteti">
    <w:name w:val="Autoriteti"/>
    <w:next w:val="Normal"/>
    <w:rsid w:val="00863725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aragrafi">
    <w:name w:val="Paragrafi"/>
    <w:rsid w:val="00863725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styleId="ListParagraph">
    <w:name w:val="List Paragraph"/>
    <w:basedOn w:val="Normal"/>
    <w:uiPriority w:val="34"/>
    <w:qFormat/>
    <w:rsid w:val="00863725"/>
    <w:pPr>
      <w:ind w:left="720"/>
    </w:pPr>
  </w:style>
  <w:style w:type="table" w:styleId="TableGrid">
    <w:name w:val="Table Grid"/>
    <w:basedOn w:val="TableNormal"/>
    <w:uiPriority w:val="39"/>
    <w:rsid w:val="00932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17BB"/>
    <w:pPr>
      <w:spacing w:before="100" w:beforeAutospacing="1" w:after="100" w:afterAutospacing="1"/>
    </w:pPr>
    <w:rPr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F03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3D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3D2"/>
    <w:rPr>
      <w:rFonts w:ascii="Times New Roman" w:eastAsia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3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3D2"/>
    <w:rPr>
      <w:rFonts w:ascii="Times New Roman" w:eastAsia="Times New Roman" w:hAnsi="Times New Roman"/>
      <w:b/>
      <w:bCs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3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3D2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E4061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61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93D8C"/>
    <w:rPr>
      <w:b/>
      <w:bCs/>
    </w:rPr>
  </w:style>
  <w:style w:type="paragraph" w:styleId="Revision">
    <w:name w:val="Revision"/>
    <w:hidden/>
    <w:uiPriority w:val="99"/>
    <w:semiHidden/>
    <w:rsid w:val="00D655E1"/>
    <w:rPr>
      <w:rFonts w:ascii="Times New Roman" w:eastAsia="Times New Roman" w:hAnsi="Times New Roman"/>
      <w:sz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76435C"/>
    <w:pPr>
      <w:widowControl w:val="0"/>
      <w:autoSpaceDE w:val="0"/>
      <w:autoSpaceDN w:val="0"/>
      <w:ind w:left="467"/>
    </w:pPr>
    <w:rPr>
      <w:rFonts w:ascii="Arial MT" w:eastAsia="Arial MT" w:hAnsi="Arial MT" w:cs="Arial MT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2BC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2BC7"/>
    <w:rPr>
      <w:rFonts w:ascii="Times New Roman" w:eastAsia="Times New Roman" w:hAnsi="Times New Roman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5A2BC7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8A5CA9"/>
    <w:pPr>
      <w:widowControl w:val="0"/>
      <w:autoSpaceDE w:val="0"/>
      <w:autoSpaceDN w:val="0"/>
    </w:pPr>
    <w:rPr>
      <w:rFonts w:ascii="Arial MT" w:eastAsia="Arial MT" w:hAnsi="Arial MT" w:cs="Arial MT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A5CA9"/>
    <w:rPr>
      <w:rFonts w:ascii="Arial MT" w:eastAsia="Arial MT" w:hAnsi="Arial MT" w:cs="Arial MT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D6A13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A13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A13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A13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A13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A13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A13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A13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A13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CD6A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A1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A1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A13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CD6A1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A13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A1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A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A13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CD6A13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6A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A9A"/>
    <w:rPr>
      <w:rFonts w:ascii="Times New Roman" w:eastAsia="Times New Roman" w:hAnsi="Times New Roman"/>
      <w:sz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2026-03-30T08:43:50Z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miratimin e rregullave specifike për transferimin ose dhënien me qira të të drejtave të përdorimit të frekuencave</Titulli>
    <Modifikuesi xmlns="0e656187-b300-4fb0-8bf4-3a50f872073c">keisina.zace</Modifikuesi>
    <Nr_x002e__x0020_prot_x0020_QBZ xmlns="0e656187-b300-4fb0-8bf4-3a50f872073c">626</Nr_x002e__x0020_prot_x0020_QBZ>
    <Data_x0020_e_x0020_Modifikimit xmlns="0e656187-b300-4fb0-8bf4-3a50f872073c">2026-03-30T09:09:11Z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595/3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5C6B849B249EC9397DE063F282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5C6B849B249EC9397DE063F282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CF824-F911-41EC-A10B-A4C3E619E293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55871A-8C44-4160-A7AC-6C8FFEEAE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550BBD-84F5-4CD2-B096-9A0A464A5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4638F1-85CF-47C0-BA4F-3CF3C69A64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61BED0-1AC6-40F9-8E85-04E3DAD7E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913245-78A0-4909-8106-6176A6687F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2799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specifike për transferimin ose dhënien me qira të të drejtave të përdorimit të frekuencave</vt:lpstr>
    </vt:vector>
  </TitlesOfParts>
  <Company/>
  <LinksUpToDate>false</LinksUpToDate>
  <CharactersWithSpaces>18720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specifike për transferimin ose dhënien me qira të të drejtave të përdorimit të frekuencave</dc:title>
  <dc:creator>User</dc:creator>
  <cp:lastModifiedBy>Alma Lisaku</cp:lastModifiedBy>
  <cp:revision>14</cp:revision>
  <cp:lastPrinted>2026-03-26T16:15:00Z</cp:lastPrinted>
  <dcterms:created xsi:type="dcterms:W3CDTF">2026-03-30T07:51:00Z</dcterms:created>
  <dcterms:modified xsi:type="dcterms:W3CDTF">2026-03-30T08:31:00Z</dcterms:modified>
</cp:coreProperties>
</file>