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1B8DA" w14:textId="77777777" w:rsidR="00455752" w:rsidRPr="009A61D1" w:rsidRDefault="00455752" w:rsidP="00455752">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A61D1">
        <w:rPr>
          <w:rFonts w:ascii="Garamond" w:hAnsi="Garamond" w:cs="Times New Roman"/>
          <w:b/>
          <w:bCs/>
          <w:color w:val="000000"/>
          <w:sz w:val="24"/>
          <w:szCs w:val="24"/>
          <w:lang w:val="sq-AL"/>
        </w:rPr>
        <w:t>VENDIM</w:t>
      </w:r>
    </w:p>
    <w:p w14:paraId="63BD87D1" w14:textId="1CE31B5E" w:rsidR="00455752" w:rsidRPr="009A61D1" w:rsidRDefault="00455752" w:rsidP="00455752">
      <w:pPr>
        <w:keepNext/>
        <w:autoSpaceDE w:val="0"/>
        <w:autoSpaceDN w:val="0"/>
        <w:adjustRightInd w:val="0"/>
        <w:spacing w:after="0" w:line="240" w:lineRule="auto"/>
        <w:ind w:firstLine="284"/>
        <w:jc w:val="center"/>
        <w:rPr>
          <w:rFonts w:ascii="Garamond" w:hAnsi="Garamond" w:cs="Times New Roman"/>
          <w:color w:val="000000"/>
          <w:sz w:val="24"/>
          <w:szCs w:val="24"/>
          <w:lang w:val="sq-AL"/>
        </w:rPr>
      </w:pPr>
      <w:r w:rsidRPr="009A61D1">
        <w:rPr>
          <w:rFonts w:ascii="Garamond" w:hAnsi="Garamond" w:cs="Times New Roman"/>
          <w:b/>
          <w:bCs/>
          <w:color w:val="000000"/>
          <w:sz w:val="24"/>
          <w:szCs w:val="24"/>
          <w:lang w:val="sq-AL"/>
        </w:rPr>
        <w:t>Nr.</w:t>
      </w:r>
      <w:r w:rsidR="009A61D1">
        <w:rPr>
          <w:rFonts w:ascii="Garamond" w:hAnsi="Garamond" w:cs="Times New Roman"/>
          <w:b/>
          <w:bCs/>
          <w:color w:val="000000"/>
          <w:sz w:val="24"/>
          <w:szCs w:val="24"/>
          <w:lang w:val="sq-AL"/>
        </w:rPr>
        <w:t xml:space="preserve"> </w:t>
      </w:r>
      <w:r w:rsidRPr="009A61D1">
        <w:rPr>
          <w:rFonts w:ascii="Garamond" w:hAnsi="Garamond" w:cs="Times New Roman"/>
          <w:b/>
          <w:bCs/>
          <w:color w:val="000000"/>
          <w:sz w:val="24"/>
          <w:szCs w:val="24"/>
          <w:lang w:val="sq-AL"/>
        </w:rPr>
        <w:t>195, datë 26.3.2026</w:t>
      </w:r>
    </w:p>
    <w:p w14:paraId="79104A3E" w14:textId="77777777" w:rsidR="00455752" w:rsidRPr="009A61D1" w:rsidRDefault="00455752" w:rsidP="00455752">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0FD2D41" w14:textId="77777777" w:rsidR="00455752" w:rsidRPr="009A61D1" w:rsidRDefault="00455752" w:rsidP="00455752">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9A61D1">
        <w:rPr>
          <w:rFonts w:ascii="Garamond" w:hAnsi="Garamond" w:cs="Calibri"/>
          <w:b/>
          <w:bCs/>
          <w:color w:val="000000"/>
          <w:sz w:val="24"/>
          <w:szCs w:val="24"/>
          <w:lang w:val="sq-AL"/>
        </w:rPr>
        <w:t>PËR MIRATIMIN E RREGULLORES SË PËRGJITHSHME TË METODOLOGJISË SË PËRCAKTIMIT TË DËNIMEVE ADMINISTRATIVE NË PROCESIN E INSPEKTIMIT</w:t>
      </w:r>
    </w:p>
    <w:p w14:paraId="0BBDCC7E" w14:textId="77777777" w:rsidR="00455752" w:rsidRPr="009A61D1" w:rsidRDefault="00455752" w:rsidP="00455752">
      <w:pPr>
        <w:autoSpaceDE w:val="0"/>
        <w:autoSpaceDN w:val="0"/>
        <w:adjustRightInd w:val="0"/>
        <w:spacing w:after="0" w:line="240" w:lineRule="auto"/>
        <w:ind w:firstLine="284"/>
        <w:jc w:val="center"/>
        <w:rPr>
          <w:rFonts w:ascii="Garamond" w:hAnsi="Garamond" w:cs="Calibri"/>
          <w:color w:val="000000"/>
          <w:sz w:val="24"/>
          <w:szCs w:val="24"/>
          <w:lang w:val="sq-AL"/>
        </w:rPr>
      </w:pPr>
    </w:p>
    <w:p w14:paraId="0B5AA1E5" w14:textId="4F9DB446"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Në mbështetje të nenit 100 të Kushtetutës dhe të pikës 7, të nenit 44, të ligjit nr.</w:t>
      </w:r>
      <w:r w:rsidR="009A61D1">
        <w:rPr>
          <w:rFonts w:ascii="Garamond" w:hAnsi="Garamond" w:cs="Calibri"/>
          <w:color w:val="000000"/>
          <w:sz w:val="24"/>
          <w:szCs w:val="24"/>
          <w:lang w:val="sq-AL"/>
        </w:rPr>
        <w:t xml:space="preserve"> </w:t>
      </w:r>
      <w:r w:rsidRPr="009A61D1">
        <w:rPr>
          <w:rFonts w:ascii="Garamond" w:hAnsi="Garamond" w:cs="Calibri"/>
          <w:color w:val="000000"/>
          <w:sz w:val="24"/>
          <w:szCs w:val="24"/>
          <w:lang w:val="sq-AL"/>
        </w:rPr>
        <w:t>99/2024, “Për inspektimin në Republikën e Shqipërisë”, me propozimin e ministrit Ekonomisë dhe Inovacionit, Këshilli i Ministrave</w:t>
      </w:r>
    </w:p>
    <w:p w14:paraId="2F017BF0"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 xml:space="preserve"> </w:t>
      </w:r>
    </w:p>
    <w:p w14:paraId="66FC68AF" w14:textId="77777777" w:rsidR="00455752" w:rsidRPr="009A61D1" w:rsidRDefault="00455752" w:rsidP="00455752">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9A61D1">
        <w:rPr>
          <w:rFonts w:ascii="Garamond" w:hAnsi="Garamond" w:cs="Calibri"/>
          <w:bCs/>
          <w:color w:val="000000"/>
          <w:sz w:val="24"/>
          <w:szCs w:val="24"/>
          <w:lang w:val="sq-AL"/>
        </w:rPr>
        <w:t>VENDOSI</w:t>
      </w:r>
      <w:r w:rsidRPr="009A61D1">
        <w:rPr>
          <w:rFonts w:ascii="Garamond" w:hAnsi="Garamond" w:cs="Calibri"/>
          <w:b/>
          <w:bCs/>
          <w:color w:val="000000"/>
          <w:sz w:val="24"/>
          <w:szCs w:val="24"/>
          <w:lang w:val="sq-AL"/>
        </w:rPr>
        <w:t>:</w:t>
      </w:r>
    </w:p>
    <w:p w14:paraId="7C48F67F" w14:textId="77777777" w:rsidR="00455752" w:rsidRPr="009A61D1" w:rsidRDefault="00455752" w:rsidP="00455752">
      <w:pPr>
        <w:autoSpaceDE w:val="0"/>
        <w:autoSpaceDN w:val="0"/>
        <w:adjustRightInd w:val="0"/>
        <w:spacing w:after="0" w:line="240" w:lineRule="auto"/>
        <w:ind w:firstLine="284"/>
        <w:jc w:val="center"/>
        <w:rPr>
          <w:rFonts w:ascii="Garamond" w:hAnsi="Garamond" w:cs="Calibri"/>
          <w:color w:val="000000"/>
          <w:sz w:val="24"/>
          <w:szCs w:val="24"/>
          <w:lang w:val="sq-AL"/>
        </w:rPr>
      </w:pPr>
    </w:p>
    <w:p w14:paraId="16256478"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1. Miratimin e rregullores së përgjithshme të metodologjisë së përcaktimit të dënimeve administrative në procesin e inspektimit, sipas tekstit që i bashkëlidhet këtij vendimi.</w:t>
      </w:r>
    </w:p>
    <w:p w14:paraId="338C0CA9"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2. Ngarkohen ministritë e linjës, inspektoratet qendrore dhe strukturat inspektuese, Inspektorati i Përgjithshëm, njësitë e vetëqeverisjes vendore dhe inspektoratet vendore për zbatimin e këtij vendimi.</w:t>
      </w:r>
    </w:p>
    <w:p w14:paraId="1ECE8AA9"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Ky vendim hyn në fuqi pas botimit në Fletoren Zyrtare.</w:t>
      </w:r>
    </w:p>
    <w:p w14:paraId="74AA3202"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p>
    <w:p w14:paraId="404D74E8" w14:textId="77777777" w:rsidR="00455752" w:rsidRPr="009A61D1" w:rsidRDefault="00455752" w:rsidP="00455752">
      <w:pPr>
        <w:autoSpaceDE w:val="0"/>
        <w:autoSpaceDN w:val="0"/>
        <w:adjustRightInd w:val="0"/>
        <w:spacing w:after="0" w:line="240" w:lineRule="auto"/>
        <w:ind w:firstLine="284"/>
        <w:jc w:val="right"/>
        <w:rPr>
          <w:rFonts w:ascii="Garamond" w:hAnsi="Garamond" w:cs="Calibri"/>
          <w:b/>
          <w:bCs/>
          <w:color w:val="000000"/>
          <w:sz w:val="24"/>
          <w:szCs w:val="24"/>
          <w:lang w:val="sq-AL"/>
        </w:rPr>
      </w:pPr>
      <w:r w:rsidRPr="009A61D1">
        <w:rPr>
          <w:rFonts w:ascii="Garamond" w:hAnsi="Garamond" w:cs="Calibri"/>
          <w:bCs/>
          <w:color w:val="000000"/>
          <w:sz w:val="24"/>
          <w:szCs w:val="24"/>
          <w:lang w:val="sq-AL"/>
        </w:rPr>
        <w:t>KRYEMINISTËR</w:t>
      </w:r>
    </w:p>
    <w:p w14:paraId="768ABD9F" w14:textId="77777777" w:rsidR="00455752" w:rsidRPr="009A61D1" w:rsidRDefault="00455752" w:rsidP="00455752">
      <w:pPr>
        <w:autoSpaceDE w:val="0"/>
        <w:autoSpaceDN w:val="0"/>
        <w:adjustRightInd w:val="0"/>
        <w:spacing w:after="0" w:line="240" w:lineRule="auto"/>
        <w:ind w:firstLine="284"/>
        <w:jc w:val="right"/>
        <w:rPr>
          <w:rFonts w:ascii="Garamond" w:hAnsi="Garamond" w:cs="Calibri"/>
          <w:b/>
          <w:bCs/>
          <w:color w:val="000000"/>
          <w:sz w:val="24"/>
          <w:szCs w:val="24"/>
          <w:lang w:val="sq-AL"/>
        </w:rPr>
      </w:pPr>
      <w:r w:rsidRPr="009A61D1">
        <w:rPr>
          <w:rFonts w:ascii="Garamond" w:hAnsi="Garamond" w:cs="Calibri"/>
          <w:b/>
          <w:bCs/>
          <w:color w:val="000000"/>
          <w:sz w:val="24"/>
          <w:szCs w:val="24"/>
          <w:lang w:val="sq-AL"/>
        </w:rPr>
        <w:t xml:space="preserve">Edi </w:t>
      </w:r>
      <w:proofErr w:type="spellStart"/>
      <w:r w:rsidRPr="009A61D1">
        <w:rPr>
          <w:rFonts w:ascii="Garamond" w:hAnsi="Garamond" w:cs="Calibri"/>
          <w:b/>
          <w:bCs/>
          <w:color w:val="000000"/>
          <w:sz w:val="24"/>
          <w:szCs w:val="24"/>
          <w:lang w:val="sq-AL"/>
        </w:rPr>
        <w:t>Rama</w:t>
      </w:r>
      <w:proofErr w:type="spellEnd"/>
    </w:p>
    <w:p w14:paraId="439978B1" w14:textId="77777777" w:rsidR="00455752" w:rsidRPr="009A61D1" w:rsidRDefault="00455752" w:rsidP="00455752">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71B808EC" w14:textId="77777777" w:rsidR="00455752" w:rsidRPr="009A61D1" w:rsidRDefault="00455752" w:rsidP="00455752">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3C3B31C8" w14:textId="77777777" w:rsidR="00455752" w:rsidRPr="009A61D1" w:rsidRDefault="00455752" w:rsidP="00455752">
      <w:pPr>
        <w:autoSpaceDE w:val="0"/>
        <w:autoSpaceDN w:val="0"/>
        <w:adjustRightInd w:val="0"/>
        <w:spacing w:after="0" w:line="240" w:lineRule="auto"/>
        <w:ind w:firstLine="284"/>
        <w:jc w:val="center"/>
        <w:rPr>
          <w:rFonts w:ascii="Garamond" w:hAnsi="Garamond" w:cs="Calibri"/>
          <w:b/>
          <w:bCs/>
          <w:color w:val="000000"/>
          <w:sz w:val="24"/>
          <w:szCs w:val="24"/>
          <w:lang w:val="sq-AL"/>
        </w:rPr>
      </w:pPr>
      <w:r w:rsidRPr="009A61D1">
        <w:rPr>
          <w:rFonts w:ascii="Garamond" w:hAnsi="Garamond" w:cs="Calibri"/>
          <w:b/>
          <w:bCs/>
          <w:color w:val="000000"/>
          <w:sz w:val="24"/>
          <w:szCs w:val="24"/>
          <w:lang w:val="sq-AL"/>
        </w:rPr>
        <w:t>RREGULLORJA E PËRGJITHSHME E METODOLOGJISË SË PËRCAKTIMIT TË DËNIMEVE ADMINISTRATIVE NË PROCESIN E INSPEKTIMIT</w:t>
      </w:r>
    </w:p>
    <w:p w14:paraId="45F19CCC" w14:textId="77777777" w:rsidR="00455752" w:rsidRPr="009A61D1" w:rsidRDefault="00455752" w:rsidP="00455752">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61192176"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I. DISPOZITA TË PËRGJITHSHME</w:t>
      </w:r>
    </w:p>
    <w:p w14:paraId="6B7249C7"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1. Kjo rregullore ka si qëllim përcaktimin e rregullave të përgjithshme bazë mbi metodologjinë e përcaktimit të dënimeve administrative në procesin e inspektimit, në përputhje me parimin e </w:t>
      </w:r>
      <w:proofErr w:type="spellStart"/>
      <w:r w:rsidRPr="009A61D1">
        <w:rPr>
          <w:rFonts w:ascii="Garamond" w:hAnsi="Garamond" w:cs="Times New Roman"/>
          <w:color w:val="000000"/>
          <w:sz w:val="24"/>
          <w:szCs w:val="24"/>
          <w:lang w:val="sq-AL"/>
        </w:rPr>
        <w:t>proporcionalitetit</w:t>
      </w:r>
      <w:proofErr w:type="spellEnd"/>
      <w:r w:rsidRPr="009A61D1">
        <w:rPr>
          <w:rFonts w:ascii="Garamond" w:hAnsi="Garamond" w:cs="Times New Roman"/>
          <w:color w:val="000000"/>
          <w:sz w:val="24"/>
          <w:szCs w:val="24"/>
          <w:lang w:val="sq-AL"/>
        </w:rPr>
        <w:t>.</w:t>
      </w:r>
    </w:p>
    <w:p w14:paraId="1A85551A"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2. Kjo rregullore është e zbatueshme nga inspektoratet qendrore, inspektoratet vendore dhe strukturat inspektuese, trupat e të cilave gjatë veprimtarisë inspektuese, në rastet e konstatimit të shkeljeve ligjore nga subjektet e inspektimit, japin dënime administrative, në përputhje me legjislacionin e zbatueshëm në fushën përkatëse të inspektimit.</w:t>
      </w:r>
    </w:p>
    <w:p w14:paraId="081E7907"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3. Rregullat e përgjithshme të përcaktimit të dënimeve administrative, sipas këtij vendimi, zbatohen në rastet kur në ligjin për inspektimin dhe ligjet e posaçme:</w:t>
      </w:r>
    </w:p>
    <w:p w14:paraId="1415A5F6"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a) dënimet administrative nuk janë të përcaktuara në kryesore dhe plotësuese, me qëllim renditjen sipas një hierarkie të masave administrative;</w:t>
      </w:r>
    </w:p>
    <w:p w14:paraId="1D8C8C7C"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b) dënimet administrative janë të përcaktuara në intervale, me qëllim përcaktimin e faktorëve të riskut dhe treguesve të shkeljes për çdo rast të mundshëm;</w:t>
      </w:r>
    </w:p>
    <w:p w14:paraId="33F63AC7"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c) përshkallëzimi i dënimit administrativ nuk është i përcaktuar, me qëllim përcaktimin e masës administrative, në varësi të shkeljes ligjore të konstatuar dhe në mënyrë graduale;</w:t>
      </w:r>
    </w:p>
    <w:p w14:paraId="0839B3F2"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ç) shoqërimi i dënimit kryesor me dënime plotësuese nuk është i përcaktuar.</w:t>
      </w:r>
    </w:p>
    <w:p w14:paraId="28B9019D"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4. Në kuptim të kësaj rregulloreje, termat e mëposhtëm kanë këto kuptime:</w:t>
      </w:r>
    </w:p>
    <w:p w14:paraId="5C7FAE70" w14:textId="6903CECD"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b/>
          <w:bCs/>
          <w:color w:val="000000"/>
          <w:sz w:val="24"/>
          <w:szCs w:val="24"/>
          <w:lang w:val="sq-AL"/>
        </w:rPr>
        <w:t>a) “Dënim administrativ”</w:t>
      </w:r>
      <w:r w:rsidRPr="009A61D1">
        <w:rPr>
          <w:rFonts w:ascii="Garamond" w:hAnsi="Garamond" w:cs="Times New Roman"/>
          <w:color w:val="000000"/>
          <w:sz w:val="24"/>
          <w:szCs w:val="24"/>
          <w:lang w:val="sq-AL"/>
        </w:rPr>
        <w:t xml:space="preserve"> ka të njëjtin kuptim si në ligjin nr.</w:t>
      </w:r>
      <w:r w:rsidR="00823C4C">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 xml:space="preserve">99/2024, “Për inspektimin në Republikën e Shqipërisë”; </w:t>
      </w:r>
    </w:p>
    <w:p w14:paraId="2953E6B1"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b/>
          <w:bCs/>
          <w:color w:val="000000"/>
          <w:sz w:val="24"/>
          <w:szCs w:val="24"/>
          <w:lang w:val="sq-AL"/>
        </w:rPr>
        <w:t>b) “Faktor”</w:t>
      </w:r>
      <w:r w:rsidRPr="009A61D1">
        <w:rPr>
          <w:rFonts w:ascii="Garamond" w:hAnsi="Garamond" w:cs="Times New Roman"/>
          <w:color w:val="000000"/>
          <w:sz w:val="24"/>
          <w:szCs w:val="24"/>
          <w:lang w:val="sq-AL"/>
        </w:rPr>
        <w:t>, një rrethanë, fakt apo ndikim, që përcakton masën e dënimit administrativ;</w:t>
      </w:r>
    </w:p>
    <w:p w14:paraId="12C5CC46" w14:textId="52217C2B"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b/>
          <w:bCs/>
          <w:color w:val="000000"/>
          <w:sz w:val="24"/>
          <w:szCs w:val="24"/>
          <w:lang w:val="sq-AL"/>
        </w:rPr>
        <w:t>c) “Inspektim”</w:t>
      </w:r>
      <w:r w:rsidRPr="009A61D1">
        <w:rPr>
          <w:rFonts w:ascii="Garamond" w:hAnsi="Garamond" w:cs="Times New Roman"/>
          <w:color w:val="000000"/>
          <w:sz w:val="24"/>
          <w:szCs w:val="24"/>
          <w:lang w:val="sq-AL"/>
        </w:rPr>
        <w:t>, çdo formë kontrolli sipas përcaktimeve në ligjin nr.</w:t>
      </w:r>
      <w:r w:rsidR="00823C4C">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99/2024, “Për inspektimin në Republikën e Shqipërisë”;</w:t>
      </w:r>
    </w:p>
    <w:p w14:paraId="493A6734" w14:textId="69A55476"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lastRenderedPageBreak/>
        <w:t xml:space="preserve">ç) </w:t>
      </w:r>
      <w:r w:rsidRPr="009A61D1">
        <w:rPr>
          <w:rFonts w:ascii="Garamond" w:hAnsi="Garamond" w:cs="Times New Roman"/>
          <w:b/>
          <w:bCs/>
          <w:color w:val="000000"/>
          <w:sz w:val="24"/>
          <w:szCs w:val="24"/>
          <w:lang w:val="sq-AL"/>
        </w:rPr>
        <w:t>“Inspektim i parë”</w:t>
      </w:r>
      <w:r w:rsidRPr="009A61D1">
        <w:rPr>
          <w:rFonts w:ascii="Garamond" w:hAnsi="Garamond" w:cs="Times New Roman"/>
          <w:color w:val="000000"/>
          <w:sz w:val="24"/>
          <w:szCs w:val="24"/>
          <w:lang w:val="sq-AL"/>
        </w:rPr>
        <w:t>, çdo formë kontrolli e ushtruar nga trupa inspektuese, në zbatim të ligjit nr.</w:t>
      </w:r>
      <w:r w:rsidR="00823C4C">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99/2024, “Për inspektimin në Republikën e Shqipërisë”, që nuk ka për qëllim verifikimin e korrigjimit të shkeljeve të konstatuara më parë dhe që nuk ushtrohet ndaj një subjekti të kualifikuar si “subjekt përsëritës”, sipas këtij vendimi, pavarësisht nëse kryhet sipas programit mujor të inspektimit ose jashtë tij, në përputhje me parashikimet ligjore;</w:t>
      </w:r>
    </w:p>
    <w:p w14:paraId="6096248F"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 xml:space="preserve">d) </w:t>
      </w:r>
      <w:r w:rsidRPr="009A61D1">
        <w:rPr>
          <w:rFonts w:ascii="Garamond" w:hAnsi="Garamond" w:cs="Calibri"/>
          <w:b/>
          <w:bCs/>
          <w:color w:val="000000"/>
          <w:sz w:val="24"/>
          <w:szCs w:val="24"/>
          <w:lang w:val="sq-AL"/>
        </w:rPr>
        <w:t>“Paralajmërim”</w:t>
      </w:r>
      <w:r w:rsidRPr="009A61D1">
        <w:rPr>
          <w:rFonts w:ascii="Garamond" w:hAnsi="Garamond" w:cs="Calibri"/>
          <w:color w:val="000000"/>
          <w:sz w:val="24"/>
          <w:szCs w:val="24"/>
          <w:lang w:val="sq-AL"/>
        </w:rPr>
        <w:t>, dënimi administrativ kryesor në inspektimin e parë të trupës inspektuese, sipas përcaktimeve në ligjin për inspektimin;</w:t>
      </w:r>
    </w:p>
    <w:p w14:paraId="7B0566A6" w14:textId="44546DB9"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 xml:space="preserve">dh) </w:t>
      </w:r>
      <w:r w:rsidRPr="009A61D1">
        <w:rPr>
          <w:rFonts w:ascii="Garamond" w:hAnsi="Garamond" w:cs="Calibri"/>
          <w:b/>
          <w:bCs/>
          <w:color w:val="000000"/>
          <w:sz w:val="24"/>
          <w:szCs w:val="24"/>
          <w:lang w:val="sq-AL"/>
        </w:rPr>
        <w:t xml:space="preserve">“Sistemi elektronik </w:t>
      </w:r>
      <w:r w:rsidR="00823C4C">
        <w:rPr>
          <w:rFonts w:ascii="Garamond" w:hAnsi="Garamond" w:cs="Calibri"/>
          <w:b/>
          <w:bCs/>
          <w:color w:val="000000"/>
          <w:sz w:val="24"/>
          <w:szCs w:val="24"/>
          <w:lang w:val="sq-AL"/>
        </w:rPr>
        <w:t>‘</w:t>
      </w:r>
      <w:r w:rsidRPr="009A61D1">
        <w:rPr>
          <w:rFonts w:ascii="Garamond" w:hAnsi="Garamond" w:cs="Calibri"/>
          <w:b/>
          <w:bCs/>
          <w:color w:val="000000"/>
          <w:sz w:val="24"/>
          <w:szCs w:val="24"/>
          <w:lang w:val="sq-AL"/>
        </w:rPr>
        <w:t>e-Inspektimi</w:t>
      </w:r>
      <w:r w:rsidR="00823C4C">
        <w:rPr>
          <w:rFonts w:ascii="Garamond" w:hAnsi="Garamond" w:cs="Calibri"/>
          <w:b/>
          <w:bCs/>
          <w:color w:val="000000"/>
          <w:sz w:val="24"/>
          <w:szCs w:val="24"/>
          <w:lang w:val="sq-AL"/>
        </w:rPr>
        <w:t>’</w:t>
      </w:r>
      <w:r w:rsidRPr="009A61D1">
        <w:rPr>
          <w:rFonts w:ascii="Garamond" w:hAnsi="Garamond" w:cs="Calibri"/>
          <w:b/>
          <w:bCs/>
          <w:color w:val="000000"/>
          <w:sz w:val="24"/>
          <w:szCs w:val="24"/>
          <w:lang w:val="sq-AL"/>
        </w:rPr>
        <w:t>”</w:t>
      </w:r>
      <w:r w:rsidRPr="009A61D1">
        <w:rPr>
          <w:rFonts w:ascii="Garamond" w:hAnsi="Garamond" w:cs="Calibri"/>
          <w:color w:val="000000"/>
          <w:sz w:val="24"/>
          <w:szCs w:val="24"/>
          <w:lang w:val="sq-AL"/>
        </w:rPr>
        <w:t>, sistemi elektronik unik i inspektimeve, përmes së cilit dokumentohet dhe administrohet veprimtaria e inspektimit, që kryhet nga inspektoratet qendrore dhe vendore, sipas ligjit për inspektimin;</w:t>
      </w:r>
    </w:p>
    <w:p w14:paraId="193FF34E"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 xml:space="preserve">e) </w:t>
      </w:r>
      <w:r w:rsidRPr="009A61D1">
        <w:rPr>
          <w:rFonts w:ascii="Garamond" w:hAnsi="Garamond" w:cs="Calibri"/>
          <w:b/>
          <w:bCs/>
          <w:color w:val="000000"/>
          <w:sz w:val="24"/>
          <w:szCs w:val="24"/>
          <w:lang w:val="sq-AL"/>
        </w:rPr>
        <w:t>“Sistem pikëzimi”</w:t>
      </w:r>
      <w:r w:rsidRPr="009A61D1">
        <w:rPr>
          <w:rFonts w:ascii="Garamond" w:hAnsi="Garamond" w:cs="Calibri"/>
          <w:color w:val="000000"/>
          <w:sz w:val="24"/>
          <w:szCs w:val="24"/>
          <w:lang w:val="sq-AL"/>
        </w:rPr>
        <w:t xml:space="preserve">, mbledhja e vlerës së treguesve për secilin faktor në një </w:t>
      </w:r>
      <w:proofErr w:type="spellStart"/>
      <w:r w:rsidRPr="009A61D1">
        <w:rPr>
          <w:rFonts w:ascii="Garamond" w:hAnsi="Garamond" w:cs="Calibri"/>
          <w:color w:val="000000"/>
          <w:sz w:val="24"/>
          <w:szCs w:val="24"/>
          <w:lang w:val="sq-AL"/>
        </w:rPr>
        <w:t>shumatore</w:t>
      </w:r>
      <w:proofErr w:type="spellEnd"/>
      <w:r w:rsidRPr="009A61D1">
        <w:rPr>
          <w:rFonts w:ascii="Garamond" w:hAnsi="Garamond" w:cs="Calibri"/>
          <w:color w:val="000000"/>
          <w:sz w:val="24"/>
          <w:szCs w:val="24"/>
          <w:lang w:val="sq-AL"/>
        </w:rPr>
        <w:t xml:space="preserve"> të përgjithshme;</w:t>
      </w:r>
    </w:p>
    <w:p w14:paraId="4565BAB2" w14:textId="76022659" w:rsidR="00455752" w:rsidRPr="009A61D1" w:rsidRDefault="00455752" w:rsidP="00455752">
      <w:pPr>
        <w:tabs>
          <w:tab w:val="left" w:pos="260"/>
        </w:tabs>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 xml:space="preserve">ë) </w:t>
      </w:r>
      <w:r w:rsidRPr="009A61D1">
        <w:rPr>
          <w:rFonts w:ascii="Garamond" w:hAnsi="Garamond" w:cs="Calibri"/>
          <w:b/>
          <w:bCs/>
          <w:color w:val="000000"/>
          <w:sz w:val="24"/>
          <w:szCs w:val="24"/>
          <w:lang w:val="sq-AL"/>
        </w:rPr>
        <w:t>“Strukturë inspektuese”</w:t>
      </w:r>
      <w:r w:rsidRPr="009A61D1">
        <w:rPr>
          <w:rFonts w:ascii="Garamond" w:hAnsi="Garamond" w:cs="Calibri"/>
          <w:color w:val="000000"/>
          <w:sz w:val="24"/>
          <w:szCs w:val="24"/>
          <w:lang w:val="sq-AL"/>
        </w:rPr>
        <w:t>, struktura që kryen funksione inspektimi në juridiksionin e pushtetit ekzekutiv të qeverisjes qendrore dhe që është në fushë zbatimin e ligjit nr.</w:t>
      </w:r>
      <w:r w:rsidR="00823C4C">
        <w:rPr>
          <w:rFonts w:ascii="Garamond" w:hAnsi="Garamond" w:cs="Calibri"/>
          <w:color w:val="000000"/>
          <w:sz w:val="24"/>
          <w:szCs w:val="24"/>
          <w:lang w:val="sq-AL"/>
        </w:rPr>
        <w:t xml:space="preserve"> </w:t>
      </w:r>
      <w:r w:rsidRPr="009A61D1">
        <w:rPr>
          <w:rFonts w:ascii="Garamond" w:hAnsi="Garamond" w:cs="Calibri"/>
          <w:color w:val="000000"/>
          <w:sz w:val="24"/>
          <w:szCs w:val="24"/>
          <w:lang w:val="sq-AL"/>
        </w:rPr>
        <w:t xml:space="preserve">99/2024, “Për inspektimin në Republikën e Shqipërisë”; </w:t>
      </w:r>
    </w:p>
    <w:p w14:paraId="6AB823D1" w14:textId="77777777" w:rsidR="00455752" w:rsidRPr="009A61D1" w:rsidRDefault="00455752" w:rsidP="00455752">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b/>
          <w:bCs/>
          <w:color w:val="000000"/>
          <w:sz w:val="24"/>
          <w:szCs w:val="24"/>
          <w:lang w:val="sq-AL"/>
        </w:rPr>
        <w:t>f) “Subjekt përsëritës”</w:t>
      </w:r>
      <w:r w:rsidRPr="009A61D1">
        <w:rPr>
          <w:rFonts w:ascii="Garamond" w:hAnsi="Garamond" w:cs="Times New Roman"/>
          <w:color w:val="000000"/>
          <w:sz w:val="24"/>
          <w:szCs w:val="24"/>
          <w:lang w:val="sq-AL"/>
        </w:rPr>
        <w:t>, subjekti i inspektimit, i cili gjatë ushtrimit të veprimtarisë, në mënyrë të përsëritur më shumë se një herë, konstatohet në kundërshtim apo në shkelje të ligjit në veprimtarinë që kryen, e cila përbën objekt inspektimi, sipas ligjit për inspektimin dhe ligjit të posaçëm për të njëjtën kundërvajtje administrativ;</w:t>
      </w:r>
    </w:p>
    <w:p w14:paraId="3542EB02"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 xml:space="preserve">g) </w:t>
      </w:r>
      <w:r w:rsidRPr="009A61D1">
        <w:rPr>
          <w:rFonts w:ascii="Garamond" w:hAnsi="Garamond" w:cs="Calibri"/>
          <w:b/>
          <w:bCs/>
          <w:color w:val="000000"/>
          <w:sz w:val="24"/>
          <w:szCs w:val="24"/>
          <w:lang w:val="sq-AL"/>
        </w:rPr>
        <w:t>“Tregues i faktorit”</w:t>
      </w:r>
      <w:r w:rsidRPr="009A61D1">
        <w:rPr>
          <w:rFonts w:ascii="Garamond" w:hAnsi="Garamond" w:cs="Calibri"/>
          <w:color w:val="000000"/>
          <w:sz w:val="24"/>
          <w:szCs w:val="24"/>
          <w:lang w:val="sq-AL"/>
        </w:rPr>
        <w:t>, instrumenti që shërben për përllogaritjen e vlerës së faktorit.</w:t>
      </w:r>
    </w:p>
    <w:p w14:paraId="633E7CA6" w14:textId="4B8623DC"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5. Në përcaktimin e dënimit apo masës administrative, inspektori vendos dënimin administrativ, në përputhje me parimin e </w:t>
      </w:r>
      <w:proofErr w:type="spellStart"/>
      <w:r w:rsidRPr="009A61D1">
        <w:rPr>
          <w:rFonts w:ascii="Garamond" w:hAnsi="Garamond" w:cs="Times New Roman"/>
          <w:color w:val="000000"/>
          <w:sz w:val="24"/>
          <w:szCs w:val="24"/>
          <w:lang w:val="sq-AL"/>
        </w:rPr>
        <w:t>proporcionalitetit</w:t>
      </w:r>
      <w:proofErr w:type="spellEnd"/>
      <w:r w:rsidRPr="009A61D1">
        <w:rPr>
          <w:rFonts w:ascii="Garamond" w:hAnsi="Garamond" w:cs="Times New Roman"/>
          <w:color w:val="000000"/>
          <w:sz w:val="24"/>
          <w:szCs w:val="24"/>
          <w:lang w:val="sq-AL"/>
        </w:rPr>
        <w:t>, të parashikuar nga Kodi i Procedurave Administrative dhe ligji nr.</w:t>
      </w:r>
      <w:r w:rsidR="00823C4C">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 xml:space="preserve">99/2024, “Për inspektimin në Republikën e Shqipërisë”, për sa i takon procedurës së inspektimit, si dhe për aq sa është e nevojshme dhe e përshtatshme për arritjen e qëllimit dhe objektivave të inspektimit, si dhe </w:t>
      </w:r>
      <w:proofErr w:type="spellStart"/>
      <w:r w:rsidRPr="009A61D1">
        <w:rPr>
          <w:rFonts w:ascii="Garamond" w:hAnsi="Garamond" w:cs="Times New Roman"/>
          <w:color w:val="000000"/>
          <w:sz w:val="24"/>
          <w:szCs w:val="24"/>
          <w:lang w:val="sq-AL"/>
        </w:rPr>
        <w:t>mospërsëritjen</w:t>
      </w:r>
      <w:proofErr w:type="spellEnd"/>
      <w:r w:rsidRPr="009A61D1">
        <w:rPr>
          <w:rFonts w:ascii="Garamond" w:hAnsi="Garamond" w:cs="Times New Roman"/>
          <w:color w:val="000000"/>
          <w:sz w:val="24"/>
          <w:szCs w:val="24"/>
          <w:lang w:val="sq-AL"/>
        </w:rPr>
        <w:t xml:space="preserve"> e shkeljes së kërkesave ligjore.</w:t>
      </w:r>
    </w:p>
    <w:p w14:paraId="6F40CCBC"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9A61D1">
        <w:rPr>
          <w:rFonts w:ascii="Garamond" w:hAnsi="Garamond" w:cs="Times New Roman"/>
          <w:color w:val="000000"/>
          <w:sz w:val="24"/>
          <w:szCs w:val="24"/>
          <w:lang w:val="sq-AL"/>
        </w:rPr>
        <w:t>II</w:t>
      </w:r>
      <w:proofErr w:type="spellEnd"/>
      <w:r w:rsidRPr="009A61D1">
        <w:rPr>
          <w:rFonts w:ascii="Garamond" w:hAnsi="Garamond" w:cs="Times New Roman"/>
          <w:color w:val="000000"/>
          <w:sz w:val="24"/>
          <w:szCs w:val="24"/>
          <w:lang w:val="sq-AL"/>
        </w:rPr>
        <w:t>. METODOLOGJIA E PËRCAKTIMIT TË DËNIMEVE ADMINISTRATIVE</w:t>
      </w:r>
    </w:p>
    <w:p w14:paraId="23FB3FBC"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1. Trupa inspektuese zbaton rregullat dhe procedurat uniforme për vendosjen e sanksioneve administrative, me qëllim që dënimet administrative për shkeljet e kërkesave ligjore të aplikohen në mënyrë të drejtë, të barabartë dhe të qëndrueshme për të gjitha subjektet e inspektimit.</w:t>
      </w:r>
    </w:p>
    <w:p w14:paraId="78C8D773"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2. Në inspektimin e parë pranë subjektit të inspektimit, trupa inspektuese, kur konstaton shkelje të kërkesave ligjore, për të cilat ligji i posaçëm nuk parashikon pezullimin e aktivitetit, vendos dënimin administrativ “Paralajmërim”, si dhe i lë afat subjektit të inspektimit për korrigjimin e shkeljes së konstatuar.</w:t>
      </w:r>
    </w:p>
    <w:p w14:paraId="4BFE53E8"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3. Në inspektimin për verifikimin e korrigjimit të shkeljeve, kur konstaton se shkeljet e kërkesave ligjore nuk janë korrigjuar nga ana e subjektit të inspektimit, merr dënimin administrativ që të jetë i mjaftueshëm për të arritur qëllimin e inspektimit, zgjidhjen në kohë të shkeljes, për të arritur përputhshmërinë ligjore e për të penguar përsëritjen e saj në të ardhmen dhe mungesën e bashkëpunimit nga ana e subjektit të inspektuar.</w:t>
      </w:r>
    </w:p>
    <w:p w14:paraId="76E5D24E"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4. Trupa inspektuese, në vendosjen e dënimit administrativ, bazohet në metodologjinë e llogaritjes logjike të </w:t>
      </w:r>
      <w:proofErr w:type="spellStart"/>
      <w:r w:rsidRPr="009A61D1">
        <w:rPr>
          <w:rFonts w:ascii="Garamond" w:hAnsi="Garamond" w:cs="Times New Roman"/>
          <w:color w:val="000000"/>
          <w:sz w:val="24"/>
          <w:szCs w:val="24"/>
          <w:lang w:val="sq-AL"/>
        </w:rPr>
        <w:t>të</w:t>
      </w:r>
      <w:proofErr w:type="spellEnd"/>
      <w:r w:rsidRPr="009A61D1">
        <w:rPr>
          <w:rFonts w:ascii="Garamond" w:hAnsi="Garamond" w:cs="Times New Roman"/>
          <w:color w:val="000000"/>
          <w:sz w:val="24"/>
          <w:szCs w:val="24"/>
          <w:lang w:val="sq-AL"/>
        </w:rPr>
        <w:t xml:space="preserve"> gjithë faktorëve përbërës të tij, për të realizuar zgjidhjen në kohë dhe të drejtë të shkeljes së kërkesave ligjore të konstatuara, sipas parametrave të dënimeve administrative të përcaktuara nga legjislacioni i posaçëm dhe ai i inspektimit, sipas aneksit I. </w:t>
      </w:r>
    </w:p>
    <w:p w14:paraId="69C1F12C"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5. Çdo inspektorat qendror/vendor/strukturë inspektuese në vendimin përfundimtar të inspektimit vendos të gjitha shkeljet ligjore të identifikuara nga legjislacioni i posaçëm dhe dënimet administrative përkatëse, duke bërë lidhjen e shkeljes administrative me dënimin administrativ të parashikuar në këtë legjislacion, nëpërmjet sistemit “e-Inspektimi”.</w:t>
      </w:r>
    </w:p>
    <w:p w14:paraId="504E021F" w14:textId="64FFA6B2"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9A61D1">
        <w:rPr>
          <w:rFonts w:ascii="Garamond" w:hAnsi="Garamond" w:cs="Times New Roman"/>
          <w:color w:val="000000"/>
          <w:sz w:val="24"/>
          <w:szCs w:val="24"/>
          <w:lang w:val="sq-AL"/>
        </w:rPr>
        <w:t>III</w:t>
      </w:r>
      <w:proofErr w:type="spellEnd"/>
      <w:r w:rsidRPr="009A61D1">
        <w:rPr>
          <w:rFonts w:ascii="Garamond" w:hAnsi="Garamond" w:cs="Times New Roman"/>
          <w:color w:val="000000"/>
          <w:sz w:val="24"/>
          <w:szCs w:val="24"/>
          <w:lang w:val="sq-AL"/>
        </w:rPr>
        <w:t>.</w:t>
      </w:r>
      <w:r w:rsidR="009A61D1" w:rsidRPr="009A61D1">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FAKTORËT E RISKUT PËR PËRCAKTIMIN E DËNIMEVE ADMINISTRATIVE</w:t>
      </w:r>
    </w:p>
    <w:p w14:paraId="5BB430A2"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1. Faktorët e riskut për përcaktimin e dënimit administrativ vlerësojnë shkallën e shkeljes dhe ndikimin e saj, me qëllim përcaktimin e masës së dënimit, në përputhje me parimin e </w:t>
      </w:r>
      <w:proofErr w:type="spellStart"/>
      <w:r w:rsidRPr="009A61D1">
        <w:rPr>
          <w:rFonts w:ascii="Garamond" w:hAnsi="Garamond" w:cs="Times New Roman"/>
          <w:color w:val="000000"/>
          <w:sz w:val="24"/>
          <w:szCs w:val="24"/>
          <w:lang w:val="sq-AL"/>
        </w:rPr>
        <w:t>proporcionalitetit</w:t>
      </w:r>
      <w:proofErr w:type="spellEnd"/>
      <w:r w:rsidRPr="009A61D1">
        <w:rPr>
          <w:rFonts w:ascii="Garamond" w:hAnsi="Garamond" w:cs="Times New Roman"/>
          <w:color w:val="000000"/>
          <w:sz w:val="24"/>
          <w:szCs w:val="24"/>
          <w:lang w:val="sq-AL"/>
        </w:rPr>
        <w:t xml:space="preserve"> dhe transparencës, për reflektimin me saktësi rrezikshmërinë dhe ndikimin e shkeljes.</w:t>
      </w:r>
    </w:p>
    <w:p w14:paraId="2ABA9ABC"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lastRenderedPageBreak/>
        <w:t>2. Faktorët e riskut për përcaktimin e dënimit administrativ kontribuojnë në vlerësimin e çdo shkeljeje, sipas rrethanave konkrete dhe karakteristikave të subjektit, me qëllim individualizimin e çdo shkeljeje administrative.</w:t>
      </w:r>
    </w:p>
    <w:p w14:paraId="53CED6A4"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3. Në përzgjedhjen e dënimit administrativ dhe caktimin e masës së tij, trupa inspektuese merr parasysh përmbajtjen e faktorëve, si më poshtë vijon:</w:t>
      </w:r>
    </w:p>
    <w:p w14:paraId="410D4232"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A61D1">
        <w:rPr>
          <w:rFonts w:ascii="Garamond" w:hAnsi="Garamond" w:cs="Times New Roman"/>
          <w:color w:val="000000"/>
          <w:sz w:val="24"/>
          <w:szCs w:val="24"/>
          <w:lang w:val="sq-AL"/>
        </w:rPr>
        <w:t>a) Rrethanat në të cilat është konstatuar shkelja, në bazë të elementeve faktike të evidentuara gjatë procesit të inspektimit dhe dokumentacionit përkatës;</w:t>
      </w:r>
    </w:p>
    <w:p w14:paraId="34B1523B"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A61D1">
        <w:rPr>
          <w:rFonts w:ascii="Garamond" w:hAnsi="Garamond" w:cs="Times New Roman"/>
          <w:color w:val="000000"/>
          <w:sz w:val="24"/>
          <w:szCs w:val="24"/>
          <w:lang w:val="sq-AL"/>
        </w:rPr>
        <w:t>b) Natyra, rëndësia dhe kohëzgjatja e shkeljes së kërkesës ligjore, duke marrë parasysh natyrën, objektin ose qëllimin e veprimtarisë së subjektit të inspektimit;</w:t>
      </w:r>
    </w:p>
    <w:p w14:paraId="11AC61A6"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A61D1">
        <w:rPr>
          <w:rFonts w:ascii="Garamond" w:hAnsi="Garamond" w:cs="Times New Roman"/>
          <w:color w:val="000000"/>
          <w:sz w:val="24"/>
          <w:szCs w:val="24"/>
          <w:lang w:val="sq-AL"/>
        </w:rPr>
        <w:t xml:space="preserve">c) </w:t>
      </w:r>
      <w:r w:rsidRPr="009A61D1">
        <w:rPr>
          <w:rFonts w:ascii="Garamond" w:hAnsi="Garamond" w:cs="Times New Roman"/>
          <w:sz w:val="24"/>
          <w:szCs w:val="24"/>
          <w:lang w:val="sq-AL"/>
        </w:rPr>
        <w:t xml:space="preserve">Pasojat e konstatuara të shkeljes në raport me interesin publik dhe me të drejtat e ligjshme të personave fizikë ose juridikë, për aq sa këto pasoja janë të </w:t>
      </w:r>
      <w:proofErr w:type="spellStart"/>
      <w:r w:rsidRPr="009A61D1">
        <w:rPr>
          <w:rFonts w:ascii="Garamond" w:hAnsi="Garamond" w:cs="Times New Roman"/>
          <w:sz w:val="24"/>
          <w:szCs w:val="24"/>
          <w:lang w:val="sq-AL"/>
        </w:rPr>
        <w:t>verifikueshme</w:t>
      </w:r>
      <w:proofErr w:type="spellEnd"/>
      <w:r w:rsidRPr="009A61D1">
        <w:rPr>
          <w:rFonts w:ascii="Garamond" w:hAnsi="Garamond" w:cs="Times New Roman"/>
          <w:sz w:val="24"/>
          <w:szCs w:val="24"/>
          <w:lang w:val="sq-AL"/>
        </w:rPr>
        <w:t xml:space="preserve"> gjatë procesit të inspektimit;</w:t>
      </w:r>
    </w:p>
    <w:p w14:paraId="1D2AEA55" w14:textId="3F5E7438" w:rsidR="00455752" w:rsidRPr="009A61D1" w:rsidRDefault="00455752" w:rsidP="0045575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A61D1">
        <w:rPr>
          <w:rFonts w:ascii="Garamond" w:hAnsi="Garamond" w:cs="Times New Roman"/>
          <w:color w:val="000000"/>
          <w:sz w:val="24"/>
          <w:szCs w:val="24"/>
          <w:lang w:val="sq-AL"/>
        </w:rPr>
        <w:t>ç)</w:t>
      </w:r>
      <w:r w:rsidR="009A61D1" w:rsidRPr="009A61D1">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 xml:space="preserve">Çdo veprim që subjekti i inspektimit ka ndërmarrë për të zbutur dëmin e shkaktuar, si rezultat i shkeljes së kryer; </w:t>
      </w:r>
    </w:p>
    <w:p w14:paraId="126C8E3B"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A61D1">
        <w:rPr>
          <w:rFonts w:ascii="Garamond" w:hAnsi="Garamond" w:cs="Times New Roman"/>
          <w:color w:val="000000"/>
          <w:sz w:val="24"/>
          <w:szCs w:val="24"/>
          <w:lang w:val="sq-AL"/>
        </w:rPr>
        <w:t>d) Shkalla e përgjegjësisë së subjektit të inspektimit, duke marrë parasysh masat e zbatuara prej tij, për të garantuar zbatimin e ligjit;</w:t>
      </w:r>
    </w:p>
    <w:p w14:paraId="69992E9E" w14:textId="210EBF49" w:rsidR="00455752" w:rsidRPr="009A61D1" w:rsidRDefault="00455752" w:rsidP="00455752">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9A61D1">
        <w:rPr>
          <w:rFonts w:ascii="Garamond" w:hAnsi="Garamond" w:cs="Calibri"/>
          <w:color w:val="000000"/>
          <w:sz w:val="24"/>
          <w:szCs w:val="24"/>
          <w:lang w:val="sq-AL"/>
        </w:rPr>
        <w:t>dh)</w:t>
      </w:r>
      <w:r w:rsidR="009A61D1" w:rsidRPr="009A61D1">
        <w:rPr>
          <w:rFonts w:ascii="Garamond" w:hAnsi="Garamond" w:cs="Calibri"/>
          <w:color w:val="000000"/>
          <w:sz w:val="24"/>
          <w:szCs w:val="24"/>
          <w:lang w:val="sq-AL"/>
        </w:rPr>
        <w:t xml:space="preserve"> </w:t>
      </w:r>
      <w:r w:rsidRPr="009A61D1">
        <w:rPr>
          <w:rFonts w:ascii="Garamond" w:hAnsi="Garamond" w:cs="Calibri"/>
          <w:color w:val="000000"/>
          <w:sz w:val="24"/>
          <w:szCs w:val="24"/>
          <w:lang w:val="sq-AL"/>
        </w:rPr>
        <w:t xml:space="preserve">Historiku i shkeljeve të konstatuara nga inspektimet e mëparshme, veçanërisht kur ato janë të ngjashme me shkeljet në shqyrtim apo kur subjekti është përsëritës; </w:t>
      </w:r>
    </w:p>
    <w:p w14:paraId="349E64A7"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A61D1">
        <w:rPr>
          <w:rFonts w:ascii="Garamond" w:hAnsi="Garamond" w:cs="Times New Roman"/>
          <w:color w:val="000000"/>
          <w:sz w:val="24"/>
          <w:szCs w:val="24"/>
          <w:lang w:val="sq-AL"/>
        </w:rPr>
        <w:t xml:space="preserve">e) Bashkëpunimi me institucionin përkatës për të eliminuar apo për të zgjidhur problemet në kohë; </w:t>
      </w:r>
    </w:p>
    <w:p w14:paraId="3B881ACF" w14:textId="4E053123" w:rsidR="00455752" w:rsidRPr="009A61D1" w:rsidRDefault="00455752" w:rsidP="00455752">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9A61D1">
        <w:rPr>
          <w:rFonts w:ascii="Garamond" w:hAnsi="Garamond" w:cs="Calibri"/>
          <w:color w:val="000000"/>
          <w:sz w:val="24"/>
          <w:szCs w:val="24"/>
          <w:lang w:val="sq-AL"/>
        </w:rPr>
        <w:t>ë)</w:t>
      </w:r>
      <w:r w:rsidR="009A61D1" w:rsidRPr="009A61D1">
        <w:rPr>
          <w:rFonts w:ascii="Garamond" w:hAnsi="Garamond" w:cs="Calibri"/>
          <w:color w:val="000000"/>
          <w:sz w:val="24"/>
          <w:szCs w:val="24"/>
          <w:lang w:val="sq-AL"/>
        </w:rPr>
        <w:t xml:space="preserve"> </w:t>
      </w:r>
      <w:r w:rsidRPr="009A61D1">
        <w:rPr>
          <w:rFonts w:ascii="Garamond" w:hAnsi="Garamond" w:cs="Calibri"/>
          <w:color w:val="000000"/>
          <w:sz w:val="24"/>
          <w:szCs w:val="24"/>
          <w:lang w:val="sq-AL"/>
        </w:rPr>
        <w:t xml:space="preserve">Zbatimi i masave për korrigjimin e shkeljeve, kur përpara shkeljes për të cilën jepet dënimi administrativ, këto masa janë dhënë ndaj subjektit në lidhje me të njëjtën shkelje ose shkelje të ngjashme; </w:t>
      </w:r>
    </w:p>
    <w:p w14:paraId="6F793D41"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A61D1">
        <w:rPr>
          <w:rFonts w:ascii="Garamond" w:hAnsi="Garamond" w:cs="Times New Roman"/>
          <w:color w:val="000000"/>
          <w:sz w:val="24"/>
          <w:szCs w:val="24"/>
          <w:lang w:val="sq-AL"/>
        </w:rPr>
        <w:t xml:space="preserve">f) Zbatimi i afatit të arsyeshëm të korrigjimit të shkeljeve të kërkesave ligjore dhe eliminimit të pasojave, që rrjedhin prej tyre, për aq sa nuk vjen me kundërshtim me përcaktimet e ligjit të posaçëm për afatet administrative të rikthimit të gjendjes së ligjshmërisë nga subjekti i inspektimit; </w:t>
      </w:r>
    </w:p>
    <w:p w14:paraId="192FE073"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A61D1">
        <w:rPr>
          <w:rFonts w:ascii="Garamond" w:hAnsi="Garamond" w:cs="Times New Roman"/>
          <w:color w:val="000000"/>
          <w:sz w:val="24"/>
          <w:szCs w:val="24"/>
          <w:lang w:val="sq-AL"/>
        </w:rPr>
        <w:t>g) Madhësia e subjektit të inspektimit dhe vëllimi i punës që kryen;</w:t>
      </w:r>
    </w:p>
    <w:p w14:paraId="5CC25CBD"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9A61D1">
        <w:rPr>
          <w:rFonts w:ascii="Garamond" w:hAnsi="Garamond" w:cs="Calibri"/>
          <w:color w:val="000000"/>
          <w:sz w:val="24"/>
          <w:szCs w:val="24"/>
          <w:lang w:val="sq-AL"/>
        </w:rPr>
        <w:t>gj) Eksperienca/vjetërsia në zhvillimin e veprimtarisë të subjektit të inspektimit, si rrethanë lehtësuese ose rënduese, në varësi të rastit konkret;</w:t>
      </w:r>
    </w:p>
    <w:p w14:paraId="276CAB02"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A61D1">
        <w:rPr>
          <w:rFonts w:ascii="Garamond" w:hAnsi="Garamond" w:cs="Times New Roman"/>
          <w:color w:val="000000"/>
          <w:sz w:val="24"/>
          <w:szCs w:val="24"/>
          <w:lang w:val="sq-AL"/>
        </w:rPr>
        <w:t>h) Çdo rrethanë tjetër rënduese ose lehtësuese, që lidhet me rrethanat e çështjes së inspektimit, si përfitimet financiare ose humbjet e shmangura, në mënyrë të drejtpërdrejtë ose tërthorazi nga shkelja e konstatuar.</w:t>
      </w:r>
    </w:p>
    <w:p w14:paraId="0EE9383B"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4. Për secilin nga faktorët e parashikuar në pikën 3, të këtij kreu, inspektoratet qendrore, inspektoratet vendore dhe strukturat inspektuese përcaktojnë treguesit dhe kufijtë minimalë dhe maksimalë të secilit prej tyre, për aq sa nuk vijnë në kundërshtim me ligjin e posaçëm.</w:t>
      </w:r>
    </w:p>
    <w:p w14:paraId="241EF45F" w14:textId="44BF1EB1" w:rsidR="00455752" w:rsidRPr="009A61D1" w:rsidRDefault="00455752" w:rsidP="00455752">
      <w:pPr>
        <w:autoSpaceDE w:val="0"/>
        <w:autoSpaceDN w:val="0"/>
        <w:adjustRightInd w:val="0"/>
        <w:spacing w:after="0" w:line="240" w:lineRule="auto"/>
        <w:ind w:firstLine="284"/>
        <w:rPr>
          <w:rFonts w:ascii="Garamond" w:hAnsi="Garamond" w:cs="Times New Roman"/>
          <w:color w:val="000000"/>
          <w:sz w:val="24"/>
          <w:szCs w:val="24"/>
          <w:lang w:val="sq-AL"/>
        </w:rPr>
      </w:pPr>
      <w:proofErr w:type="spellStart"/>
      <w:r w:rsidRPr="009A61D1">
        <w:rPr>
          <w:rFonts w:ascii="Garamond" w:hAnsi="Garamond" w:cs="Times New Roman"/>
          <w:color w:val="000000"/>
          <w:sz w:val="24"/>
          <w:szCs w:val="24"/>
          <w:lang w:val="sq-AL"/>
        </w:rPr>
        <w:t>IV</w:t>
      </w:r>
      <w:proofErr w:type="spellEnd"/>
      <w:r w:rsidRPr="009A61D1">
        <w:rPr>
          <w:rFonts w:ascii="Garamond" w:hAnsi="Garamond" w:cs="Times New Roman"/>
          <w:color w:val="000000"/>
          <w:sz w:val="24"/>
          <w:szCs w:val="24"/>
          <w:lang w:val="sq-AL"/>
        </w:rPr>
        <w:t>.</w:t>
      </w:r>
      <w:r w:rsidR="009A61D1" w:rsidRPr="009A61D1">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IDENTIFIKIMI DHE VLERËSIMI I FAKTORËVE</w:t>
      </w:r>
    </w:p>
    <w:p w14:paraId="5291982F"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1. Trupa inspektuese, gjatë procesit të inspektimit, identifikon gjendjen e treguesve të faktorëve, që përcaktojnë masën e dënimit, rast pas rasti, lidhur me situatat ose rrethanat e shkeljes së kërkesave ligjore të konstatuara, llojin dhe peshën e shkeljes.</w:t>
      </w:r>
    </w:p>
    <w:p w14:paraId="36881B57"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2. Gjatë procesit të inspektimit, pas identifikimit të shkeljes, trupa inspektuese realizon vlerësimin e faktorëve, duke renditur faktorët në përputhje me rëndësinë e tyre në rastin, objekt inspektimi, si dhe duke analizuar ndikimin e çdo faktori. </w:t>
      </w:r>
    </w:p>
    <w:p w14:paraId="1E8DB166"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3. Përllogaritja e </w:t>
      </w:r>
      <w:proofErr w:type="spellStart"/>
      <w:r w:rsidRPr="009A61D1">
        <w:rPr>
          <w:rFonts w:ascii="Garamond" w:hAnsi="Garamond" w:cs="Times New Roman"/>
          <w:color w:val="000000"/>
          <w:sz w:val="24"/>
          <w:szCs w:val="24"/>
          <w:lang w:val="sq-AL"/>
        </w:rPr>
        <w:t>shumatores</w:t>
      </w:r>
      <w:proofErr w:type="spellEnd"/>
      <w:r w:rsidRPr="009A61D1">
        <w:rPr>
          <w:rFonts w:ascii="Garamond" w:hAnsi="Garamond" w:cs="Times New Roman"/>
          <w:color w:val="000000"/>
          <w:sz w:val="24"/>
          <w:szCs w:val="24"/>
          <w:lang w:val="sq-AL"/>
        </w:rPr>
        <w:t xml:space="preserve"> së përgjithshme, duke përcaktuar vlerën e treguesit për çdo shkelje, kryhet nëpërmjet sistemit elektronik të inspektimeve “e-Inspektimi”.</w:t>
      </w:r>
    </w:p>
    <w:p w14:paraId="3CDB52E6"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4. Vendosja e dënimit administrativ, me masë administrative “gjobë”, bëhet në modulin përkatës për vjeljen e gjobave.</w:t>
      </w:r>
    </w:p>
    <w:p w14:paraId="450807EA"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5. Në përcaktimin e faktorëve, inspektorati qendror, inspektorati vendor dhe struktura inspektuese, sipas fushës së përgjegjësisë, vendos treguesit për secilin faktor dhe vlerësimin përkatës për çdo njërin prej tyre. Këta tregues mund të ndryshojnë sipas akteve ligjore dhe nënligjore në fuqi.</w:t>
      </w:r>
    </w:p>
    <w:p w14:paraId="602464FD"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lastRenderedPageBreak/>
        <w:t>V. TREGUESIT E FAKTORËVE QË PËRCAKTOJNË MASËN E DËNIMIT ADMINISTRATIV</w:t>
      </w:r>
    </w:p>
    <w:p w14:paraId="6F43149A"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1. Faktorët e shkeljes/kundërvajtjes administrative janë rrethanat që përcaktojnë dhe ndikojnë në masën e dënimit administrativ. </w:t>
      </w:r>
    </w:p>
    <w:p w14:paraId="7B7A37DA"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2. Treguesit e faktorëve që përcaktojnë dënimin administrativ janë komponentë të veçantë në përcaktimin e saktë të sanksioneve për shkeljet administrative të konstatuara.</w:t>
      </w:r>
    </w:p>
    <w:p w14:paraId="1ABD9338"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3. Treguesit e faktorëve të shkeljes/kundërvajtjes shprehin në mënyrë cilësore dhe sasiore peshën e tyre brenda të njëjtit faktor, si dhe ndërmjet faktorëve të ndryshëm të shkeljes/kundërvajtjes.</w:t>
      </w:r>
    </w:p>
    <w:p w14:paraId="75C589E8"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4. Treguesit e faktorëve të shkeljes/kundërvajtjes janë të matshëm në një </w:t>
      </w:r>
      <w:proofErr w:type="spellStart"/>
      <w:r w:rsidRPr="009A61D1">
        <w:rPr>
          <w:rFonts w:ascii="Garamond" w:hAnsi="Garamond" w:cs="Times New Roman"/>
          <w:color w:val="000000"/>
          <w:sz w:val="24"/>
          <w:szCs w:val="24"/>
          <w:lang w:val="sq-AL"/>
        </w:rPr>
        <w:t>shumatore</w:t>
      </w:r>
      <w:proofErr w:type="spellEnd"/>
      <w:r w:rsidRPr="009A61D1">
        <w:rPr>
          <w:rFonts w:ascii="Garamond" w:hAnsi="Garamond" w:cs="Times New Roman"/>
          <w:color w:val="000000"/>
          <w:sz w:val="24"/>
          <w:szCs w:val="24"/>
          <w:lang w:val="sq-AL"/>
        </w:rPr>
        <w:t xml:space="preserve"> të përgjithshme për të gjithë faktorët e dënimit administrativ.</w:t>
      </w:r>
    </w:p>
    <w:p w14:paraId="36487CD2"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strike/>
          <w:color w:val="000000"/>
          <w:sz w:val="24"/>
          <w:szCs w:val="24"/>
          <w:lang w:val="sq-AL"/>
        </w:rPr>
      </w:pPr>
      <w:r w:rsidRPr="009A61D1">
        <w:rPr>
          <w:rFonts w:ascii="Garamond" w:hAnsi="Garamond" w:cs="Times New Roman"/>
          <w:color w:val="000000"/>
          <w:sz w:val="24"/>
          <w:szCs w:val="24"/>
          <w:lang w:val="sq-AL"/>
        </w:rPr>
        <w:t>5. Pesha e treguesve të faktorëve të shkeljes/kundërvajtjes përditësohet në bazë të kritereve objektive të inspektorateve qendrore, inspektorateve vendore dhe strukturave inspektuese.</w:t>
      </w:r>
      <w:r w:rsidRPr="009A61D1">
        <w:rPr>
          <w:rFonts w:ascii="Garamond" w:hAnsi="Garamond" w:cs="Times New Roman"/>
          <w:strike/>
          <w:color w:val="000000"/>
          <w:sz w:val="24"/>
          <w:szCs w:val="24"/>
          <w:lang w:val="sq-AL"/>
        </w:rPr>
        <w:t xml:space="preserve"> </w:t>
      </w:r>
    </w:p>
    <w:p w14:paraId="15E961BA"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6. Inspektoratet qendrore, inspektoratet vendore dhe strukturat inspektuese përcaktojnë në rregulloren e tyre të metodologjisë së përcaktimit të dënimeve administrative, në fushën e tyre të inspektimit, pikët konkrete për secilin nga treguesit e faktorëve, brenda kufijve të caktuar për respektimin e kërkesës ligjore, duke marrë si standard praktikat më të mira kombëtare dhe ndërkombëtare.</w:t>
      </w:r>
    </w:p>
    <w:p w14:paraId="3556E374" w14:textId="459B2756"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9A61D1">
        <w:rPr>
          <w:rFonts w:ascii="Garamond" w:hAnsi="Garamond" w:cs="Times New Roman"/>
          <w:color w:val="000000"/>
          <w:sz w:val="24"/>
          <w:szCs w:val="24"/>
          <w:lang w:val="sq-AL"/>
        </w:rPr>
        <w:t>VI</w:t>
      </w:r>
      <w:proofErr w:type="spellEnd"/>
      <w:r w:rsidRPr="009A61D1">
        <w:rPr>
          <w:rFonts w:ascii="Garamond" w:hAnsi="Garamond" w:cs="Times New Roman"/>
          <w:color w:val="000000"/>
          <w:sz w:val="24"/>
          <w:szCs w:val="24"/>
          <w:lang w:val="sq-AL"/>
        </w:rPr>
        <w:t>.</w:t>
      </w:r>
      <w:r w:rsidR="009A61D1" w:rsidRPr="009A61D1">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SISTEMI I PIKËZIMIT</w:t>
      </w:r>
    </w:p>
    <w:p w14:paraId="6160AC89"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1. Klasifikimi dhe sistematizimi i faktorëve të përcaktuar për secilin inspektorat qendror, inspektorat vendor apo strukturë inspektuese realizohet nëpërmjet llogaritjes së shumës së pikëve për të gjithë treguesit dhe siguron </w:t>
      </w:r>
      <w:proofErr w:type="spellStart"/>
      <w:r w:rsidRPr="009A61D1">
        <w:rPr>
          <w:rFonts w:ascii="Garamond" w:hAnsi="Garamond" w:cs="Times New Roman"/>
          <w:color w:val="000000"/>
          <w:sz w:val="24"/>
          <w:szCs w:val="24"/>
          <w:lang w:val="sq-AL"/>
        </w:rPr>
        <w:t>proporcionalitetin</w:t>
      </w:r>
      <w:proofErr w:type="spellEnd"/>
      <w:r w:rsidRPr="009A61D1">
        <w:rPr>
          <w:rFonts w:ascii="Garamond" w:hAnsi="Garamond" w:cs="Times New Roman"/>
          <w:color w:val="000000"/>
          <w:sz w:val="24"/>
          <w:szCs w:val="24"/>
          <w:lang w:val="sq-AL"/>
        </w:rPr>
        <w:t xml:space="preserve"> në përcaktimin e masës së dënimit administrativ.</w:t>
      </w:r>
    </w:p>
    <w:p w14:paraId="54C7E3FA"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2. Matja e ndikimit të faktorëve në vlerën e dënimit realizohet nëpërmjet bashkimit të shumës së secilit faktor, sipas pikës 1, të këtij kreu.</w:t>
      </w:r>
    </w:p>
    <w:p w14:paraId="1381D05B"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3. Shkalla e pikëzimit përcakton vlerën e masës administrative në intervalin e dënimit administrativ, që parashikohen në legjislacionin e posaçëm për çdo shkelje të kërkesave ligjore. </w:t>
      </w:r>
    </w:p>
    <w:p w14:paraId="7622E110"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4. Sistemi i pikëzimit lidh kategoritë e shkeljeve me faktorët e vlerësimit, ku dënimi administrativ i përshtatshëm përcaktohet nga shuma totale pikëve të grumbulluara.</w:t>
      </w:r>
    </w:p>
    <w:p w14:paraId="332110E2"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9A61D1">
        <w:rPr>
          <w:rFonts w:ascii="Garamond" w:hAnsi="Garamond" w:cs="Times New Roman"/>
          <w:color w:val="000000"/>
          <w:sz w:val="24"/>
          <w:szCs w:val="24"/>
          <w:lang w:val="sq-AL"/>
        </w:rPr>
        <w:t>VII</w:t>
      </w:r>
      <w:proofErr w:type="spellEnd"/>
      <w:r w:rsidRPr="009A61D1">
        <w:rPr>
          <w:rFonts w:ascii="Garamond" w:hAnsi="Garamond" w:cs="Times New Roman"/>
          <w:color w:val="000000"/>
          <w:sz w:val="24"/>
          <w:szCs w:val="24"/>
          <w:lang w:val="sq-AL"/>
        </w:rPr>
        <w:t>. IMPLEMENTIMI I METODOLOGJISË SË DËNIMIT ADMINISTRATIV NË SISTEMIN ELEKTRONIK TË INSPEKTIMEVE</w:t>
      </w:r>
    </w:p>
    <w:p w14:paraId="16918180"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1. Pikëzimi për vlerësimin e dënimit administrativ integrohet në sistemin elektronik të inspektimit “e-Inspektimi”, sipas metodologjisë së përcaktimit të dënimeve administrative në këtë sistem, si dhe specifikave për çdo inspektorat qendror, inspektorat vendor apo strukturë inspektuese.</w:t>
      </w:r>
    </w:p>
    <w:p w14:paraId="6721C558"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2. Vendimi përfundimtar i inspektimit merret pas përcaktimit të masës së dënimit administrativ, bazuar në sistemin e pikëzimit, sipas tabelës së pikëzimit të faktorëve të vlerësuar.</w:t>
      </w:r>
    </w:p>
    <w:p w14:paraId="159CA381"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3. Vendimi përfundimtar i inspektimit shoqërohet nga dokumenti i matricës që </w:t>
      </w:r>
      <w:proofErr w:type="spellStart"/>
      <w:r w:rsidRPr="009A61D1">
        <w:rPr>
          <w:rFonts w:ascii="Garamond" w:hAnsi="Garamond" w:cs="Times New Roman"/>
          <w:color w:val="000000"/>
          <w:sz w:val="24"/>
          <w:szCs w:val="24"/>
          <w:lang w:val="sq-AL"/>
        </w:rPr>
        <w:t>gjeneron</w:t>
      </w:r>
      <w:proofErr w:type="spellEnd"/>
      <w:r w:rsidRPr="009A61D1">
        <w:rPr>
          <w:rFonts w:ascii="Garamond" w:hAnsi="Garamond" w:cs="Times New Roman"/>
          <w:color w:val="000000"/>
          <w:sz w:val="24"/>
          <w:szCs w:val="24"/>
          <w:lang w:val="sq-AL"/>
        </w:rPr>
        <w:t xml:space="preserve"> sistemi për dënimin administrativ, sipas aneksit I.</w:t>
      </w:r>
    </w:p>
    <w:p w14:paraId="353939DF"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proofErr w:type="spellStart"/>
      <w:r w:rsidRPr="009A61D1">
        <w:rPr>
          <w:rFonts w:ascii="Garamond" w:hAnsi="Garamond" w:cs="Calibri"/>
          <w:color w:val="000000"/>
          <w:sz w:val="24"/>
          <w:szCs w:val="24"/>
          <w:lang w:val="sq-AL"/>
        </w:rPr>
        <w:t>VIII</w:t>
      </w:r>
      <w:proofErr w:type="spellEnd"/>
      <w:r w:rsidRPr="009A61D1">
        <w:rPr>
          <w:rFonts w:ascii="Garamond" w:hAnsi="Garamond" w:cs="Calibri"/>
          <w:color w:val="000000"/>
          <w:sz w:val="24"/>
          <w:szCs w:val="24"/>
          <w:lang w:val="sq-AL"/>
        </w:rPr>
        <w:t>. KLASIFIKIMI I DËNIMEVE ADMINISTRATIVE</w:t>
      </w:r>
    </w:p>
    <w:p w14:paraId="6F6DE7B7"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1. Shkelja e kërkesave ligjore, që konstatohet nga trupa inspektuese gjatë kryerjes së procedurës inspektuese, kur nuk përbën kundërvajtje penale, përbën kundërvajtje administrative, për të cilën vendoset dënimi administrativ përkatës për arritjen e qëllimit të inspektimit.</w:t>
      </w:r>
    </w:p>
    <w:p w14:paraId="665F5129"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2. Dënimet administrative, sipas ligjit për inspektimin, klasifikohen në dënime administrative kryesore dhe dënime administrative plotësuese.</w:t>
      </w:r>
    </w:p>
    <w:p w14:paraId="71B9917F"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3. Dënimi administrativ kryesor mund të jepet bashkë me dënime plotësuese, sipas përcaktimit në ligjin e posaçëm.</w:t>
      </w:r>
    </w:p>
    <w:p w14:paraId="770F9BC9"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4. Për të njëjtën shkelje mund të vendoset një dënim administrativ kryesor dhe një apo më shumë dënime plotësuese. </w:t>
      </w:r>
    </w:p>
    <w:p w14:paraId="2CD86887"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5. Dënime administrative kryesore janë:</w:t>
      </w:r>
    </w:p>
    <w:p w14:paraId="052EDC49"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a) paralajmërimi;</w:t>
      </w:r>
    </w:p>
    <w:p w14:paraId="71C59CCE"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lastRenderedPageBreak/>
        <w:t>b) masa administrative “gjobë”;</w:t>
      </w:r>
    </w:p>
    <w:p w14:paraId="451D8532" w14:textId="77777777" w:rsidR="00455752" w:rsidRPr="009A61D1" w:rsidRDefault="00455752" w:rsidP="00455752">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c) masa administrative “gjobë” për </w:t>
      </w:r>
      <w:proofErr w:type="spellStart"/>
      <w:r w:rsidRPr="009A61D1">
        <w:rPr>
          <w:rFonts w:ascii="Garamond" w:hAnsi="Garamond" w:cs="Times New Roman"/>
          <w:color w:val="000000"/>
          <w:sz w:val="24"/>
          <w:szCs w:val="24"/>
          <w:lang w:val="sq-AL"/>
        </w:rPr>
        <w:t>moskorrigjimin</w:t>
      </w:r>
      <w:proofErr w:type="spellEnd"/>
      <w:r w:rsidRPr="009A61D1">
        <w:rPr>
          <w:rFonts w:ascii="Garamond" w:hAnsi="Garamond" w:cs="Times New Roman"/>
          <w:color w:val="000000"/>
          <w:sz w:val="24"/>
          <w:szCs w:val="24"/>
          <w:lang w:val="sq-AL"/>
        </w:rPr>
        <w:t xml:space="preserve"> e shkeljes së kërkesës ligjore, sipas ligjit për inspektimin;</w:t>
      </w:r>
    </w:p>
    <w:p w14:paraId="188B9A78" w14:textId="5B8D7A59"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ç)</w:t>
      </w:r>
      <w:r w:rsidR="009A61D1" w:rsidRPr="009A61D1">
        <w:rPr>
          <w:rFonts w:ascii="Garamond" w:hAnsi="Garamond" w:cs="Calibri"/>
          <w:color w:val="000000"/>
          <w:sz w:val="24"/>
          <w:szCs w:val="24"/>
          <w:lang w:val="sq-AL"/>
        </w:rPr>
        <w:t xml:space="preserve"> </w:t>
      </w:r>
      <w:r w:rsidRPr="009A61D1">
        <w:rPr>
          <w:rFonts w:ascii="Garamond" w:hAnsi="Garamond" w:cs="Calibri"/>
          <w:color w:val="000000"/>
          <w:sz w:val="24"/>
          <w:szCs w:val="24"/>
          <w:lang w:val="sq-AL"/>
        </w:rPr>
        <w:t>pezullimi</w:t>
      </w:r>
      <w:r w:rsidR="009A61D1" w:rsidRPr="009A61D1">
        <w:rPr>
          <w:rFonts w:ascii="Garamond" w:hAnsi="Garamond" w:cs="Calibri"/>
          <w:color w:val="000000"/>
          <w:sz w:val="24"/>
          <w:szCs w:val="24"/>
          <w:lang w:val="sq-AL"/>
        </w:rPr>
        <w:t xml:space="preserve"> </w:t>
      </w:r>
      <w:r w:rsidRPr="009A61D1">
        <w:rPr>
          <w:rFonts w:ascii="Garamond" w:hAnsi="Garamond" w:cs="Calibri"/>
          <w:color w:val="000000"/>
          <w:sz w:val="24"/>
          <w:szCs w:val="24"/>
          <w:lang w:val="sq-AL"/>
        </w:rPr>
        <w:t>aktivitetit;</w:t>
      </w:r>
    </w:p>
    <w:p w14:paraId="3EB1B620"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d) shfuqizimi i lejes, licencës ose autorizimit të përcaktuar si dënim kryesor në ligjin e posaçëm;</w:t>
      </w:r>
    </w:p>
    <w:p w14:paraId="42A4BCDF"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dh) prishja e objektit, të rezultuar me shkelje të kërkesave ligjore;</w:t>
      </w:r>
    </w:p>
    <w:p w14:paraId="44EE8948"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e) çdo masë tjetër e kësaj kategorie, e parashikuar në ligjin e posaçëm.</w:t>
      </w:r>
    </w:p>
    <w:p w14:paraId="0E1579EF"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6. Dënime administrative plotësuese janë:</w:t>
      </w:r>
    </w:p>
    <w:p w14:paraId="68F37314"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a) masa administrative “gjobë”, e përcaktuar si dënim plotësues në ligjin e posaçëm;</w:t>
      </w:r>
    </w:p>
    <w:p w14:paraId="5E92BB61" w14:textId="77777777" w:rsidR="00455752" w:rsidRPr="009A61D1" w:rsidRDefault="00455752" w:rsidP="00455752">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b) pezullimi i aktivitetit, i përcaktuar si dënim plotësues në ligjin e posaçëm;</w:t>
      </w:r>
    </w:p>
    <w:p w14:paraId="3E2B4E68" w14:textId="77777777" w:rsidR="00455752" w:rsidRPr="009A61D1" w:rsidRDefault="00455752" w:rsidP="00455752">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c) shfuqizimi i lejes, licencës ose autorizimit, e përcaktuar si dënim plotësues në ligjin e posaçëm;</w:t>
      </w:r>
    </w:p>
    <w:p w14:paraId="1E6BC147" w14:textId="39E3682B" w:rsidR="00455752" w:rsidRPr="009A61D1" w:rsidRDefault="00455752" w:rsidP="00455752">
      <w:pPr>
        <w:autoSpaceDE w:val="0"/>
        <w:autoSpaceDN w:val="0"/>
        <w:adjustRightInd w:val="0"/>
        <w:spacing w:after="0" w:line="240" w:lineRule="auto"/>
        <w:ind w:firstLine="284"/>
        <w:jc w:val="both"/>
        <w:rPr>
          <w:rFonts w:ascii="Garamond" w:hAnsi="Garamond" w:cs="Calibri"/>
          <w:color w:val="000000"/>
          <w:sz w:val="24"/>
          <w:szCs w:val="24"/>
          <w:lang w:val="sq-AL"/>
        </w:rPr>
      </w:pPr>
      <w:r w:rsidRPr="009A61D1">
        <w:rPr>
          <w:rFonts w:ascii="Garamond" w:hAnsi="Garamond" w:cs="Calibri"/>
          <w:color w:val="000000"/>
          <w:sz w:val="24"/>
          <w:szCs w:val="24"/>
          <w:lang w:val="sq-AL"/>
        </w:rPr>
        <w:t>ç)</w:t>
      </w:r>
      <w:r w:rsidR="009A61D1" w:rsidRPr="009A61D1">
        <w:rPr>
          <w:rFonts w:ascii="Garamond" w:hAnsi="Garamond" w:cs="Calibri"/>
          <w:color w:val="000000"/>
          <w:sz w:val="24"/>
          <w:szCs w:val="24"/>
          <w:lang w:val="sq-AL"/>
        </w:rPr>
        <w:t xml:space="preserve"> </w:t>
      </w:r>
      <w:r w:rsidRPr="009A61D1">
        <w:rPr>
          <w:rFonts w:ascii="Garamond" w:hAnsi="Garamond" w:cs="Calibri"/>
          <w:color w:val="000000"/>
          <w:sz w:val="24"/>
          <w:szCs w:val="24"/>
          <w:lang w:val="sq-AL"/>
        </w:rPr>
        <w:t>çdo masë tjetër administrative e barasvle</w:t>
      </w:r>
      <w:r w:rsidR="00823C4C">
        <w:rPr>
          <w:rFonts w:ascii="Garamond" w:hAnsi="Garamond" w:cs="Calibri"/>
          <w:color w:val="000000"/>
          <w:sz w:val="24"/>
          <w:szCs w:val="24"/>
          <w:lang w:val="sq-AL"/>
        </w:rPr>
        <w:t>r</w:t>
      </w:r>
      <w:r w:rsidRPr="009A61D1">
        <w:rPr>
          <w:rFonts w:ascii="Garamond" w:hAnsi="Garamond" w:cs="Calibri"/>
          <w:color w:val="000000"/>
          <w:sz w:val="24"/>
          <w:szCs w:val="24"/>
          <w:lang w:val="sq-AL"/>
        </w:rPr>
        <w:t>shme me to, sipas ligjit të posaçëm.</w:t>
      </w:r>
    </w:p>
    <w:p w14:paraId="26E27DF0"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smallCaps/>
          <w:color w:val="000000"/>
          <w:sz w:val="24"/>
          <w:szCs w:val="24"/>
          <w:lang w:val="sq-AL"/>
        </w:rPr>
      </w:pPr>
      <w:r w:rsidRPr="009A61D1">
        <w:rPr>
          <w:rFonts w:ascii="Garamond" w:hAnsi="Garamond" w:cs="Calibri"/>
          <w:color w:val="000000"/>
          <w:sz w:val="24"/>
          <w:szCs w:val="24"/>
          <w:lang w:val="sq-AL"/>
        </w:rPr>
        <w:t>7. Paralajmërimi është dënimi administrativ kryesor në inspektimin e parë të trupës së inspektimit dhe në të gjitha rastet kur konstatohen shkelje të kërkesave ligjore, që përbëjnë kundërvajtje administrative. Inspektoratet, të cilat në përputhje me ligjin e posaçëm, në inspektimin e parë zbatojnë vetëm këshillimin, nuk vendosin dënim administrativ “paralajmërim”, sipas përcaktimit të kësaj pike.</w:t>
      </w:r>
    </w:p>
    <w:p w14:paraId="5A061C0E"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smallCaps/>
          <w:color w:val="000000"/>
          <w:sz w:val="24"/>
          <w:szCs w:val="24"/>
          <w:lang w:val="sq-AL"/>
        </w:rPr>
      </w:pPr>
      <w:r w:rsidRPr="009A61D1">
        <w:rPr>
          <w:rFonts w:ascii="Garamond" w:hAnsi="Garamond" w:cs="Calibri"/>
          <w:color w:val="000000"/>
          <w:sz w:val="24"/>
          <w:szCs w:val="24"/>
          <w:lang w:val="sq-AL"/>
        </w:rPr>
        <w:t xml:space="preserve">8. Dënimi administrativ kryesor me paralajmërim nuk zbatohet në rastet e shkeljeve të rënda, për të cilat parashikohet masa e pezullimit të aktivitetit, sipas ligjit të posaçëm. </w:t>
      </w:r>
    </w:p>
    <w:p w14:paraId="376F23F2"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9. Dënimi administrativ kryesor “paralajmërim” merret nga trupa inspektuese edhe kur konstaton shkelje të kërkesave ligjore, që përbën kundërvajtje administrative, por që pasoja e ardhur është e vogël, apo për të cilën ligji i posaçëm nuk parashikon dënimin përkatës administrativ. </w:t>
      </w:r>
    </w:p>
    <w:p w14:paraId="3DC2D31B" w14:textId="77777777" w:rsidR="00455752" w:rsidRPr="009A61D1" w:rsidRDefault="00455752" w:rsidP="00455752">
      <w:pPr>
        <w:autoSpaceDE w:val="0"/>
        <w:autoSpaceDN w:val="0"/>
        <w:adjustRightInd w:val="0"/>
        <w:spacing w:after="0" w:line="240" w:lineRule="auto"/>
        <w:ind w:firstLine="284"/>
        <w:jc w:val="both"/>
        <w:rPr>
          <w:rFonts w:ascii="Garamond" w:hAnsi="Garamond" w:cs="Calibri"/>
          <w:smallCaps/>
          <w:color w:val="000000"/>
          <w:sz w:val="24"/>
          <w:szCs w:val="24"/>
          <w:lang w:val="sq-AL"/>
        </w:rPr>
      </w:pPr>
      <w:r w:rsidRPr="009A61D1">
        <w:rPr>
          <w:rFonts w:ascii="Garamond" w:hAnsi="Garamond" w:cs="Calibri"/>
          <w:color w:val="000000"/>
          <w:sz w:val="24"/>
          <w:szCs w:val="24"/>
          <w:lang w:val="sq-AL"/>
        </w:rPr>
        <w:t>10. Dënimi administrativ kryesor me paralajmërim shoqërohet me urdhërimin e subjektit për të korrigjuar shkeljet e konstatuara dhe për të eliminuar pasojat e tyre, duke përcaktuar edhe një afat të arsyeshëm për këtë qëllim. Vendimi përfshin edhe këshillimin me shkrim të subjektit për mënyrën e korrigjimit të shkeljeve.</w:t>
      </w:r>
    </w:p>
    <w:p w14:paraId="762984A1"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 xml:space="preserve">11. Çdo inspektorat qendror, inspektorat vendor dhe strukturë inspektuese harton rregulloren e metodologjisë së përcaktimit të dënimeve në fushën e tij të inspektimit, ku përcakton në mënyrë specifike dhe sipas sistemit të pikëzimit të gjitha shkeljet e kërkesave ligjore, si dhe ato me rëndësi të vogël, që përbëjnë kundërvajtje administrative ose për të cilat ligji i posaçëm nuk parashikon dënim administrativ, për të cilat subjekti dënohet me “paralajmërim”. </w:t>
      </w:r>
    </w:p>
    <w:p w14:paraId="31D1FBD1" w14:textId="7777777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12. Kjo rregullore i paraqitet për dhënie mendimi inspektorit të Përgjithshëm, i cili ia dërgon për miratim ministrit përgjegjës për inspektoratet qendrore dhe kryetarit të bashkisë për inspektoratet vendore.</w:t>
      </w:r>
    </w:p>
    <w:p w14:paraId="5FB646FB" w14:textId="5796DA67"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9A61D1">
        <w:rPr>
          <w:rFonts w:ascii="Garamond" w:hAnsi="Garamond" w:cs="Times New Roman"/>
          <w:color w:val="000000"/>
          <w:sz w:val="24"/>
          <w:szCs w:val="24"/>
          <w:lang w:val="sq-AL"/>
        </w:rPr>
        <w:t>IX</w:t>
      </w:r>
      <w:proofErr w:type="spellEnd"/>
      <w:r w:rsidRPr="009A61D1">
        <w:rPr>
          <w:rFonts w:ascii="Garamond" w:hAnsi="Garamond" w:cs="Times New Roman"/>
          <w:color w:val="000000"/>
          <w:sz w:val="24"/>
          <w:szCs w:val="24"/>
          <w:lang w:val="sq-AL"/>
        </w:rPr>
        <w:t>.</w:t>
      </w:r>
      <w:r w:rsidR="009A61D1" w:rsidRPr="009A61D1">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DISPOZITA TË FUNDIT</w:t>
      </w:r>
    </w:p>
    <w:p w14:paraId="6ECE0504" w14:textId="06958E63" w:rsidR="00455752" w:rsidRPr="009A61D1" w:rsidRDefault="00455752" w:rsidP="0045575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A61D1">
        <w:rPr>
          <w:rFonts w:ascii="Garamond" w:hAnsi="Garamond" w:cs="Times New Roman"/>
          <w:color w:val="000000"/>
          <w:sz w:val="24"/>
          <w:szCs w:val="24"/>
          <w:lang w:val="sq-AL"/>
        </w:rPr>
        <w:t>Ngarkohen inspektoratet qendrore, inspektoratet vendore dhe strukturat e tjera inspektuese të hartojnë dhe të miratojnë rregulloret e tyre, sipas metodologjisë së përgjithshme të përcaktimit të dënimeve administrative, në fushën e tyre të inspektimit, sipas parashikimeve të pikës 8, të nenit 44, të ligjit nr.</w:t>
      </w:r>
      <w:r w:rsidR="00B37472">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99/2024, “Për inspektimin në Republikën</w:t>
      </w:r>
      <w:r w:rsidR="009A61D1" w:rsidRPr="009A61D1">
        <w:rPr>
          <w:rFonts w:ascii="Garamond" w:hAnsi="Garamond" w:cs="Times New Roman"/>
          <w:color w:val="000000"/>
          <w:sz w:val="24"/>
          <w:szCs w:val="24"/>
          <w:lang w:val="sq-AL"/>
        </w:rPr>
        <w:t xml:space="preserve"> </w:t>
      </w:r>
      <w:r w:rsidRPr="009A61D1">
        <w:rPr>
          <w:rFonts w:ascii="Garamond" w:hAnsi="Garamond" w:cs="Times New Roman"/>
          <w:color w:val="000000"/>
          <w:sz w:val="24"/>
          <w:szCs w:val="24"/>
          <w:lang w:val="sq-AL"/>
        </w:rPr>
        <w:t>Shqipërisë”.</w:t>
      </w:r>
    </w:p>
    <w:p w14:paraId="70A351A0" w14:textId="77777777" w:rsidR="00455752" w:rsidRPr="009A61D1" w:rsidRDefault="00455752" w:rsidP="00455752">
      <w:pPr>
        <w:spacing w:after="0" w:line="240" w:lineRule="auto"/>
        <w:ind w:firstLine="284"/>
        <w:rPr>
          <w:rFonts w:ascii="Garamond" w:hAnsi="Garamond" w:cs="Times New Roman"/>
          <w:b/>
          <w:sz w:val="24"/>
          <w:szCs w:val="24"/>
          <w:lang w:val="sq-AL"/>
        </w:rPr>
      </w:pPr>
    </w:p>
    <w:p w14:paraId="447F6BF9" w14:textId="121E7F12" w:rsidR="00455752" w:rsidRPr="00B37472" w:rsidRDefault="00B37472" w:rsidP="00B37472">
      <w:pPr>
        <w:spacing w:after="0" w:line="240" w:lineRule="auto"/>
        <w:ind w:firstLine="284"/>
        <w:jc w:val="center"/>
        <w:rPr>
          <w:rFonts w:ascii="Garamond" w:hAnsi="Garamond" w:cs="Times New Roman"/>
          <w:bCs/>
          <w:sz w:val="24"/>
          <w:szCs w:val="24"/>
          <w:lang w:val="sq-AL"/>
        </w:rPr>
      </w:pPr>
      <w:r w:rsidRPr="00B37472">
        <w:rPr>
          <w:rFonts w:ascii="Garamond" w:hAnsi="Garamond" w:cs="Times New Roman"/>
          <w:bCs/>
          <w:sz w:val="24"/>
          <w:szCs w:val="24"/>
          <w:lang w:val="sq-AL"/>
        </w:rPr>
        <w:t>ANEKS I</w:t>
      </w:r>
    </w:p>
    <w:p w14:paraId="675E0B3E" w14:textId="10CFB5AA" w:rsidR="00455752" w:rsidRPr="009A61D1" w:rsidRDefault="00455752" w:rsidP="00455752">
      <w:pPr>
        <w:spacing w:after="0" w:line="240" w:lineRule="auto"/>
        <w:ind w:firstLine="284"/>
        <w:jc w:val="center"/>
        <w:rPr>
          <w:rStyle w:val="hps"/>
          <w:rFonts w:ascii="Garamond" w:hAnsi="Garamond" w:cs="Times New Roman"/>
          <w:sz w:val="24"/>
          <w:szCs w:val="24"/>
          <w:lang w:val="sq-AL"/>
        </w:rPr>
      </w:pPr>
      <w:r w:rsidRPr="009A61D1">
        <w:rPr>
          <w:rStyle w:val="hps"/>
          <w:rFonts w:ascii="Garamond" w:hAnsi="Garamond" w:cs="Times New Roman"/>
          <w:sz w:val="24"/>
          <w:szCs w:val="24"/>
          <w:lang w:val="sq-AL"/>
        </w:rPr>
        <w:t>CAKTIMI</w:t>
      </w:r>
      <w:r w:rsidR="009A61D1" w:rsidRPr="009A61D1">
        <w:rPr>
          <w:rStyle w:val="hps"/>
          <w:rFonts w:ascii="Garamond" w:hAnsi="Garamond" w:cs="Times New Roman"/>
          <w:sz w:val="24"/>
          <w:szCs w:val="24"/>
          <w:lang w:val="sq-AL"/>
        </w:rPr>
        <w:t xml:space="preserve"> </w:t>
      </w:r>
      <w:r w:rsidRPr="009A61D1">
        <w:rPr>
          <w:rStyle w:val="hps"/>
          <w:rFonts w:ascii="Garamond" w:hAnsi="Garamond" w:cs="Times New Roman"/>
          <w:sz w:val="24"/>
          <w:szCs w:val="24"/>
          <w:lang w:val="sq-AL"/>
        </w:rPr>
        <w:t>I DËNIMIT ADMINISTRATIV</w:t>
      </w:r>
    </w:p>
    <w:p w14:paraId="1DE236EC" w14:textId="77777777" w:rsidR="00455752" w:rsidRPr="009A61D1" w:rsidRDefault="00455752" w:rsidP="00455752">
      <w:pPr>
        <w:spacing w:after="0" w:line="240" w:lineRule="auto"/>
        <w:ind w:firstLine="284"/>
        <w:jc w:val="center"/>
        <w:rPr>
          <w:rStyle w:val="hps"/>
          <w:rFonts w:ascii="Garamond" w:hAnsi="Garamond" w:cs="Times New Roman"/>
          <w:sz w:val="24"/>
          <w:szCs w:val="24"/>
          <w:lang w:val="sq-AL"/>
        </w:rPr>
      </w:pPr>
    </w:p>
    <w:p w14:paraId="0A61B6B5" w14:textId="2B5E519D" w:rsidR="00455752" w:rsidRPr="009A61D1" w:rsidRDefault="00455752" w:rsidP="00455752">
      <w:pPr>
        <w:spacing w:after="0" w:line="240" w:lineRule="auto"/>
        <w:ind w:firstLine="284"/>
        <w:rPr>
          <w:rFonts w:ascii="Garamond" w:hAnsi="Garamond" w:cs="Times New Roman"/>
          <w:sz w:val="24"/>
          <w:szCs w:val="24"/>
          <w:lang w:val="sq-AL"/>
        </w:rPr>
      </w:pPr>
      <w:r w:rsidRPr="009A61D1">
        <w:rPr>
          <w:rFonts w:ascii="Garamond" w:eastAsia="Calibri" w:hAnsi="Garamond" w:cs="Times New Roman"/>
          <w:sz w:val="24"/>
          <w:szCs w:val="24"/>
          <w:lang w:val="sq-AL"/>
        </w:rPr>
        <w:t xml:space="preserve">Nr. </w:t>
      </w:r>
      <w:proofErr w:type="spellStart"/>
      <w:r w:rsidRPr="009A61D1">
        <w:rPr>
          <w:rFonts w:ascii="Garamond" w:eastAsia="Calibri" w:hAnsi="Garamond" w:cs="Times New Roman"/>
          <w:sz w:val="24"/>
          <w:szCs w:val="24"/>
          <w:lang w:val="sq-AL"/>
        </w:rPr>
        <w:t>III</w:t>
      </w:r>
      <w:proofErr w:type="spellEnd"/>
      <w:r w:rsidRPr="009A61D1">
        <w:rPr>
          <w:rFonts w:ascii="Garamond" w:eastAsia="Calibri" w:hAnsi="Garamond" w:cs="Times New Roman"/>
          <w:sz w:val="24"/>
          <w:szCs w:val="24"/>
          <w:lang w:val="sq-AL"/>
        </w:rPr>
        <w:t>/00000007/</w:t>
      </w:r>
      <w:proofErr w:type="spellStart"/>
      <w:r w:rsidRPr="009A61D1">
        <w:rPr>
          <w:rFonts w:ascii="Garamond" w:eastAsia="Calibri" w:hAnsi="Garamond" w:cs="Times New Roman"/>
          <w:sz w:val="24"/>
          <w:szCs w:val="24"/>
          <w:lang w:val="sq-AL"/>
        </w:rPr>
        <w:t>VP</w:t>
      </w:r>
      <w:proofErr w:type="spellEnd"/>
      <w:r w:rsidR="00FE1A05">
        <w:rPr>
          <w:rFonts w:ascii="Garamond" w:eastAsia="Calibri" w:hAnsi="Garamond" w:cs="Times New Roman"/>
          <w:sz w:val="24"/>
          <w:szCs w:val="24"/>
          <w:lang w:val="sq-AL"/>
        </w:rPr>
        <w:t>,</w:t>
      </w:r>
      <w:r w:rsidR="009A61D1" w:rsidRPr="009A61D1">
        <w:rPr>
          <w:rFonts w:ascii="Garamond" w:hAnsi="Garamond" w:cs="Times New Roman"/>
          <w:sz w:val="24"/>
          <w:szCs w:val="24"/>
          <w:lang w:val="sq-AL"/>
        </w:rPr>
        <w:t xml:space="preserve"> </w:t>
      </w:r>
      <w:r w:rsidR="00FE1A05" w:rsidRPr="009A61D1">
        <w:rPr>
          <w:rFonts w:ascii="Garamond" w:eastAsia="Calibri" w:hAnsi="Garamond" w:cs="Times New Roman"/>
          <w:sz w:val="24"/>
          <w:szCs w:val="24"/>
          <w:lang w:val="sq-AL"/>
        </w:rPr>
        <w:t xml:space="preserve">datë </w:t>
      </w:r>
      <w:r w:rsidRPr="009A61D1">
        <w:rPr>
          <w:rFonts w:ascii="Garamond" w:eastAsia="Calibri" w:hAnsi="Garamond" w:cs="Times New Roman"/>
          <w:sz w:val="24"/>
          <w:szCs w:val="24"/>
          <w:lang w:val="sq-AL"/>
        </w:rPr>
        <w:t>___</w:t>
      </w:r>
      <w:r w:rsidR="00B37472">
        <w:rPr>
          <w:rFonts w:ascii="Garamond" w:eastAsia="Calibri" w:hAnsi="Garamond" w:cs="Times New Roman"/>
          <w:sz w:val="24"/>
          <w:szCs w:val="24"/>
          <w:lang w:val="sq-AL"/>
        </w:rPr>
        <w:t>.</w:t>
      </w:r>
      <w:r w:rsidRPr="009A61D1">
        <w:rPr>
          <w:rFonts w:ascii="Garamond" w:eastAsia="Calibri" w:hAnsi="Garamond" w:cs="Times New Roman"/>
          <w:sz w:val="24"/>
          <w:szCs w:val="24"/>
          <w:lang w:val="sq-AL"/>
        </w:rPr>
        <w:t>___</w:t>
      </w:r>
      <w:r w:rsidR="00B37472">
        <w:rPr>
          <w:rFonts w:ascii="Garamond" w:eastAsia="Calibri" w:hAnsi="Garamond" w:cs="Times New Roman"/>
          <w:sz w:val="24"/>
          <w:szCs w:val="24"/>
          <w:lang w:val="sq-AL"/>
        </w:rPr>
        <w:t>.</w:t>
      </w:r>
      <w:r w:rsidRPr="009A61D1">
        <w:rPr>
          <w:rFonts w:ascii="Garamond" w:eastAsia="Calibri" w:hAnsi="Garamond" w:cs="Times New Roman"/>
          <w:sz w:val="24"/>
          <w:szCs w:val="24"/>
          <w:lang w:val="sq-AL"/>
        </w:rPr>
        <w:t xml:space="preserve">______ </w:t>
      </w:r>
    </w:p>
    <w:p w14:paraId="61AAEF5B" w14:textId="77777777" w:rsidR="00455752" w:rsidRPr="009A61D1" w:rsidRDefault="00455752" w:rsidP="00455752">
      <w:pPr>
        <w:spacing w:after="0" w:line="240" w:lineRule="auto"/>
        <w:ind w:firstLine="284"/>
        <w:rPr>
          <w:rFonts w:ascii="Garamond" w:hAnsi="Garamond" w:cs="Times New Roman"/>
          <w:sz w:val="24"/>
          <w:szCs w:val="24"/>
          <w:lang w:val="sq-AL"/>
        </w:rPr>
      </w:pPr>
      <w:r w:rsidRPr="009A61D1">
        <w:rPr>
          <w:rFonts w:ascii="Garamond" w:hAnsi="Garamond" w:cs="Times New Roman"/>
          <w:sz w:val="24"/>
          <w:szCs w:val="24"/>
          <w:lang w:val="sq-AL"/>
        </w:rPr>
        <w:t>_________________________________________</w:t>
      </w:r>
      <w:bookmarkStart w:id="0" w:name="_GoBack"/>
      <w:bookmarkEnd w:id="0"/>
    </w:p>
    <w:p w14:paraId="75AD5956" w14:textId="77777777" w:rsidR="00455752" w:rsidRPr="009A61D1" w:rsidRDefault="00455752" w:rsidP="00455752">
      <w:pPr>
        <w:spacing w:after="0" w:line="240" w:lineRule="auto"/>
        <w:ind w:firstLine="284"/>
        <w:rPr>
          <w:rFonts w:ascii="Garamond" w:hAnsi="Garamond" w:cs="Times New Roman"/>
          <w:sz w:val="24"/>
          <w:szCs w:val="24"/>
          <w:lang w:val="sq-AL"/>
        </w:rPr>
      </w:pPr>
      <w:r w:rsidRPr="009A61D1">
        <w:rPr>
          <w:rFonts w:ascii="Garamond" w:hAnsi="Garamond" w:cs="Times New Roman"/>
          <w:sz w:val="24"/>
          <w:szCs w:val="24"/>
          <w:lang w:val="sq-AL"/>
        </w:rPr>
        <w:t>(Emërtimi i inspektoratit)</w:t>
      </w:r>
    </w:p>
    <w:p w14:paraId="16492BEF" w14:textId="77777777" w:rsidR="00455752" w:rsidRPr="009A61D1" w:rsidRDefault="00455752" w:rsidP="00455752">
      <w:pPr>
        <w:spacing w:after="0" w:line="240" w:lineRule="auto"/>
        <w:ind w:firstLine="284"/>
        <w:rPr>
          <w:rFonts w:ascii="Garamond" w:hAnsi="Garamond" w:cs="Times New Roman"/>
          <w:sz w:val="24"/>
          <w:szCs w:val="24"/>
          <w:lang w:val="sq-AL"/>
        </w:rPr>
      </w:pPr>
    </w:p>
    <w:p w14:paraId="102734B0" w14:textId="77777777" w:rsidR="00455752" w:rsidRPr="009A61D1" w:rsidRDefault="00455752" w:rsidP="00455752">
      <w:pPr>
        <w:spacing w:after="0" w:line="240" w:lineRule="auto"/>
        <w:ind w:firstLine="284"/>
        <w:rPr>
          <w:rFonts w:ascii="Garamond" w:hAnsi="Garamond" w:cs="Times New Roman"/>
          <w:sz w:val="24"/>
          <w:szCs w:val="24"/>
          <w:lang w:val="sq-AL"/>
        </w:rPr>
      </w:pPr>
      <w:r w:rsidRPr="009A61D1">
        <w:rPr>
          <w:rFonts w:ascii="Garamond" w:hAnsi="Garamond" w:cs="Times New Roman"/>
          <w:sz w:val="24"/>
          <w:szCs w:val="24"/>
          <w:lang w:val="sq-AL"/>
        </w:rPr>
        <w:t>______________________________________________</w:t>
      </w:r>
    </w:p>
    <w:p w14:paraId="4B1CF4A4" w14:textId="77777777" w:rsidR="00455752" w:rsidRPr="009A61D1" w:rsidRDefault="00455752" w:rsidP="00455752">
      <w:pPr>
        <w:spacing w:after="0" w:line="240" w:lineRule="auto"/>
        <w:ind w:firstLine="284"/>
        <w:rPr>
          <w:rFonts w:ascii="Garamond" w:hAnsi="Garamond" w:cs="Times New Roman"/>
          <w:sz w:val="24"/>
          <w:szCs w:val="24"/>
          <w:lang w:val="sq-AL"/>
        </w:rPr>
      </w:pPr>
      <w:r w:rsidRPr="009A61D1">
        <w:rPr>
          <w:rFonts w:ascii="Garamond" w:hAnsi="Garamond" w:cs="Times New Roman"/>
          <w:sz w:val="24"/>
          <w:szCs w:val="24"/>
          <w:lang w:val="sq-AL"/>
        </w:rPr>
        <w:t>(Në rast të drejtorive rajonale – Drejtoria Rajonale)</w:t>
      </w:r>
    </w:p>
    <w:p w14:paraId="30E213F7" w14:textId="77777777" w:rsidR="00455752" w:rsidRPr="009A61D1" w:rsidRDefault="00455752" w:rsidP="00455752">
      <w:pPr>
        <w:spacing w:after="0" w:line="240" w:lineRule="auto"/>
        <w:ind w:firstLine="284"/>
        <w:jc w:val="both"/>
        <w:rPr>
          <w:rFonts w:ascii="Garamond" w:hAnsi="Garamond" w:cs="Times New Roman"/>
          <w:sz w:val="24"/>
          <w:szCs w:val="24"/>
          <w:lang w:val="sq-AL"/>
        </w:rPr>
      </w:pPr>
      <w:r w:rsidRPr="009A61D1">
        <w:rPr>
          <w:rFonts w:ascii="Garamond" w:hAnsi="Garamond" w:cs="Times New Roman"/>
          <w:sz w:val="24"/>
          <w:szCs w:val="24"/>
          <w:lang w:val="sq-AL"/>
        </w:rPr>
        <w:t> </w:t>
      </w:r>
    </w:p>
    <w:p w14:paraId="6C24C325" w14:textId="77777777" w:rsidR="00455752" w:rsidRPr="009A61D1" w:rsidRDefault="00455752" w:rsidP="00455752">
      <w:pPr>
        <w:spacing w:after="0" w:line="240" w:lineRule="auto"/>
        <w:ind w:firstLine="284"/>
        <w:jc w:val="both"/>
        <w:rPr>
          <w:rFonts w:ascii="Garamond" w:hAnsi="Garamond" w:cs="Times New Roman"/>
          <w:sz w:val="24"/>
          <w:szCs w:val="24"/>
          <w:lang w:val="sq-AL"/>
        </w:rPr>
      </w:pPr>
      <w:r w:rsidRPr="009A61D1">
        <w:rPr>
          <w:rFonts w:ascii="Garamond" w:hAnsi="Garamond" w:cs="Times New Roman"/>
          <w:sz w:val="24"/>
          <w:szCs w:val="24"/>
          <w:lang w:val="sq-AL"/>
        </w:rPr>
        <w:lastRenderedPageBreak/>
        <w:t>Emri i subjektit (kjo pjesë plotësohet nga sistemi)</w:t>
      </w:r>
    </w:p>
    <w:p w14:paraId="595F492B" w14:textId="77777777" w:rsidR="00455752" w:rsidRPr="009A61D1" w:rsidRDefault="00455752" w:rsidP="00455752">
      <w:pPr>
        <w:spacing w:after="0" w:line="240" w:lineRule="auto"/>
        <w:ind w:firstLine="284"/>
        <w:jc w:val="both"/>
        <w:rPr>
          <w:rFonts w:ascii="Garamond" w:hAnsi="Garamond" w:cs="Times New Roman"/>
          <w:sz w:val="24"/>
          <w:szCs w:val="24"/>
          <w:lang w:val="sq-AL"/>
        </w:rPr>
      </w:pPr>
    </w:p>
    <w:p w14:paraId="3786D1A9" w14:textId="24E5EFD8" w:rsidR="00455752" w:rsidRPr="009A61D1" w:rsidRDefault="00455752" w:rsidP="00455752">
      <w:pPr>
        <w:spacing w:after="0" w:line="240" w:lineRule="auto"/>
        <w:ind w:firstLine="284"/>
        <w:jc w:val="both"/>
        <w:rPr>
          <w:rFonts w:ascii="Garamond" w:hAnsi="Garamond" w:cs="Times New Roman"/>
          <w:sz w:val="24"/>
          <w:szCs w:val="24"/>
          <w:lang w:val="sq-AL"/>
        </w:rPr>
      </w:pPr>
      <w:r w:rsidRPr="009A61D1">
        <w:rPr>
          <w:rFonts w:ascii="Garamond" w:hAnsi="Garamond" w:cs="Times New Roman"/>
          <w:sz w:val="24"/>
          <w:szCs w:val="24"/>
          <w:lang w:val="sq-AL"/>
        </w:rPr>
        <w:t>Në zbatim të nenit 43, të ligjit nr.</w:t>
      </w:r>
      <w:r w:rsidR="00B37472">
        <w:rPr>
          <w:rFonts w:ascii="Garamond" w:hAnsi="Garamond" w:cs="Times New Roman"/>
          <w:sz w:val="24"/>
          <w:szCs w:val="24"/>
          <w:lang w:val="sq-AL"/>
        </w:rPr>
        <w:t xml:space="preserve"> </w:t>
      </w:r>
      <w:r w:rsidRPr="009A61D1">
        <w:rPr>
          <w:rFonts w:ascii="Garamond" w:hAnsi="Garamond" w:cs="Times New Roman"/>
          <w:sz w:val="24"/>
          <w:szCs w:val="24"/>
          <w:lang w:val="sq-AL"/>
        </w:rPr>
        <w:t>99/2024, “Për inspektimin në Republikën e Shqipërisë”, dhe ligjit të posaçëm,</w:t>
      </w:r>
    </w:p>
    <w:p w14:paraId="4A260E78" w14:textId="77777777" w:rsidR="00455752" w:rsidRPr="009A61D1" w:rsidRDefault="00455752" w:rsidP="00455752">
      <w:pPr>
        <w:spacing w:after="0" w:line="240" w:lineRule="auto"/>
        <w:ind w:firstLine="284"/>
        <w:jc w:val="both"/>
        <w:rPr>
          <w:rFonts w:ascii="Garamond" w:hAnsi="Garamond" w:cs="Times New Roman"/>
          <w:sz w:val="24"/>
          <w:szCs w:val="24"/>
          <w:lang w:val="sq-AL"/>
        </w:rPr>
      </w:pPr>
      <w:r w:rsidRPr="009A61D1">
        <w:rPr>
          <w:rFonts w:ascii="Garamond" w:hAnsi="Garamond" w:cs="Times New Roman"/>
          <w:sz w:val="24"/>
          <w:szCs w:val="24"/>
          <w:lang w:val="sq-AL"/>
        </w:rPr>
        <w:t>Shpjegimi i fakteve që janë bërë shkak për vendosje të dënimit administrativ:</w:t>
      </w:r>
    </w:p>
    <w:p w14:paraId="3105F5C6" w14:textId="77777777" w:rsidR="00455752" w:rsidRPr="009A61D1" w:rsidRDefault="00455752" w:rsidP="00455752">
      <w:pPr>
        <w:spacing w:after="0" w:line="240" w:lineRule="auto"/>
        <w:ind w:firstLine="284"/>
        <w:jc w:val="center"/>
        <w:rPr>
          <w:rStyle w:val="hps"/>
          <w:rFonts w:ascii="Garamond" w:hAnsi="Garamond" w:cs="Times New Roman"/>
          <w:sz w:val="24"/>
          <w:szCs w:val="24"/>
          <w:u w:val="single"/>
          <w:lang w:val="sq-AL"/>
        </w:rPr>
      </w:pPr>
    </w:p>
    <w:p w14:paraId="4CB28126" w14:textId="73FCF767" w:rsidR="00455752" w:rsidRPr="00B37472" w:rsidRDefault="00B37472" w:rsidP="00455752">
      <w:pPr>
        <w:spacing w:after="0" w:line="240" w:lineRule="auto"/>
        <w:ind w:firstLine="284"/>
        <w:jc w:val="center"/>
        <w:rPr>
          <w:rStyle w:val="hps"/>
          <w:rFonts w:ascii="Garamond" w:hAnsi="Garamond" w:cs="Times New Roman"/>
          <w:sz w:val="24"/>
          <w:szCs w:val="24"/>
          <w:lang w:val="sq-AL"/>
        </w:rPr>
      </w:pPr>
      <w:r w:rsidRPr="00B37472">
        <w:rPr>
          <w:rStyle w:val="hps"/>
          <w:rFonts w:ascii="Garamond" w:hAnsi="Garamond" w:cs="Times New Roman"/>
          <w:sz w:val="24"/>
          <w:szCs w:val="24"/>
          <w:lang w:val="sq-AL"/>
        </w:rPr>
        <w:t xml:space="preserve">FAKTORËT E DËNIMIT ADMINISTRATIV </w:t>
      </w:r>
    </w:p>
    <w:p w14:paraId="38033337" w14:textId="77777777" w:rsidR="00B37472" w:rsidRPr="009A61D1" w:rsidRDefault="00B37472" w:rsidP="00455752">
      <w:pPr>
        <w:spacing w:after="0" w:line="240" w:lineRule="auto"/>
        <w:ind w:firstLine="284"/>
        <w:jc w:val="center"/>
        <w:rPr>
          <w:rStyle w:val="hps"/>
          <w:rFonts w:ascii="Garamond" w:hAnsi="Garamond" w:cs="Times New Roman"/>
          <w:b/>
          <w:sz w:val="24"/>
          <w:szCs w:val="24"/>
          <w:u w:val="single"/>
          <w:lang w:val="sq-AL"/>
        </w:rPr>
      </w:pPr>
    </w:p>
    <w:tbl>
      <w:tblPr>
        <w:tblW w:w="9960" w:type="dxa"/>
        <w:jc w:val="center"/>
        <w:tblLook w:val="04A0" w:firstRow="1" w:lastRow="0" w:firstColumn="1" w:lastColumn="0" w:noHBand="0" w:noVBand="1"/>
      </w:tblPr>
      <w:tblGrid>
        <w:gridCol w:w="960"/>
        <w:gridCol w:w="7480"/>
        <w:gridCol w:w="1520"/>
      </w:tblGrid>
      <w:tr w:rsidR="00455752" w:rsidRPr="009A61D1" w14:paraId="54543FAC" w14:textId="77777777" w:rsidTr="009A61D1">
        <w:trPr>
          <w:trHeight w:val="2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116EEF" w14:textId="77777777" w:rsidR="00455752" w:rsidRPr="009A61D1" w:rsidRDefault="00455752" w:rsidP="009A61D1">
            <w:pPr>
              <w:spacing w:after="0" w:line="240" w:lineRule="auto"/>
              <w:jc w:val="center"/>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 xml:space="preserve">Nr. </w:t>
            </w:r>
          </w:p>
        </w:tc>
        <w:tc>
          <w:tcPr>
            <w:tcW w:w="7480" w:type="dxa"/>
            <w:tcBorders>
              <w:top w:val="single" w:sz="4" w:space="0" w:color="auto"/>
              <w:left w:val="nil"/>
              <w:bottom w:val="single" w:sz="4" w:space="0" w:color="auto"/>
              <w:right w:val="single" w:sz="4" w:space="0" w:color="auto"/>
            </w:tcBorders>
            <w:shd w:val="clear" w:color="auto" w:fill="auto"/>
            <w:noWrap/>
            <w:vAlign w:val="bottom"/>
            <w:hideMark/>
          </w:tcPr>
          <w:p w14:paraId="72D9C8BF" w14:textId="77777777" w:rsidR="00455752" w:rsidRPr="009A61D1" w:rsidRDefault="00455752" w:rsidP="009A61D1">
            <w:pPr>
              <w:spacing w:after="0" w:line="240" w:lineRule="auto"/>
              <w:jc w:val="center"/>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FAKTORËT</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27F74664" w14:textId="77777777" w:rsidR="00455752" w:rsidRPr="009A61D1" w:rsidRDefault="00455752" w:rsidP="009A61D1">
            <w:pPr>
              <w:spacing w:after="0" w:line="240" w:lineRule="auto"/>
              <w:jc w:val="center"/>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PIKËT</w:t>
            </w:r>
          </w:p>
        </w:tc>
      </w:tr>
      <w:tr w:rsidR="00455752" w:rsidRPr="009A61D1" w14:paraId="75BAC8A9"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1B7F0E"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1</w:t>
            </w:r>
          </w:p>
        </w:tc>
        <w:tc>
          <w:tcPr>
            <w:tcW w:w="7480" w:type="dxa"/>
            <w:tcBorders>
              <w:top w:val="nil"/>
              <w:left w:val="nil"/>
              <w:bottom w:val="single" w:sz="4" w:space="0" w:color="auto"/>
              <w:right w:val="single" w:sz="4" w:space="0" w:color="auto"/>
            </w:tcBorders>
            <w:shd w:val="clear" w:color="auto" w:fill="auto"/>
            <w:hideMark/>
          </w:tcPr>
          <w:p w14:paraId="1CE60033"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Qëllimi, nëse shkelja është kryer me dashje ose nga pakujdesia</w:t>
            </w:r>
          </w:p>
        </w:tc>
        <w:tc>
          <w:tcPr>
            <w:tcW w:w="1520" w:type="dxa"/>
            <w:tcBorders>
              <w:top w:val="nil"/>
              <w:left w:val="nil"/>
              <w:bottom w:val="single" w:sz="4" w:space="0" w:color="auto"/>
              <w:right w:val="single" w:sz="4" w:space="0" w:color="auto"/>
            </w:tcBorders>
            <w:shd w:val="clear" w:color="auto" w:fill="auto"/>
            <w:noWrap/>
            <w:vAlign w:val="bottom"/>
            <w:hideMark/>
          </w:tcPr>
          <w:p w14:paraId="3EA25C46"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1F47E362"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19B0F66E"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34EA9754"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26BC424A"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1B88EC93"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23EAD98E"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03A8E3D9"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0139A559"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154F509C"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6EE88171"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68BAC0AD"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5F7E8F60"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3A5E3717"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D43861"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2</w:t>
            </w:r>
          </w:p>
        </w:tc>
        <w:tc>
          <w:tcPr>
            <w:tcW w:w="7480" w:type="dxa"/>
            <w:tcBorders>
              <w:top w:val="nil"/>
              <w:left w:val="nil"/>
              <w:bottom w:val="single" w:sz="4" w:space="0" w:color="auto"/>
              <w:right w:val="single" w:sz="4" w:space="0" w:color="auto"/>
            </w:tcBorders>
            <w:shd w:val="clear" w:color="auto" w:fill="auto"/>
            <w:hideMark/>
          </w:tcPr>
          <w:p w14:paraId="4E83B48F"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Natyra, rëndësia dhe kohëzgjatja e shkeljes, duke marrë parasysh natyrën, objektin ose qëllimin e veprimtarisë së subjektit</w:t>
            </w:r>
          </w:p>
        </w:tc>
        <w:tc>
          <w:tcPr>
            <w:tcW w:w="1520" w:type="dxa"/>
            <w:tcBorders>
              <w:top w:val="nil"/>
              <w:left w:val="nil"/>
              <w:bottom w:val="single" w:sz="4" w:space="0" w:color="auto"/>
              <w:right w:val="single" w:sz="4" w:space="0" w:color="auto"/>
            </w:tcBorders>
            <w:shd w:val="clear" w:color="auto" w:fill="auto"/>
            <w:noWrap/>
            <w:vAlign w:val="bottom"/>
            <w:hideMark/>
          </w:tcPr>
          <w:p w14:paraId="2DB2AB31"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2C073FC3"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4B74415A"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45FBE4EC"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6B8A19A8"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2F4462EA"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2D25EDE3"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2323F356"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353AE3DD"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7B85866A"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6D936560"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4AA500D2"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371D5653"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63E44634"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828FA9"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3</w:t>
            </w:r>
          </w:p>
        </w:tc>
        <w:tc>
          <w:tcPr>
            <w:tcW w:w="7480" w:type="dxa"/>
            <w:tcBorders>
              <w:top w:val="nil"/>
              <w:left w:val="nil"/>
              <w:bottom w:val="single" w:sz="4" w:space="0" w:color="auto"/>
              <w:right w:val="single" w:sz="4" w:space="0" w:color="auto"/>
            </w:tcBorders>
            <w:shd w:val="clear" w:color="auto" w:fill="auto"/>
            <w:hideMark/>
          </w:tcPr>
          <w:p w14:paraId="47CE29AD"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Dëmin e shkaktuar ndaj interesit publik dhe të interesave të ligjshëm të personave fizikë e juridikë, numrin e personave të tretë të dëmtuar, nëse ka, si dhe nivelin e dëmit të shkaktuar ndaj tyre</w:t>
            </w:r>
          </w:p>
        </w:tc>
        <w:tc>
          <w:tcPr>
            <w:tcW w:w="1520" w:type="dxa"/>
            <w:tcBorders>
              <w:top w:val="nil"/>
              <w:left w:val="nil"/>
              <w:bottom w:val="single" w:sz="4" w:space="0" w:color="auto"/>
              <w:right w:val="single" w:sz="4" w:space="0" w:color="auto"/>
            </w:tcBorders>
            <w:shd w:val="clear" w:color="auto" w:fill="auto"/>
            <w:noWrap/>
            <w:vAlign w:val="bottom"/>
            <w:hideMark/>
          </w:tcPr>
          <w:p w14:paraId="4B219F2C"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4C878191"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47663652"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373EC42D"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7DF8CAC2"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4EF9967F"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058272B8"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7877A48D"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20F0BFC4"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2C46DF60"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580F6D3D"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62DE949A"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0FF7B0D0"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3EA7C274"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F4281D"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4</w:t>
            </w:r>
          </w:p>
        </w:tc>
        <w:tc>
          <w:tcPr>
            <w:tcW w:w="7480" w:type="dxa"/>
            <w:tcBorders>
              <w:top w:val="nil"/>
              <w:left w:val="nil"/>
              <w:bottom w:val="single" w:sz="4" w:space="0" w:color="auto"/>
              <w:right w:val="single" w:sz="4" w:space="0" w:color="auto"/>
            </w:tcBorders>
            <w:shd w:val="clear" w:color="auto" w:fill="auto"/>
            <w:noWrap/>
            <w:vAlign w:val="bottom"/>
            <w:hideMark/>
          </w:tcPr>
          <w:p w14:paraId="72B3A9E3"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Çdo veprim që subjekti ka ndërmarrë për të zbutur dëmin e shkaktuar</w:t>
            </w:r>
          </w:p>
        </w:tc>
        <w:tc>
          <w:tcPr>
            <w:tcW w:w="1520" w:type="dxa"/>
            <w:tcBorders>
              <w:top w:val="nil"/>
              <w:left w:val="nil"/>
              <w:bottom w:val="single" w:sz="4" w:space="0" w:color="auto"/>
              <w:right w:val="single" w:sz="4" w:space="0" w:color="auto"/>
            </w:tcBorders>
            <w:shd w:val="clear" w:color="auto" w:fill="auto"/>
            <w:noWrap/>
            <w:vAlign w:val="bottom"/>
            <w:hideMark/>
          </w:tcPr>
          <w:p w14:paraId="718962FF"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05671896"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44DBB2AF"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3B62B58C"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54DB8AC2"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16ECD775"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5F26D961"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706E427D"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50F9B6F6"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216FEF0A"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1712600C"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36FB7D35"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68FF33B7"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123180B2"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321A43"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5</w:t>
            </w:r>
          </w:p>
        </w:tc>
        <w:tc>
          <w:tcPr>
            <w:tcW w:w="7480" w:type="dxa"/>
            <w:tcBorders>
              <w:top w:val="nil"/>
              <w:left w:val="nil"/>
              <w:bottom w:val="single" w:sz="4" w:space="0" w:color="auto"/>
              <w:right w:val="single" w:sz="4" w:space="0" w:color="auto"/>
            </w:tcBorders>
            <w:shd w:val="clear" w:color="auto" w:fill="auto"/>
            <w:hideMark/>
          </w:tcPr>
          <w:p w14:paraId="43266F0E"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Shkalla e përgjegjësisë së subjektit, duke marrë parasysh masat e zbatuara prej tij për të garantuar zbatimin e ligjit</w:t>
            </w:r>
          </w:p>
        </w:tc>
        <w:tc>
          <w:tcPr>
            <w:tcW w:w="1520" w:type="dxa"/>
            <w:tcBorders>
              <w:top w:val="nil"/>
              <w:left w:val="nil"/>
              <w:bottom w:val="single" w:sz="4" w:space="0" w:color="auto"/>
              <w:right w:val="single" w:sz="4" w:space="0" w:color="auto"/>
            </w:tcBorders>
            <w:shd w:val="clear" w:color="auto" w:fill="auto"/>
            <w:noWrap/>
            <w:vAlign w:val="bottom"/>
            <w:hideMark/>
          </w:tcPr>
          <w:p w14:paraId="347F4973"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6D660604"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1022DDD2"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24A47AC3"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55064A87"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2F149B9D"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7E01B3A5"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2255CC3C"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5088E70C"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77BF4E9F"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44A2B139"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3075B3B8"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2E7C75C8"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34EF58C1"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382938"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6</w:t>
            </w:r>
          </w:p>
        </w:tc>
        <w:tc>
          <w:tcPr>
            <w:tcW w:w="7480" w:type="dxa"/>
            <w:tcBorders>
              <w:top w:val="nil"/>
              <w:left w:val="nil"/>
              <w:bottom w:val="single" w:sz="4" w:space="0" w:color="auto"/>
              <w:right w:val="single" w:sz="4" w:space="0" w:color="auto"/>
            </w:tcBorders>
            <w:shd w:val="clear" w:color="auto" w:fill="auto"/>
            <w:vAlign w:val="bottom"/>
            <w:hideMark/>
          </w:tcPr>
          <w:p w14:paraId="6291FBC5"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Historiku i shkeljeve, veçanërisht kur ato janë të ngjashme me shkeljet në shqyrtim</w:t>
            </w:r>
          </w:p>
        </w:tc>
        <w:tc>
          <w:tcPr>
            <w:tcW w:w="1520" w:type="dxa"/>
            <w:tcBorders>
              <w:top w:val="nil"/>
              <w:left w:val="nil"/>
              <w:bottom w:val="single" w:sz="4" w:space="0" w:color="auto"/>
              <w:right w:val="single" w:sz="4" w:space="0" w:color="auto"/>
            </w:tcBorders>
            <w:shd w:val="clear" w:color="auto" w:fill="auto"/>
            <w:noWrap/>
            <w:vAlign w:val="bottom"/>
            <w:hideMark/>
          </w:tcPr>
          <w:p w14:paraId="157497C7"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55978E0C"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5D2CA513"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14C5B640"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7FED81C0"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02E5CBF5"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32314065"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26803AF5"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2062A1CC"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5CEE2694"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44CE1600"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312EC6FC"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6A9478E0"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24DD25C5"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4AE99D"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7</w:t>
            </w:r>
          </w:p>
        </w:tc>
        <w:tc>
          <w:tcPr>
            <w:tcW w:w="7480" w:type="dxa"/>
            <w:tcBorders>
              <w:top w:val="nil"/>
              <w:left w:val="nil"/>
              <w:bottom w:val="single" w:sz="4" w:space="0" w:color="auto"/>
              <w:right w:val="single" w:sz="4" w:space="0" w:color="auto"/>
            </w:tcBorders>
            <w:shd w:val="clear" w:color="auto" w:fill="auto"/>
            <w:vAlign w:val="bottom"/>
            <w:hideMark/>
          </w:tcPr>
          <w:p w14:paraId="4FF0EA73"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Bashkëpunimi me inspektoratin qendror përkatës për të eliminuar apo zgjidhur problemet në kohë</w:t>
            </w:r>
          </w:p>
        </w:tc>
        <w:tc>
          <w:tcPr>
            <w:tcW w:w="1520" w:type="dxa"/>
            <w:tcBorders>
              <w:top w:val="nil"/>
              <w:left w:val="nil"/>
              <w:bottom w:val="single" w:sz="4" w:space="0" w:color="auto"/>
              <w:right w:val="single" w:sz="4" w:space="0" w:color="auto"/>
            </w:tcBorders>
            <w:shd w:val="clear" w:color="auto" w:fill="auto"/>
            <w:noWrap/>
            <w:vAlign w:val="bottom"/>
            <w:hideMark/>
          </w:tcPr>
          <w:p w14:paraId="685F2361"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64D7E296"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52FEAEC3"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0F835186"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3BDB3D9F"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00A91378"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491C8EED"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67A3EC4B"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16ACDD0E"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7431D6E1"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715C8A9A"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063E3601"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1BAA6D5A"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0BAA9E0A"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0D76FE"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8</w:t>
            </w:r>
          </w:p>
        </w:tc>
        <w:tc>
          <w:tcPr>
            <w:tcW w:w="7480" w:type="dxa"/>
            <w:tcBorders>
              <w:top w:val="nil"/>
              <w:left w:val="nil"/>
              <w:bottom w:val="single" w:sz="4" w:space="0" w:color="auto"/>
              <w:right w:val="single" w:sz="4" w:space="0" w:color="auto"/>
            </w:tcBorders>
            <w:shd w:val="clear" w:color="auto" w:fill="auto"/>
            <w:vAlign w:val="bottom"/>
            <w:hideMark/>
          </w:tcPr>
          <w:p w14:paraId="1A9AAE7D"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Zbatimi i masave për korrigjimin e shkeljeve, kur përpara shkeljes për të cilën jepet dënimi administrativ, këto masa janë dhënë ndaj subjektit në lidhje me të njëjtën shkelje ose shkelje të ngjashme</w:t>
            </w:r>
          </w:p>
        </w:tc>
        <w:tc>
          <w:tcPr>
            <w:tcW w:w="1520" w:type="dxa"/>
            <w:tcBorders>
              <w:top w:val="nil"/>
              <w:left w:val="nil"/>
              <w:bottom w:val="single" w:sz="4" w:space="0" w:color="auto"/>
              <w:right w:val="single" w:sz="4" w:space="0" w:color="auto"/>
            </w:tcBorders>
            <w:shd w:val="clear" w:color="auto" w:fill="auto"/>
            <w:noWrap/>
            <w:vAlign w:val="bottom"/>
            <w:hideMark/>
          </w:tcPr>
          <w:p w14:paraId="3B24BE70"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2CE06E41"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2B7DA6D2"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0E75A12E"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51B521D9"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5FB1FDA1"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38F28716"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4B3517CE"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4EDF183F"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41482975"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4A5BF409"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44ADE259"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5DD14B71"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4F486126"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6B4D91"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lastRenderedPageBreak/>
              <w:t>9</w:t>
            </w:r>
          </w:p>
        </w:tc>
        <w:tc>
          <w:tcPr>
            <w:tcW w:w="7480" w:type="dxa"/>
            <w:tcBorders>
              <w:top w:val="nil"/>
              <w:left w:val="nil"/>
              <w:bottom w:val="single" w:sz="4" w:space="0" w:color="auto"/>
              <w:right w:val="single" w:sz="4" w:space="0" w:color="auto"/>
            </w:tcBorders>
            <w:shd w:val="clear" w:color="auto" w:fill="auto"/>
            <w:vAlign w:val="bottom"/>
            <w:hideMark/>
          </w:tcPr>
          <w:p w14:paraId="178B61E9"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Zbatimi i afatit të korrigjimit të shkeljeve të kërkesave ligjore dhe eliminimit të pasojave që rrjedhin prej tyre</w:t>
            </w:r>
          </w:p>
        </w:tc>
        <w:tc>
          <w:tcPr>
            <w:tcW w:w="1520" w:type="dxa"/>
            <w:tcBorders>
              <w:top w:val="nil"/>
              <w:left w:val="nil"/>
              <w:bottom w:val="single" w:sz="4" w:space="0" w:color="auto"/>
              <w:right w:val="single" w:sz="4" w:space="0" w:color="auto"/>
            </w:tcBorders>
            <w:shd w:val="clear" w:color="auto" w:fill="auto"/>
            <w:noWrap/>
            <w:vAlign w:val="bottom"/>
            <w:hideMark/>
          </w:tcPr>
          <w:p w14:paraId="5937DDE4"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3FD6403E"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26C3C92C"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400952B5"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40B6CCA9"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3FD84867"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196B63FE"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47E7B61A"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1F41F171"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2FE9BB6C"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675E74C7"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2DB2DC92"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41C4A48E"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74839534"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C7DDED"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10</w:t>
            </w:r>
          </w:p>
        </w:tc>
        <w:tc>
          <w:tcPr>
            <w:tcW w:w="7480" w:type="dxa"/>
            <w:tcBorders>
              <w:top w:val="nil"/>
              <w:left w:val="nil"/>
              <w:bottom w:val="single" w:sz="4" w:space="0" w:color="auto"/>
              <w:right w:val="single" w:sz="4" w:space="0" w:color="auto"/>
            </w:tcBorders>
            <w:shd w:val="clear" w:color="auto" w:fill="auto"/>
            <w:vAlign w:val="bottom"/>
            <w:hideMark/>
          </w:tcPr>
          <w:p w14:paraId="72998FB5"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Madhësia e subjektit të inspektimit dhe vëllimi i punës që kryen</w:t>
            </w:r>
          </w:p>
        </w:tc>
        <w:tc>
          <w:tcPr>
            <w:tcW w:w="1520" w:type="dxa"/>
            <w:tcBorders>
              <w:top w:val="nil"/>
              <w:left w:val="nil"/>
              <w:bottom w:val="single" w:sz="4" w:space="0" w:color="auto"/>
              <w:right w:val="single" w:sz="4" w:space="0" w:color="auto"/>
            </w:tcBorders>
            <w:shd w:val="clear" w:color="auto" w:fill="auto"/>
            <w:noWrap/>
            <w:vAlign w:val="bottom"/>
            <w:hideMark/>
          </w:tcPr>
          <w:p w14:paraId="082AFEF4" w14:textId="77777777" w:rsidR="00455752" w:rsidRPr="009A61D1" w:rsidRDefault="00455752" w:rsidP="009A61D1">
            <w:pPr>
              <w:spacing w:after="0" w:line="240" w:lineRule="auto"/>
              <w:rPr>
                <w:rFonts w:ascii="Garamond" w:eastAsia="Times New Roman" w:hAnsi="Garamond" w:cs="Times New Roman"/>
                <w:sz w:val="24"/>
                <w:szCs w:val="24"/>
                <w:lang w:val="sq-AL"/>
              </w:rPr>
            </w:pPr>
          </w:p>
        </w:tc>
      </w:tr>
      <w:tr w:rsidR="00455752" w:rsidRPr="009A61D1" w14:paraId="00965975"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76FFDF6D"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512B5C65"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07847C04"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2DB9CAC6"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22F2933B"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4F06FAFA"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59D7252B"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7B8B5482"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4BA4D3D6"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0D5FA4A4"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293BF0A3"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5179B7E9" w14:textId="77777777" w:rsidTr="009A61D1">
        <w:trPr>
          <w:trHeight w:val="20"/>
          <w:jc w:val="center"/>
        </w:trPr>
        <w:tc>
          <w:tcPr>
            <w:tcW w:w="960" w:type="dxa"/>
            <w:vMerge w:val="restart"/>
            <w:tcBorders>
              <w:top w:val="nil"/>
              <w:left w:val="single" w:sz="4" w:space="0" w:color="auto"/>
              <w:right w:val="single" w:sz="4" w:space="0" w:color="auto"/>
            </w:tcBorders>
            <w:vAlign w:val="center"/>
            <w:hideMark/>
          </w:tcPr>
          <w:p w14:paraId="2B360161"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11</w:t>
            </w:r>
          </w:p>
        </w:tc>
        <w:tc>
          <w:tcPr>
            <w:tcW w:w="7480" w:type="dxa"/>
            <w:tcBorders>
              <w:top w:val="nil"/>
              <w:left w:val="nil"/>
              <w:bottom w:val="single" w:sz="4" w:space="0" w:color="auto"/>
              <w:right w:val="single" w:sz="4" w:space="0" w:color="auto"/>
            </w:tcBorders>
            <w:shd w:val="clear" w:color="auto" w:fill="auto"/>
            <w:noWrap/>
            <w:vAlign w:val="bottom"/>
            <w:hideMark/>
          </w:tcPr>
          <w:p w14:paraId="51DFAD58" w14:textId="77777777" w:rsidR="00455752" w:rsidRPr="009A61D1" w:rsidRDefault="00455752" w:rsidP="009A61D1">
            <w:pPr>
              <w:spacing w:after="0" w:line="240" w:lineRule="auto"/>
              <w:rPr>
                <w:rFonts w:ascii="Garamond" w:eastAsia="Times New Roman" w:hAnsi="Garamond" w:cs="Times New Roman"/>
                <w:b/>
                <w:sz w:val="24"/>
                <w:szCs w:val="24"/>
                <w:lang w:val="sq-AL"/>
              </w:rPr>
            </w:pPr>
            <w:r w:rsidRPr="009A61D1">
              <w:rPr>
                <w:rFonts w:ascii="Garamond" w:eastAsia="Times New Roman" w:hAnsi="Garamond" w:cs="Times New Roman"/>
                <w:b/>
                <w:sz w:val="24"/>
                <w:szCs w:val="24"/>
                <w:lang w:val="sq-AL"/>
              </w:rPr>
              <w:t>Eksperienca/vjetërsia në punë e subjektit të inspektimit</w:t>
            </w:r>
          </w:p>
        </w:tc>
        <w:tc>
          <w:tcPr>
            <w:tcW w:w="1520" w:type="dxa"/>
            <w:tcBorders>
              <w:top w:val="nil"/>
              <w:left w:val="nil"/>
              <w:bottom w:val="single" w:sz="4" w:space="0" w:color="auto"/>
              <w:right w:val="single" w:sz="4" w:space="0" w:color="auto"/>
            </w:tcBorders>
            <w:shd w:val="clear" w:color="auto" w:fill="auto"/>
            <w:noWrap/>
            <w:vAlign w:val="bottom"/>
            <w:hideMark/>
          </w:tcPr>
          <w:p w14:paraId="0D09F146" w14:textId="77777777" w:rsidR="00455752" w:rsidRPr="009A61D1" w:rsidRDefault="00455752" w:rsidP="009A61D1">
            <w:pPr>
              <w:spacing w:after="0" w:line="240" w:lineRule="auto"/>
              <w:rPr>
                <w:rFonts w:ascii="Garamond" w:eastAsia="Times New Roman" w:hAnsi="Garamond" w:cs="Times New Roman"/>
                <w:sz w:val="24"/>
                <w:szCs w:val="24"/>
                <w:lang w:val="sq-AL"/>
              </w:rPr>
            </w:pPr>
          </w:p>
        </w:tc>
      </w:tr>
      <w:tr w:rsidR="00455752" w:rsidRPr="009A61D1" w14:paraId="7EDD6395" w14:textId="77777777" w:rsidTr="009A61D1">
        <w:trPr>
          <w:trHeight w:val="20"/>
          <w:jc w:val="center"/>
        </w:trPr>
        <w:tc>
          <w:tcPr>
            <w:tcW w:w="960" w:type="dxa"/>
            <w:vMerge/>
            <w:tcBorders>
              <w:left w:val="single" w:sz="4" w:space="0" w:color="auto"/>
              <w:right w:val="single" w:sz="4" w:space="0" w:color="auto"/>
            </w:tcBorders>
            <w:vAlign w:val="center"/>
            <w:hideMark/>
          </w:tcPr>
          <w:p w14:paraId="4591494D"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71B5D8C6"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684A20E8" w14:textId="77777777" w:rsidR="00455752" w:rsidRPr="009A61D1" w:rsidRDefault="00455752" w:rsidP="009A61D1">
            <w:pPr>
              <w:spacing w:after="0" w:line="240" w:lineRule="auto"/>
              <w:rPr>
                <w:rFonts w:ascii="Garamond" w:eastAsia="Times New Roman" w:hAnsi="Garamond" w:cs="Times New Roman"/>
                <w:sz w:val="24"/>
                <w:szCs w:val="24"/>
                <w:lang w:val="sq-AL"/>
              </w:rPr>
            </w:pPr>
          </w:p>
        </w:tc>
      </w:tr>
      <w:tr w:rsidR="00455752" w:rsidRPr="009A61D1" w14:paraId="4103F749" w14:textId="77777777" w:rsidTr="009A61D1">
        <w:trPr>
          <w:trHeight w:val="20"/>
          <w:jc w:val="center"/>
        </w:trPr>
        <w:tc>
          <w:tcPr>
            <w:tcW w:w="960" w:type="dxa"/>
            <w:vMerge/>
            <w:tcBorders>
              <w:left w:val="single" w:sz="4" w:space="0" w:color="auto"/>
              <w:right w:val="single" w:sz="4" w:space="0" w:color="auto"/>
            </w:tcBorders>
            <w:vAlign w:val="center"/>
            <w:hideMark/>
          </w:tcPr>
          <w:p w14:paraId="0E423C46"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1E0F07B3"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41A70F55" w14:textId="77777777" w:rsidR="00455752" w:rsidRPr="009A61D1" w:rsidRDefault="00455752" w:rsidP="009A61D1">
            <w:pPr>
              <w:spacing w:after="0" w:line="240" w:lineRule="auto"/>
              <w:rPr>
                <w:rFonts w:ascii="Garamond" w:eastAsia="Times New Roman" w:hAnsi="Garamond" w:cs="Times New Roman"/>
                <w:sz w:val="24"/>
                <w:szCs w:val="24"/>
                <w:lang w:val="sq-AL"/>
              </w:rPr>
            </w:pPr>
          </w:p>
        </w:tc>
      </w:tr>
      <w:tr w:rsidR="00455752" w:rsidRPr="009A61D1" w14:paraId="48FA5125" w14:textId="77777777" w:rsidTr="009A61D1">
        <w:trPr>
          <w:trHeight w:val="20"/>
          <w:jc w:val="center"/>
        </w:trPr>
        <w:tc>
          <w:tcPr>
            <w:tcW w:w="960" w:type="dxa"/>
            <w:vMerge/>
            <w:tcBorders>
              <w:left w:val="single" w:sz="4" w:space="0" w:color="auto"/>
              <w:bottom w:val="single" w:sz="4" w:space="0" w:color="auto"/>
              <w:right w:val="single" w:sz="4" w:space="0" w:color="auto"/>
            </w:tcBorders>
            <w:vAlign w:val="center"/>
            <w:hideMark/>
          </w:tcPr>
          <w:p w14:paraId="50328954"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3DCB453D"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3A2C1A50" w14:textId="77777777" w:rsidR="00455752" w:rsidRPr="009A61D1" w:rsidRDefault="00455752" w:rsidP="009A61D1">
            <w:pPr>
              <w:spacing w:after="0" w:line="240" w:lineRule="auto"/>
              <w:rPr>
                <w:rFonts w:ascii="Garamond" w:eastAsia="Times New Roman" w:hAnsi="Garamond" w:cs="Times New Roman"/>
                <w:sz w:val="24"/>
                <w:szCs w:val="24"/>
                <w:lang w:val="sq-AL"/>
              </w:rPr>
            </w:pPr>
          </w:p>
        </w:tc>
      </w:tr>
      <w:tr w:rsidR="00455752" w:rsidRPr="009A61D1" w14:paraId="797B4EE0" w14:textId="77777777" w:rsidTr="009A61D1">
        <w:trPr>
          <w:trHeight w:val="20"/>
          <w:jc w:val="center"/>
        </w:trPr>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07C95D" w14:textId="77777777" w:rsidR="00455752" w:rsidRPr="009A61D1" w:rsidRDefault="00455752" w:rsidP="009A61D1">
            <w:pPr>
              <w:spacing w:after="0" w:line="240" w:lineRule="auto"/>
              <w:jc w:val="center"/>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12</w:t>
            </w:r>
          </w:p>
        </w:tc>
        <w:tc>
          <w:tcPr>
            <w:tcW w:w="7480" w:type="dxa"/>
            <w:tcBorders>
              <w:top w:val="nil"/>
              <w:left w:val="nil"/>
              <w:bottom w:val="single" w:sz="4" w:space="0" w:color="auto"/>
              <w:right w:val="single" w:sz="4" w:space="0" w:color="auto"/>
            </w:tcBorders>
            <w:shd w:val="clear" w:color="auto" w:fill="auto"/>
            <w:vAlign w:val="bottom"/>
            <w:hideMark/>
          </w:tcPr>
          <w:p w14:paraId="33C4D538" w14:textId="77777777" w:rsidR="00455752" w:rsidRPr="009A61D1" w:rsidRDefault="00455752" w:rsidP="009A61D1">
            <w:pPr>
              <w:spacing w:after="0" w:line="240" w:lineRule="auto"/>
              <w:jc w:val="both"/>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Çdo rrethanë tjetër rënduese ose lehtësuese që lidhet me rrethanat e çështjes, si përfitimet financiare ose humbjet e shmangura, në mënyrë të drejtpërdrejtë ose tërthorazi nga shkelja</w:t>
            </w:r>
          </w:p>
        </w:tc>
        <w:tc>
          <w:tcPr>
            <w:tcW w:w="1520" w:type="dxa"/>
            <w:tcBorders>
              <w:top w:val="nil"/>
              <w:left w:val="nil"/>
              <w:bottom w:val="single" w:sz="4" w:space="0" w:color="auto"/>
              <w:right w:val="single" w:sz="4" w:space="0" w:color="auto"/>
            </w:tcBorders>
            <w:shd w:val="clear" w:color="auto" w:fill="auto"/>
            <w:noWrap/>
            <w:vAlign w:val="bottom"/>
            <w:hideMark/>
          </w:tcPr>
          <w:p w14:paraId="2134966B"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4A2F439D"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0A8DD692"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7E6D67CA"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1…</w:t>
            </w:r>
          </w:p>
        </w:tc>
        <w:tc>
          <w:tcPr>
            <w:tcW w:w="1520" w:type="dxa"/>
            <w:tcBorders>
              <w:top w:val="nil"/>
              <w:left w:val="nil"/>
              <w:bottom w:val="single" w:sz="4" w:space="0" w:color="auto"/>
              <w:right w:val="single" w:sz="4" w:space="0" w:color="auto"/>
            </w:tcBorders>
            <w:shd w:val="clear" w:color="auto" w:fill="auto"/>
            <w:noWrap/>
            <w:vAlign w:val="bottom"/>
            <w:hideMark/>
          </w:tcPr>
          <w:p w14:paraId="4633BEE5"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7E6631BD"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1241B182"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7D438909"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2…</w:t>
            </w:r>
          </w:p>
        </w:tc>
        <w:tc>
          <w:tcPr>
            <w:tcW w:w="1520" w:type="dxa"/>
            <w:tcBorders>
              <w:top w:val="nil"/>
              <w:left w:val="nil"/>
              <w:bottom w:val="single" w:sz="4" w:space="0" w:color="auto"/>
              <w:right w:val="single" w:sz="4" w:space="0" w:color="auto"/>
            </w:tcBorders>
            <w:shd w:val="clear" w:color="auto" w:fill="auto"/>
            <w:noWrap/>
            <w:vAlign w:val="bottom"/>
            <w:hideMark/>
          </w:tcPr>
          <w:p w14:paraId="22ED230B"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616ACC19" w14:textId="77777777" w:rsidTr="009A61D1">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14:paraId="318F0A36" w14:textId="77777777" w:rsidR="00455752" w:rsidRPr="009A61D1" w:rsidRDefault="00455752" w:rsidP="009A61D1">
            <w:pPr>
              <w:spacing w:after="0" w:line="240" w:lineRule="auto"/>
              <w:rPr>
                <w:rFonts w:ascii="Garamond" w:eastAsia="Times New Roman" w:hAnsi="Garamond" w:cs="Times New Roman"/>
                <w:sz w:val="24"/>
                <w:szCs w:val="24"/>
                <w:lang w:val="sq-AL"/>
              </w:rPr>
            </w:pPr>
          </w:p>
        </w:tc>
        <w:tc>
          <w:tcPr>
            <w:tcW w:w="7480" w:type="dxa"/>
            <w:tcBorders>
              <w:top w:val="nil"/>
              <w:left w:val="nil"/>
              <w:bottom w:val="single" w:sz="4" w:space="0" w:color="auto"/>
              <w:right w:val="single" w:sz="4" w:space="0" w:color="auto"/>
            </w:tcBorders>
            <w:shd w:val="clear" w:color="auto" w:fill="auto"/>
            <w:noWrap/>
            <w:vAlign w:val="bottom"/>
            <w:hideMark/>
          </w:tcPr>
          <w:p w14:paraId="5787787B"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Treguesi n…</w:t>
            </w:r>
          </w:p>
        </w:tc>
        <w:tc>
          <w:tcPr>
            <w:tcW w:w="1520" w:type="dxa"/>
            <w:tcBorders>
              <w:top w:val="nil"/>
              <w:left w:val="nil"/>
              <w:bottom w:val="single" w:sz="4" w:space="0" w:color="auto"/>
              <w:right w:val="single" w:sz="4" w:space="0" w:color="auto"/>
            </w:tcBorders>
            <w:shd w:val="clear" w:color="auto" w:fill="auto"/>
            <w:noWrap/>
            <w:vAlign w:val="bottom"/>
            <w:hideMark/>
          </w:tcPr>
          <w:p w14:paraId="0325EFBD"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r w:rsidR="00455752" w:rsidRPr="009A61D1" w14:paraId="1853C64D" w14:textId="77777777" w:rsidTr="009A61D1">
        <w:trPr>
          <w:trHeight w:val="20"/>
          <w:jc w:val="center"/>
        </w:trPr>
        <w:tc>
          <w:tcPr>
            <w:tcW w:w="84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24BBE4" w14:textId="77777777" w:rsidR="00455752" w:rsidRPr="009A61D1" w:rsidRDefault="00455752" w:rsidP="009A61D1">
            <w:pPr>
              <w:spacing w:after="0" w:line="240" w:lineRule="auto"/>
              <w:jc w:val="center"/>
              <w:rPr>
                <w:rFonts w:ascii="Garamond" w:eastAsia="Times New Roman" w:hAnsi="Garamond" w:cs="Times New Roman"/>
                <w:b/>
                <w:bCs/>
                <w:sz w:val="24"/>
                <w:szCs w:val="24"/>
                <w:lang w:val="sq-AL"/>
              </w:rPr>
            </w:pPr>
            <w:r w:rsidRPr="009A61D1">
              <w:rPr>
                <w:rFonts w:ascii="Garamond" w:eastAsia="Times New Roman" w:hAnsi="Garamond" w:cs="Times New Roman"/>
                <w:b/>
                <w:bCs/>
                <w:sz w:val="24"/>
                <w:szCs w:val="24"/>
                <w:lang w:val="sq-AL"/>
              </w:rPr>
              <w:t>Totali i pikëve</w:t>
            </w:r>
          </w:p>
        </w:tc>
        <w:tc>
          <w:tcPr>
            <w:tcW w:w="1520" w:type="dxa"/>
            <w:tcBorders>
              <w:top w:val="nil"/>
              <w:left w:val="nil"/>
              <w:bottom w:val="single" w:sz="4" w:space="0" w:color="auto"/>
              <w:right w:val="single" w:sz="4" w:space="0" w:color="auto"/>
            </w:tcBorders>
            <w:shd w:val="clear" w:color="auto" w:fill="auto"/>
            <w:noWrap/>
            <w:vAlign w:val="bottom"/>
            <w:hideMark/>
          </w:tcPr>
          <w:p w14:paraId="7148FE61" w14:textId="77777777" w:rsidR="00455752" w:rsidRPr="009A61D1" w:rsidRDefault="00455752" w:rsidP="009A61D1">
            <w:pPr>
              <w:spacing w:after="0" w:line="240" w:lineRule="auto"/>
              <w:rPr>
                <w:rFonts w:ascii="Garamond" w:eastAsia="Times New Roman" w:hAnsi="Garamond" w:cs="Times New Roman"/>
                <w:sz w:val="24"/>
                <w:szCs w:val="24"/>
                <w:lang w:val="sq-AL"/>
              </w:rPr>
            </w:pPr>
            <w:r w:rsidRPr="009A61D1">
              <w:rPr>
                <w:rFonts w:ascii="Garamond" w:eastAsia="Times New Roman" w:hAnsi="Garamond" w:cs="Times New Roman"/>
                <w:sz w:val="24"/>
                <w:szCs w:val="24"/>
                <w:lang w:val="sq-AL"/>
              </w:rPr>
              <w:t> </w:t>
            </w:r>
          </w:p>
        </w:tc>
      </w:tr>
    </w:tbl>
    <w:p w14:paraId="60EB4393" w14:textId="77777777" w:rsidR="00455752" w:rsidRPr="009A61D1" w:rsidRDefault="00455752" w:rsidP="00455752">
      <w:pPr>
        <w:spacing w:after="0" w:line="240" w:lineRule="auto"/>
        <w:ind w:firstLine="284"/>
        <w:rPr>
          <w:rFonts w:ascii="Garamond" w:hAnsi="Garamond" w:cs="Times New Roman"/>
          <w:b/>
          <w:sz w:val="24"/>
          <w:szCs w:val="24"/>
          <w:lang w:val="sq-AL"/>
        </w:rPr>
      </w:pPr>
    </w:p>
    <w:p w14:paraId="3C8C42CF" w14:textId="152C282D" w:rsidR="00455752" w:rsidRPr="009A61D1" w:rsidRDefault="00455752" w:rsidP="00455752">
      <w:pPr>
        <w:spacing w:after="0" w:line="240" w:lineRule="auto"/>
        <w:ind w:firstLine="284"/>
        <w:jc w:val="both"/>
        <w:rPr>
          <w:rFonts w:ascii="Garamond" w:hAnsi="Garamond" w:cs="Times New Roman"/>
          <w:b/>
          <w:sz w:val="24"/>
          <w:szCs w:val="24"/>
          <w:lang w:val="sq-AL"/>
        </w:rPr>
      </w:pPr>
      <w:r w:rsidRPr="009A61D1">
        <w:rPr>
          <w:rFonts w:ascii="Garamond" w:hAnsi="Garamond" w:cs="Times New Roman"/>
          <w:b/>
          <w:sz w:val="24"/>
          <w:szCs w:val="24"/>
          <w:lang w:val="sq-AL"/>
        </w:rPr>
        <w:t>Shembull praktik i caktimit të dënimit administrativ</w:t>
      </w:r>
      <w:r w:rsidR="009A61D1" w:rsidRPr="009A61D1">
        <w:rPr>
          <w:rFonts w:ascii="Garamond" w:hAnsi="Garamond" w:cs="Times New Roman"/>
          <w:b/>
          <w:sz w:val="24"/>
          <w:szCs w:val="24"/>
          <w:lang w:val="sq-AL"/>
        </w:rPr>
        <w:t xml:space="preserve"> </w:t>
      </w:r>
    </w:p>
    <w:p w14:paraId="6BEBC1F5" w14:textId="77777777" w:rsidR="00455752" w:rsidRPr="009A61D1" w:rsidRDefault="00455752" w:rsidP="00455752">
      <w:pPr>
        <w:spacing w:after="0" w:line="240" w:lineRule="auto"/>
        <w:ind w:firstLine="284"/>
        <w:jc w:val="both"/>
        <w:rPr>
          <w:rFonts w:ascii="Garamond" w:hAnsi="Garamond" w:cs="Times New Roman"/>
          <w:i/>
          <w:sz w:val="24"/>
          <w:szCs w:val="24"/>
          <w:lang w:val="sq-AL"/>
        </w:rPr>
      </w:pPr>
      <w:r w:rsidRPr="009A61D1">
        <w:rPr>
          <w:rFonts w:ascii="Garamond" w:hAnsi="Garamond" w:cs="Times New Roman"/>
          <w:i/>
          <w:sz w:val="24"/>
          <w:szCs w:val="24"/>
          <w:lang w:val="sq-AL"/>
        </w:rPr>
        <w:t>Totali i pikëve është 100 pikë</w:t>
      </w:r>
    </w:p>
    <w:p w14:paraId="4E7CCE23" w14:textId="1A1D8026" w:rsidR="00455752" w:rsidRPr="009A61D1" w:rsidRDefault="00455752" w:rsidP="00455752">
      <w:pPr>
        <w:spacing w:after="0" w:line="240" w:lineRule="auto"/>
        <w:ind w:firstLine="284"/>
        <w:jc w:val="both"/>
        <w:rPr>
          <w:rFonts w:ascii="Garamond" w:hAnsi="Garamond" w:cs="Times New Roman"/>
          <w:i/>
          <w:sz w:val="24"/>
          <w:szCs w:val="24"/>
          <w:lang w:val="sq-AL"/>
        </w:rPr>
      </w:pPr>
      <w:r w:rsidRPr="009A61D1">
        <w:rPr>
          <w:rFonts w:ascii="Garamond" w:hAnsi="Garamond" w:cs="Times New Roman"/>
          <w:i/>
          <w:sz w:val="24"/>
          <w:szCs w:val="24"/>
          <w:lang w:val="sq-AL"/>
        </w:rPr>
        <w:t>Intervali i dënimit administrativ: 100 000</w:t>
      </w:r>
      <w:r w:rsidR="00743099">
        <w:rPr>
          <w:rFonts w:ascii="Garamond" w:hAnsi="Garamond" w:cs="Times New Roman"/>
          <w:i/>
          <w:sz w:val="24"/>
          <w:szCs w:val="24"/>
          <w:lang w:val="sq-AL"/>
        </w:rPr>
        <w:t>–</w:t>
      </w:r>
      <w:r w:rsidRPr="009A61D1">
        <w:rPr>
          <w:rFonts w:ascii="Garamond" w:hAnsi="Garamond" w:cs="Times New Roman"/>
          <w:i/>
          <w:sz w:val="24"/>
          <w:szCs w:val="24"/>
          <w:lang w:val="sq-AL"/>
        </w:rPr>
        <w:t>500 000</w:t>
      </w:r>
      <w:r w:rsidR="009A61D1" w:rsidRPr="009A61D1">
        <w:rPr>
          <w:rFonts w:ascii="Garamond" w:hAnsi="Garamond" w:cs="Times New Roman"/>
          <w:i/>
          <w:sz w:val="24"/>
          <w:szCs w:val="24"/>
          <w:lang w:val="sq-AL"/>
        </w:rPr>
        <w:t xml:space="preserve"> </w:t>
      </w:r>
    </w:p>
    <w:p w14:paraId="24FCF18E" w14:textId="222DF5C7" w:rsidR="00455752" w:rsidRPr="009A61D1" w:rsidRDefault="00455752" w:rsidP="00455752">
      <w:pPr>
        <w:spacing w:after="0" w:line="240" w:lineRule="auto"/>
        <w:ind w:firstLine="284"/>
        <w:jc w:val="both"/>
        <w:rPr>
          <w:rFonts w:ascii="Garamond" w:hAnsi="Garamond" w:cs="Times New Roman"/>
          <w:sz w:val="24"/>
          <w:szCs w:val="24"/>
          <w:lang w:val="sq-AL"/>
        </w:rPr>
      </w:pPr>
      <w:r w:rsidRPr="009A61D1">
        <w:rPr>
          <w:rFonts w:ascii="Garamond" w:hAnsi="Garamond" w:cs="Times New Roman"/>
          <w:sz w:val="24"/>
          <w:szCs w:val="24"/>
          <w:lang w:val="sq-AL"/>
        </w:rPr>
        <w:t>a) deri në 20 pikë caktohet dënimi administrativ 100 000</w:t>
      </w:r>
      <w:r w:rsidR="009A61D1" w:rsidRPr="009A61D1">
        <w:rPr>
          <w:rFonts w:ascii="Garamond" w:hAnsi="Garamond" w:cs="Times New Roman"/>
          <w:sz w:val="24"/>
          <w:szCs w:val="24"/>
          <w:lang w:val="sq-AL"/>
        </w:rPr>
        <w:t xml:space="preserve"> </w:t>
      </w:r>
      <w:r w:rsidRPr="009A61D1">
        <w:rPr>
          <w:rFonts w:ascii="Garamond" w:hAnsi="Garamond" w:cs="Times New Roman"/>
          <w:sz w:val="24"/>
          <w:szCs w:val="24"/>
          <w:lang w:val="sq-AL"/>
        </w:rPr>
        <w:t>10%</w:t>
      </w:r>
      <w:r w:rsidR="00743099">
        <w:rPr>
          <w:rFonts w:ascii="Garamond" w:hAnsi="Garamond" w:cs="Times New Roman"/>
          <w:sz w:val="24"/>
          <w:szCs w:val="24"/>
          <w:lang w:val="sq-AL"/>
        </w:rPr>
        <w:t>;</w:t>
      </w:r>
    </w:p>
    <w:p w14:paraId="16CB8A16" w14:textId="48977B36" w:rsidR="00455752" w:rsidRPr="009A61D1" w:rsidRDefault="00455752" w:rsidP="00455752">
      <w:pPr>
        <w:spacing w:after="0" w:line="240" w:lineRule="auto"/>
        <w:ind w:firstLine="284"/>
        <w:jc w:val="both"/>
        <w:rPr>
          <w:rFonts w:ascii="Garamond" w:hAnsi="Garamond" w:cs="Times New Roman"/>
          <w:sz w:val="24"/>
          <w:szCs w:val="24"/>
          <w:lang w:val="sq-AL"/>
        </w:rPr>
      </w:pPr>
      <w:r w:rsidRPr="009A61D1">
        <w:rPr>
          <w:rFonts w:ascii="Garamond" w:hAnsi="Garamond" w:cs="Times New Roman"/>
          <w:sz w:val="24"/>
          <w:szCs w:val="24"/>
          <w:lang w:val="sq-AL"/>
        </w:rPr>
        <w:t>b) 21 deri 30 pikë caktohet dënimi administrativ 200 000</w:t>
      </w:r>
      <w:r w:rsidR="009A61D1" w:rsidRPr="009A61D1">
        <w:rPr>
          <w:rFonts w:ascii="Garamond" w:hAnsi="Garamond" w:cs="Times New Roman"/>
          <w:sz w:val="24"/>
          <w:szCs w:val="24"/>
          <w:lang w:val="sq-AL"/>
        </w:rPr>
        <w:t xml:space="preserve"> </w:t>
      </w:r>
      <w:r w:rsidRPr="009A61D1">
        <w:rPr>
          <w:rFonts w:ascii="Garamond" w:hAnsi="Garamond" w:cs="Times New Roman"/>
          <w:sz w:val="24"/>
          <w:szCs w:val="24"/>
          <w:lang w:val="sq-AL"/>
        </w:rPr>
        <w:t>30%</w:t>
      </w:r>
      <w:r w:rsidR="00743099">
        <w:rPr>
          <w:rFonts w:ascii="Garamond" w:hAnsi="Garamond" w:cs="Times New Roman"/>
          <w:sz w:val="24"/>
          <w:szCs w:val="24"/>
          <w:lang w:val="sq-AL"/>
        </w:rPr>
        <w:t>;</w:t>
      </w:r>
      <w:r w:rsidR="009A61D1" w:rsidRPr="009A61D1">
        <w:rPr>
          <w:rFonts w:ascii="Garamond" w:hAnsi="Garamond" w:cs="Times New Roman"/>
          <w:sz w:val="24"/>
          <w:szCs w:val="24"/>
          <w:lang w:val="sq-AL"/>
        </w:rPr>
        <w:t xml:space="preserve"> </w:t>
      </w:r>
    </w:p>
    <w:p w14:paraId="197D3BFF" w14:textId="0746F7A7" w:rsidR="00455752" w:rsidRPr="009A61D1" w:rsidRDefault="00455752" w:rsidP="00455752">
      <w:pPr>
        <w:spacing w:after="0" w:line="240" w:lineRule="auto"/>
        <w:ind w:firstLine="284"/>
        <w:jc w:val="both"/>
        <w:rPr>
          <w:rFonts w:ascii="Garamond" w:hAnsi="Garamond" w:cs="Times New Roman"/>
          <w:sz w:val="24"/>
          <w:szCs w:val="24"/>
          <w:lang w:val="sq-AL"/>
        </w:rPr>
      </w:pPr>
      <w:r w:rsidRPr="009A61D1">
        <w:rPr>
          <w:rFonts w:ascii="Garamond" w:hAnsi="Garamond" w:cs="Times New Roman"/>
          <w:sz w:val="24"/>
          <w:szCs w:val="24"/>
          <w:lang w:val="sq-AL"/>
        </w:rPr>
        <w:t>c) 31 deri 40 pikë caktohet dënimi administrativ 300 000</w:t>
      </w:r>
      <w:r w:rsidR="009A61D1" w:rsidRPr="009A61D1">
        <w:rPr>
          <w:rFonts w:ascii="Garamond" w:hAnsi="Garamond" w:cs="Times New Roman"/>
          <w:sz w:val="24"/>
          <w:szCs w:val="24"/>
          <w:lang w:val="sq-AL"/>
        </w:rPr>
        <w:t xml:space="preserve"> </w:t>
      </w:r>
      <w:r w:rsidRPr="009A61D1">
        <w:rPr>
          <w:rFonts w:ascii="Garamond" w:hAnsi="Garamond" w:cs="Times New Roman"/>
          <w:sz w:val="24"/>
          <w:szCs w:val="24"/>
          <w:lang w:val="sq-AL"/>
        </w:rPr>
        <w:t>50%</w:t>
      </w:r>
      <w:r w:rsidR="00743099">
        <w:rPr>
          <w:rFonts w:ascii="Garamond" w:hAnsi="Garamond" w:cs="Times New Roman"/>
          <w:sz w:val="24"/>
          <w:szCs w:val="24"/>
          <w:lang w:val="sq-AL"/>
        </w:rPr>
        <w:t>;</w:t>
      </w:r>
      <w:r w:rsidR="009A61D1" w:rsidRPr="009A61D1">
        <w:rPr>
          <w:rFonts w:ascii="Garamond" w:hAnsi="Garamond" w:cs="Times New Roman"/>
          <w:sz w:val="24"/>
          <w:szCs w:val="24"/>
          <w:lang w:val="sq-AL"/>
        </w:rPr>
        <w:t xml:space="preserve"> </w:t>
      </w:r>
    </w:p>
    <w:p w14:paraId="74735C7B" w14:textId="286A0B79" w:rsidR="00455752" w:rsidRPr="009A61D1" w:rsidRDefault="00455752" w:rsidP="00455752">
      <w:pPr>
        <w:spacing w:after="0" w:line="240" w:lineRule="auto"/>
        <w:ind w:firstLine="284"/>
        <w:jc w:val="both"/>
        <w:rPr>
          <w:rFonts w:ascii="Garamond" w:hAnsi="Garamond" w:cs="Times New Roman"/>
          <w:sz w:val="24"/>
          <w:szCs w:val="24"/>
          <w:lang w:val="sq-AL"/>
        </w:rPr>
      </w:pPr>
      <w:r w:rsidRPr="009A61D1">
        <w:rPr>
          <w:rFonts w:ascii="Garamond" w:hAnsi="Garamond" w:cs="Times New Roman"/>
          <w:sz w:val="24"/>
          <w:szCs w:val="24"/>
          <w:lang w:val="sq-AL"/>
        </w:rPr>
        <w:t>ç) 41 deri 50 pikë caktohet dënimi administrativ 400 000</w:t>
      </w:r>
      <w:r w:rsidR="009A61D1" w:rsidRPr="009A61D1">
        <w:rPr>
          <w:rFonts w:ascii="Garamond" w:hAnsi="Garamond" w:cs="Times New Roman"/>
          <w:sz w:val="24"/>
          <w:szCs w:val="24"/>
          <w:lang w:val="sq-AL"/>
        </w:rPr>
        <w:t xml:space="preserve"> </w:t>
      </w:r>
      <w:r w:rsidRPr="009A61D1">
        <w:rPr>
          <w:rFonts w:ascii="Garamond" w:hAnsi="Garamond" w:cs="Times New Roman"/>
          <w:sz w:val="24"/>
          <w:szCs w:val="24"/>
          <w:lang w:val="sq-AL"/>
        </w:rPr>
        <w:t>70%</w:t>
      </w:r>
      <w:r w:rsidR="00743099">
        <w:rPr>
          <w:rFonts w:ascii="Garamond" w:hAnsi="Garamond" w:cs="Times New Roman"/>
          <w:sz w:val="24"/>
          <w:szCs w:val="24"/>
          <w:lang w:val="sq-AL"/>
        </w:rPr>
        <w:t>;</w:t>
      </w:r>
      <w:r w:rsidR="009A61D1" w:rsidRPr="009A61D1">
        <w:rPr>
          <w:rFonts w:ascii="Garamond" w:hAnsi="Garamond" w:cs="Times New Roman"/>
          <w:sz w:val="24"/>
          <w:szCs w:val="24"/>
          <w:lang w:val="sq-AL"/>
        </w:rPr>
        <w:t xml:space="preserve"> </w:t>
      </w:r>
    </w:p>
    <w:p w14:paraId="08AFD964" w14:textId="47185A39" w:rsidR="00455752" w:rsidRPr="009A61D1" w:rsidRDefault="00455752" w:rsidP="00455752">
      <w:pPr>
        <w:tabs>
          <w:tab w:val="left" w:pos="720"/>
          <w:tab w:val="left" w:pos="1440"/>
          <w:tab w:val="left" w:pos="2160"/>
          <w:tab w:val="left" w:pos="2880"/>
          <w:tab w:val="left" w:pos="3600"/>
          <w:tab w:val="left" w:pos="4320"/>
          <w:tab w:val="left" w:pos="5040"/>
          <w:tab w:val="left" w:pos="5760"/>
          <w:tab w:val="left" w:pos="6585"/>
        </w:tabs>
        <w:spacing w:after="0" w:line="240" w:lineRule="auto"/>
        <w:ind w:firstLine="284"/>
        <w:jc w:val="both"/>
        <w:rPr>
          <w:rFonts w:ascii="Garamond" w:hAnsi="Garamond" w:cs="Times New Roman"/>
          <w:sz w:val="24"/>
          <w:szCs w:val="24"/>
          <w:lang w:val="sq-AL"/>
        </w:rPr>
      </w:pPr>
      <w:r w:rsidRPr="009A61D1">
        <w:rPr>
          <w:rFonts w:ascii="Garamond" w:hAnsi="Garamond" w:cs="Times New Roman"/>
          <w:sz w:val="24"/>
          <w:szCs w:val="24"/>
          <w:lang w:val="sq-AL"/>
        </w:rPr>
        <w:t>d) Mbi 50 pikë caktohet dënimi administrativ</w:t>
      </w:r>
      <w:r w:rsidR="009A61D1" w:rsidRPr="009A61D1">
        <w:rPr>
          <w:rFonts w:ascii="Garamond" w:hAnsi="Garamond" w:cs="Times New Roman"/>
          <w:sz w:val="24"/>
          <w:szCs w:val="24"/>
          <w:lang w:val="sq-AL"/>
        </w:rPr>
        <w:t xml:space="preserve"> </w:t>
      </w:r>
      <w:r w:rsidRPr="009A61D1">
        <w:rPr>
          <w:rFonts w:ascii="Garamond" w:hAnsi="Garamond" w:cs="Times New Roman"/>
          <w:sz w:val="24"/>
          <w:szCs w:val="24"/>
          <w:lang w:val="sq-AL"/>
        </w:rPr>
        <w:t>500 000</w:t>
      </w:r>
      <w:r w:rsidR="009A61D1" w:rsidRPr="009A61D1">
        <w:rPr>
          <w:rFonts w:ascii="Garamond" w:hAnsi="Garamond" w:cs="Times New Roman"/>
          <w:sz w:val="24"/>
          <w:szCs w:val="24"/>
          <w:lang w:val="sq-AL"/>
        </w:rPr>
        <w:t xml:space="preserve"> </w:t>
      </w:r>
      <w:r w:rsidRPr="009A61D1">
        <w:rPr>
          <w:rFonts w:ascii="Garamond" w:hAnsi="Garamond" w:cs="Times New Roman"/>
          <w:sz w:val="24"/>
          <w:szCs w:val="24"/>
          <w:lang w:val="sq-AL"/>
        </w:rPr>
        <w:t>100%</w:t>
      </w:r>
      <w:r w:rsidR="00E2000F">
        <w:rPr>
          <w:rFonts w:ascii="Garamond" w:hAnsi="Garamond" w:cs="Times New Roman"/>
          <w:sz w:val="24"/>
          <w:szCs w:val="24"/>
          <w:lang w:val="sq-AL"/>
        </w:rPr>
        <w:t>.</w:t>
      </w:r>
    </w:p>
    <w:p w14:paraId="5D338ACC" w14:textId="77777777" w:rsidR="00455752" w:rsidRPr="009A61D1" w:rsidRDefault="00455752" w:rsidP="00455752">
      <w:pPr>
        <w:spacing w:after="0" w:line="240" w:lineRule="auto"/>
        <w:ind w:firstLine="284"/>
        <w:jc w:val="both"/>
        <w:rPr>
          <w:rFonts w:ascii="Garamond" w:hAnsi="Garamond" w:cs="Times New Roman"/>
          <w:sz w:val="24"/>
          <w:szCs w:val="24"/>
          <w:lang w:val="sq-AL"/>
        </w:rPr>
      </w:pPr>
    </w:p>
    <w:p w14:paraId="1D609A2A" w14:textId="2580F2E2" w:rsidR="00455752" w:rsidRPr="009A61D1" w:rsidRDefault="00455752" w:rsidP="00455752">
      <w:pPr>
        <w:spacing w:after="0" w:line="240" w:lineRule="auto"/>
        <w:ind w:firstLine="284"/>
        <w:jc w:val="both"/>
        <w:rPr>
          <w:rFonts w:ascii="Garamond" w:hAnsi="Garamond" w:cs="Times New Roman"/>
          <w:i/>
          <w:sz w:val="24"/>
          <w:szCs w:val="24"/>
          <w:lang w:val="sq-AL"/>
        </w:rPr>
      </w:pPr>
      <w:r w:rsidRPr="009A61D1">
        <w:rPr>
          <w:rFonts w:ascii="Garamond" w:hAnsi="Garamond" w:cs="Times New Roman"/>
          <w:i/>
          <w:sz w:val="24"/>
          <w:szCs w:val="24"/>
          <w:lang w:val="sq-AL"/>
        </w:rPr>
        <w:t>Shënim</w:t>
      </w:r>
      <w:r w:rsidR="00AB654A">
        <w:rPr>
          <w:rFonts w:ascii="Garamond" w:hAnsi="Garamond" w:cs="Times New Roman"/>
          <w:i/>
          <w:sz w:val="24"/>
          <w:szCs w:val="24"/>
          <w:lang w:val="sq-AL"/>
        </w:rPr>
        <w:t xml:space="preserve">. </w:t>
      </w:r>
      <w:r w:rsidRPr="009A61D1">
        <w:rPr>
          <w:rFonts w:ascii="Garamond" w:hAnsi="Garamond" w:cs="Times New Roman"/>
          <w:i/>
          <w:sz w:val="24"/>
          <w:szCs w:val="24"/>
          <w:lang w:val="sq-AL"/>
        </w:rPr>
        <w:t>Pikëzimi përcaktohet sipas metodologjisë përkatëse të secilit inspektorat/strukturë inspektuese</w:t>
      </w:r>
      <w:r w:rsidR="00AB654A">
        <w:rPr>
          <w:rFonts w:ascii="Garamond" w:hAnsi="Garamond" w:cs="Times New Roman"/>
          <w:i/>
          <w:sz w:val="24"/>
          <w:szCs w:val="24"/>
          <w:lang w:val="sq-AL"/>
        </w:rPr>
        <w:t>.</w:t>
      </w:r>
      <w:r w:rsidRPr="009A61D1">
        <w:rPr>
          <w:rFonts w:ascii="Garamond" w:hAnsi="Garamond" w:cs="Times New Roman"/>
          <w:i/>
          <w:sz w:val="24"/>
          <w:szCs w:val="24"/>
          <w:lang w:val="sq-AL"/>
        </w:rPr>
        <w:t xml:space="preserve"> </w:t>
      </w:r>
    </w:p>
    <w:p w14:paraId="1E06FFDF" w14:textId="77777777" w:rsidR="00455752" w:rsidRPr="009A61D1" w:rsidRDefault="00455752" w:rsidP="00455752">
      <w:pPr>
        <w:spacing w:after="0" w:line="240" w:lineRule="auto"/>
        <w:ind w:firstLine="284"/>
        <w:rPr>
          <w:rFonts w:ascii="Garamond" w:hAnsi="Garamond" w:cs="Times New Roman"/>
          <w:sz w:val="24"/>
          <w:szCs w:val="24"/>
          <w:lang w:val="sq-AL"/>
        </w:rPr>
      </w:pPr>
    </w:p>
    <w:p w14:paraId="0D92D3D9" w14:textId="244529C6" w:rsidR="00455752" w:rsidRPr="009A61D1" w:rsidRDefault="009A61D1" w:rsidP="00455752">
      <w:pPr>
        <w:spacing w:after="0" w:line="240" w:lineRule="auto"/>
        <w:ind w:firstLine="284"/>
        <w:rPr>
          <w:rFonts w:ascii="Garamond" w:hAnsi="Garamond" w:cs="Times New Roman"/>
          <w:sz w:val="24"/>
          <w:szCs w:val="24"/>
          <w:lang w:val="sq-AL"/>
        </w:rPr>
      </w:pPr>
      <w:r w:rsidRPr="009A61D1">
        <w:rPr>
          <w:rFonts w:ascii="Garamond" w:hAnsi="Garamond" w:cs="Times New Roman"/>
          <w:sz w:val="24"/>
          <w:szCs w:val="24"/>
          <w:lang w:val="sq-AL"/>
        </w:rPr>
        <w:t xml:space="preserve"> </w:t>
      </w:r>
    </w:p>
    <w:p w14:paraId="54D5EA65" w14:textId="77777777" w:rsidR="00455752" w:rsidRPr="009A61D1" w:rsidRDefault="00455752" w:rsidP="00455752">
      <w:pPr>
        <w:spacing w:after="0" w:line="240" w:lineRule="auto"/>
        <w:ind w:firstLine="284"/>
        <w:rPr>
          <w:rFonts w:ascii="Garamond" w:hAnsi="Garamond" w:cs="Times New Roman"/>
          <w:b/>
          <w:sz w:val="24"/>
          <w:szCs w:val="24"/>
          <w:lang w:val="sq-AL"/>
        </w:rPr>
      </w:pPr>
    </w:p>
    <w:p w14:paraId="1280C52A" w14:textId="77777777" w:rsidR="006E4D80" w:rsidRPr="009A61D1" w:rsidRDefault="006E4D80" w:rsidP="00455752">
      <w:pPr>
        <w:spacing w:after="0"/>
        <w:rPr>
          <w:rFonts w:ascii="Times New Roman" w:hAnsi="Times New Roman"/>
          <w:b/>
          <w:sz w:val="24"/>
          <w:lang w:val="sq-AL"/>
        </w:rPr>
      </w:pPr>
    </w:p>
    <w:sectPr w:rsidR="006E4D80" w:rsidRPr="009A61D1" w:rsidSect="00335CC7">
      <w:headerReference w:type="default" r:id="rId13"/>
      <w:footerReference w:type="default" r:id="rId14"/>
      <w:pgSz w:w="11906" w:h="16838" w:code="9"/>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B59F44" w14:textId="77777777" w:rsidR="009A61D1" w:rsidRDefault="009A61D1" w:rsidP="0036617C">
      <w:pPr>
        <w:spacing w:after="0" w:line="240" w:lineRule="auto"/>
      </w:pPr>
      <w:r>
        <w:separator/>
      </w:r>
    </w:p>
  </w:endnote>
  <w:endnote w:type="continuationSeparator" w:id="0">
    <w:p w14:paraId="758B8D0F" w14:textId="77777777" w:rsidR="009A61D1" w:rsidRDefault="009A61D1" w:rsidP="0036617C">
      <w:pPr>
        <w:spacing w:after="0" w:line="240" w:lineRule="auto"/>
      </w:pPr>
      <w:r>
        <w:continuationSeparator/>
      </w:r>
    </w:p>
  </w:endnote>
  <w:endnote w:type="continuationNotice" w:id="1">
    <w:p w14:paraId="3769B3C7" w14:textId="77777777" w:rsidR="009A61D1" w:rsidRDefault="009A61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38353" w14:textId="0689FFA9" w:rsidR="009A61D1" w:rsidRDefault="009A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52949" w14:textId="77777777" w:rsidR="009A61D1" w:rsidRDefault="009A61D1" w:rsidP="0036617C">
      <w:pPr>
        <w:spacing w:after="0" w:line="240" w:lineRule="auto"/>
      </w:pPr>
      <w:r>
        <w:separator/>
      </w:r>
    </w:p>
  </w:footnote>
  <w:footnote w:type="continuationSeparator" w:id="0">
    <w:p w14:paraId="62756621" w14:textId="77777777" w:rsidR="009A61D1" w:rsidRDefault="009A61D1" w:rsidP="0036617C">
      <w:pPr>
        <w:spacing w:after="0" w:line="240" w:lineRule="auto"/>
      </w:pPr>
      <w:r>
        <w:continuationSeparator/>
      </w:r>
    </w:p>
  </w:footnote>
  <w:footnote w:type="continuationNotice" w:id="1">
    <w:p w14:paraId="2DD2570E" w14:textId="77777777" w:rsidR="009A61D1" w:rsidRDefault="009A61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6A406" w14:textId="77777777" w:rsidR="009A61D1" w:rsidRPr="00455752" w:rsidRDefault="009A61D1" w:rsidP="00455752">
    <w:pPr>
      <w:pStyle w:val="Header"/>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2332D"/>
    <w:multiLevelType w:val="hybridMultilevel"/>
    <w:tmpl w:val="1B003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E6C60"/>
    <w:multiLevelType w:val="hybridMultilevel"/>
    <w:tmpl w:val="126ACF3E"/>
    <w:lvl w:ilvl="0" w:tplc="828A608A">
      <w:start w:val="6"/>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D45875"/>
    <w:multiLevelType w:val="multilevel"/>
    <w:tmpl w:val="FFFFFFFF"/>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787F84"/>
    <w:multiLevelType w:val="hybridMultilevel"/>
    <w:tmpl w:val="891C5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134507"/>
    <w:multiLevelType w:val="hybridMultilevel"/>
    <w:tmpl w:val="D94A75F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A88230A"/>
    <w:multiLevelType w:val="hybridMultilevel"/>
    <w:tmpl w:val="23361ED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C914B3E"/>
    <w:multiLevelType w:val="hybridMultilevel"/>
    <w:tmpl w:val="AD3C6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1D3700"/>
    <w:multiLevelType w:val="hybridMultilevel"/>
    <w:tmpl w:val="375E9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BD18EF"/>
    <w:multiLevelType w:val="hybridMultilevel"/>
    <w:tmpl w:val="767A94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442F0D"/>
    <w:multiLevelType w:val="hybridMultilevel"/>
    <w:tmpl w:val="A43C25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D7221B"/>
    <w:multiLevelType w:val="hybridMultilevel"/>
    <w:tmpl w:val="82683D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7473C5"/>
    <w:multiLevelType w:val="hybridMultilevel"/>
    <w:tmpl w:val="51384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AE3356"/>
    <w:multiLevelType w:val="hybridMultilevel"/>
    <w:tmpl w:val="CCD81B4A"/>
    <w:lvl w:ilvl="0" w:tplc="3E56D86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C6647F"/>
    <w:multiLevelType w:val="hybridMultilevel"/>
    <w:tmpl w:val="82B6E7B4"/>
    <w:lvl w:ilvl="0" w:tplc="2E32949A">
      <w:start w:val="1"/>
      <w:numFmt w:val="decimal"/>
      <w:lvlText w:val="%1."/>
      <w:lvlJc w:val="left"/>
      <w:pPr>
        <w:ind w:left="720" w:hanging="360"/>
      </w:pPr>
      <w:rPr>
        <w:rFonts w:hint="default"/>
      </w:rPr>
    </w:lvl>
    <w:lvl w:ilvl="1" w:tplc="674422D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EC3D1C"/>
    <w:multiLevelType w:val="hybridMultilevel"/>
    <w:tmpl w:val="A130575C"/>
    <w:lvl w:ilvl="0" w:tplc="528E8E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F4549AA"/>
    <w:multiLevelType w:val="multilevel"/>
    <w:tmpl w:val="6FF22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BF0EEE"/>
    <w:multiLevelType w:val="hybridMultilevel"/>
    <w:tmpl w:val="E512A1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A047E1"/>
    <w:multiLevelType w:val="hybridMultilevel"/>
    <w:tmpl w:val="F0B63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5A65A4"/>
    <w:multiLevelType w:val="hybridMultilevel"/>
    <w:tmpl w:val="00A8AB7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42824F2"/>
    <w:multiLevelType w:val="hybridMultilevel"/>
    <w:tmpl w:val="3AD674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D50F03"/>
    <w:multiLevelType w:val="multilevel"/>
    <w:tmpl w:val="1BFCEDC0"/>
    <w:lvl w:ilvl="0">
      <w:start w:val="1"/>
      <w:numFmt w:val="decimal"/>
      <w:lvlText w:val="%1."/>
      <w:lvlJc w:val="left"/>
      <w:pPr>
        <w:ind w:left="1080" w:hanging="360"/>
      </w:pPr>
      <w:rPr>
        <w:b w:val="0"/>
      </w:rPr>
    </w:lvl>
    <w:lvl w:ilvl="1">
      <w:start w:val="1"/>
      <w:numFmt w:val="lowerLetter"/>
      <w:lvlText w:val="%2)"/>
      <w:lvlJc w:val="left"/>
      <w:pPr>
        <w:ind w:left="1515" w:hanging="435"/>
      </w:pPr>
      <w:rPr>
        <w:b w:val="0"/>
      </w:rPr>
    </w:lvl>
    <w:lvl w:ilvl="2">
      <w:start w:val="1"/>
      <w:numFmt w:val="lowerLetter"/>
      <w:lvlText w:val="%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1" w15:restartNumberingAfterBreak="0">
    <w:nsid w:val="41B61ECA"/>
    <w:multiLevelType w:val="hybridMultilevel"/>
    <w:tmpl w:val="CC08F0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B03A02"/>
    <w:multiLevelType w:val="hybridMultilevel"/>
    <w:tmpl w:val="230A90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6F528D"/>
    <w:multiLevelType w:val="hybridMultilevel"/>
    <w:tmpl w:val="654EF6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3D0E2F"/>
    <w:multiLevelType w:val="multilevel"/>
    <w:tmpl w:val="D54C86A2"/>
    <w:lvl w:ilvl="0">
      <w:start w:val="1"/>
      <w:numFmt w:val="decimal"/>
      <w:lvlText w:val="%1."/>
      <w:lvlJc w:val="left"/>
      <w:pPr>
        <w:ind w:left="1080" w:hanging="360"/>
      </w:pPr>
      <w:rPr>
        <w:b w:val="0"/>
      </w:rPr>
    </w:lvl>
    <w:lvl w:ilvl="1">
      <w:start w:val="1"/>
      <w:numFmt w:val="lowerLetter"/>
      <w:lvlText w:val="%2)"/>
      <w:lvlJc w:val="left"/>
      <w:pPr>
        <w:ind w:left="1515" w:hanging="435"/>
      </w:pPr>
      <w:rPr>
        <w:b w:val="0"/>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5" w15:restartNumberingAfterBreak="0">
    <w:nsid w:val="492C6894"/>
    <w:multiLevelType w:val="hybridMultilevel"/>
    <w:tmpl w:val="87567188"/>
    <w:lvl w:ilvl="0" w:tplc="0409001B">
      <w:start w:val="1"/>
      <w:numFmt w:val="lowerRoman"/>
      <w:lvlText w:val="%1."/>
      <w:lvlJc w:val="right"/>
      <w:pPr>
        <w:ind w:left="1320" w:hanging="360"/>
      </w:p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6" w15:restartNumberingAfterBreak="0">
    <w:nsid w:val="4A3B7945"/>
    <w:multiLevelType w:val="hybridMultilevel"/>
    <w:tmpl w:val="4CF0E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F132AE"/>
    <w:multiLevelType w:val="hybridMultilevel"/>
    <w:tmpl w:val="FBA8FC9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5A8442B"/>
    <w:multiLevelType w:val="hybridMultilevel"/>
    <w:tmpl w:val="C526F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010017"/>
    <w:multiLevelType w:val="hybridMultilevel"/>
    <w:tmpl w:val="4580B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FD6C7A"/>
    <w:multiLevelType w:val="hybridMultilevel"/>
    <w:tmpl w:val="710C35FC"/>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7A74AB3"/>
    <w:multiLevelType w:val="hybridMultilevel"/>
    <w:tmpl w:val="38EAD406"/>
    <w:lvl w:ilvl="0" w:tplc="0C9CF7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B118EC"/>
    <w:multiLevelType w:val="hybridMultilevel"/>
    <w:tmpl w:val="963C2584"/>
    <w:lvl w:ilvl="0" w:tplc="08090017">
      <w:start w:val="1"/>
      <w:numFmt w:val="lowerLetter"/>
      <w:lvlText w:val="%1)"/>
      <w:lvlJc w:val="left"/>
      <w:pPr>
        <w:ind w:left="99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33" w15:restartNumberingAfterBreak="0">
    <w:nsid w:val="7143670A"/>
    <w:multiLevelType w:val="hybridMultilevel"/>
    <w:tmpl w:val="87985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C36049"/>
    <w:multiLevelType w:val="hybridMultilevel"/>
    <w:tmpl w:val="57E45832"/>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6A906F5"/>
    <w:multiLevelType w:val="hybridMultilevel"/>
    <w:tmpl w:val="4834410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ED09C8"/>
    <w:multiLevelType w:val="hybridMultilevel"/>
    <w:tmpl w:val="F15847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26592D"/>
    <w:multiLevelType w:val="hybridMultilevel"/>
    <w:tmpl w:val="AD261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BF6E60"/>
    <w:multiLevelType w:val="hybridMultilevel"/>
    <w:tmpl w:val="76FAB64A"/>
    <w:lvl w:ilvl="0" w:tplc="BF2C71D4">
      <w:start w:val="1"/>
      <w:numFmt w:val="decimal"/>
      <w:lvlText w:val="%1."/>
      <w:lvlJc w:val="left"/>
      <w:pPr>
        <w:ind w:left="36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F814C7"/>
    <w:multiLevelType w:val="hybridMultilevel"/>
    <w:tmpl w:val="65481C1A"/>
    <w:lvl w:ilvl="0" w:tplc="689462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5"/>
  </w:num>
  <w:num w:numId="2">
    <w:abstractNumId w:val="29"/>
  </w:num>
  <w:num w:numId="3">
    <w:abstractNumId w:val="10"/>
  </w:num>
  <w:num w:numId="4">
    <w:abstractNumId w:val="0"/>
  </w:num>
  <w:num w:numId="5">
    <w:abstractNumId w:val="24"/>
  </w:num>
  <w:num w:numId="6">
    <w:abstractNumId w:val="17"/>
  </w:num>
  <w:num w:numId="7">
    <w:abstractNumId w:val="38"/>
  </w:num>
  <w:num w:numId="8">
    <w:abstractNumId w:val="19"/>
  </w:num>
  <w:num w:numId="9">
    <w:abstractNumId w:val="32"/>
  </w:num>
  <w:num w:numId="10">
    <w:abstractNumId w:val="6"/>
  </w:num>
  <w:num w:numId="11">
    <w:abstractNumId w:val="4"/>
  </w:num>
  <w:num w:numId="12">
    <w:abstractNumId w:val="23"/>
  </w:num>
  <w:num w:numId="13">
    <w:abstractNumId w:val="8"/>
  </w:num>
  <w:num w:numId="14">
    <w:abstractNumId w:val="3"/>
  </w:num>
  <w:num w:numId="15">
    <w:abstractNumId w:val="9"/>
  </w:num>
  <w:num w:numId="16">
    <w:abstractNumId w:val="11"/>
  </w:num>
  <w:num w:numId="17">
    <w:abstractNumId w:val="16"/>
  </w:num>
  <w:num w:numId="18">
    <w:abstractNumId w:val="18"/>
  </w:num>
  <w:num w:numId="19">
    <w:abstractNumId w:val="21"/>
  </w:num>
  <w:num w:numId="20">
    <w:abstractNumId w:val="30"/>
  </w:num>
  <w:num w:numId="21">
    <w:abstractNumId w:val="22"/>
  </w:num>
  <w:num w:numId="22">
    <w:abstractNumId w:val="7"/>
  </w:num>
  <w:num w:numId="23">
    <w:abstractNumId w:val="34"/>
  </w:num>
  <w:num w:numId="24">
    <w:abstractNumId w:val="12"/>
  </w:num>
  <w:num w:numId="25">
    <w:abstractNumId w:val="36"/>
  </w:num>
  <w:num w:numId="26">
    <w:abstractNumId w:val="37"/>
  </w:num>
  <w:num w:numId="27">
    <w:abstractNumId w:val="28"/>
  </w:num>
  <w:num w:numId="28">
    <w:abstractNumId w:val="14"/>
  </w:num>
  <w:num w:numId="29">
    <w:abstractNumId w:val="39"/>
  </w:num>
  <w:num w:numId="30">
    <w:abstractNumId w:val="31"/>
  </w:num>
  <w:num w:numId="31">
    <w:abstractNumId w:val="13"/>
  </w:num>
  <w:num w:numId="32">
    <w:abstractNumId w:val="20"/>
  </w:num>
  <w:num w:numId="33">
    <w:abstractNumId w:val="2"/>
  </w:num>
  <w:num w:numId="34">
    <w:abstractNumId w:val="26"/>
  </w:num>
  <w:num w:numId="35">
    <w:abstractNumId w:val="33"/>
  </w:num>
  <w:num w:numId="36">
    <w:abstractNumId w:val="27"/>
  </w:num>
  <w:num w:numId="37">
    <w:abstractNumId w:val="5"/>
  </w:num>
  <w:num w:numId="38">
    <w:abstractNumId w:val="1"/>
  </w:num>
  <w:num w:numId="39">
    <w:abstractNumId w:val="15"/>
  </w:num>
  <w:num w:numId="40">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C3F"/>
    <w:rsid w:val="00004B0E"/>
    <w:rsid w:val="000103D5"/>
    <w:rsid w:val="00012E28"/>
    <w:rsid w:val="00012E4C"/>
    <w:rsid w:val="00024D1E"/>
    <w:rsid w:val="00035591"/>
    <w:rsid w:val="00040F44"/>
    <w:rsid w:val="00041937"/>
    <w:rsid w:val="0004199F"/>
    <w:rsid w:val="0005208D"/>
    <w:rsid w:val="00052175"/>
    <w:rsid w:val="00052ADC"/>
    <w:rsid w:val="00053A59"/>
    <w:rsid w:val="00055DA9"/>
    <w:rsid w:val="00057972"/>
    <w:rsid w:val="0007400C"/>
    <w:rsid w:val="00081A37"/>
    <w:rsid w:val="00082796"/>
    <w:rsid w:val="00082B25"/>
    <w:rsid w:val="00082C00"/>
    <w:rsid w:val="00082CB8"/>
    <w:rsid w:val="00083066"/>
    <w:rsid w:val="000845D0"/>
    <w:rsid w:val="00091066"/>
    <w:rsid w:val="00094C2B"/>
    <w:rsid w:val="00094D6D"/>
    <w:rsid w:val="00095714"/>
    <w:rsid w:val="00095993"/>
    <w:rsid w:val="000A1A5C"/>
    <w:rsid w:val="000A7B28"/>
    <w:rsid w:val="000B275A"/>
    <w:rsid w:val="000B3857"/>
    <w:rsid w:val="000B3BEC"/>
    <w:rsid w:val="000B4975"/>
    <w:rsid w:val="000B7BB5"/>
    <w:rsid w:val="000C3B0C"/>
    <w:rsid w:val="000C6D2A"/>
    <w:rsid w:val="000C730E"/>
    <w:rsid w:val="000D1685"/>
    <w:rsid w:val="000D26D4"/>
    <w:rsid w:val="000D32CC"/>
    <w:rsid w:val="000D3FC7"/>
    <w:rsid w:val="000D4A16"/>
    <w:rsid w:val="000D4DE7"/>
    <w:rsid w:val="000D4F8F"/>
    <w:rsid w:val="000D6F19"/>
    <w:rsid w:val="000D77AD"/>
    <w:rsid w:val="000E1403"/>
    <w:rsid w:val="000E281A"/>
    <w:rsid w:val="000E295C"/>
    <w:rsid w:val="000E41BC"/>
    <w:rsid w:val="000E6A3F"/>
    <w:rsid w:val="000E7665"/>
    <w:rsid w:val="000F517B"/>
    <w:rsid w:val="000F6C66"/>
    <w:rsid w:val="00101C32"/>
    <w:rsid w:val="00104EBB"/>
    <w:rsid w:val="001058B2"/>
    <w:rsid w:val="001132C8"/>
    <w:rsid w:val="00120949"/>
    <w:rsid w:val="00122910"/>
    <w:rsid w:val="00131C82"/>
    <w:rsid w:val="001337E6"/>
    <w:rsid w:val="00136357"/>
    <w:rsid w:val="00136E9B"/>
    <w:rsid w:val="00140D66"/>
    <w:rsid w:val="00151B2F"/>
    <w:rsid w:val="001536A0"/>
    <w:rsid w:val="00156E47"/>
    <w:rsid w:val="00156F09"/>
    <w:rsid w:val="00160E0A"/>
    <w:rsid w:val="001616FD"/>
    <w:rsid w:val="001700E3"/>
    <w:rsid w:val="00170F72"/>
    <w:rsid w:val="001751F3"/>
    <w:rsid w:val="00176B4C"/>
    <w:rsid w:val="001807B4"/>
    <w:rsid w:val="0018107F"/>
    <w:rsid w:val="0018199E"/>
    <w:rsid w:val="00186095"/>
    <w:rsid w:val="0018630C"/>
    <w:rsid w:val="001A22B4"/>
    <w:rsid w:val="001A36E9"/>
    <w:rsid w:val="001B459A"/>
    <w:rsid w:val="001B6B3D"/>
    <w:rsid w:val="001D29B4"/>
    <w:rsid w:val="001E6435"/>
    <w:rsid w:val="001F226D"/>
    <w:rsid w:val="001F272C"/>
    <w:rsid w:val="00204954"/>
    <w:rsid w:val="00206617"/>
    <w:rsid w:val="00206DEF"/>
    <w:rsid w:val="002117B4"/>
    <w:rsid w:val="00212A62"/>
    <w:rsid w:val="00216707"/>
    <w:rsid w:val="00224F8D"/>
    <w:rsid w:val="00233D1A"/>
    <w:rsid w:val="00236886"/>
    <w:rsid w:val="00237554"/>
    <w:rsid w:val="00243129"/>
    <w:rsid w:val="00244165"/>
    <w:rsid w:val="002476C7"/>
    <w:rsid w:val="00250E0D"/>
    <w:rsid w:val="00251857"/>
    <w:rsid w:val="0025369A"/>
    <w:rsid w:val="002614A8"/>
    <w:rsid w:val="00263E7D"/>
    <w:rsid w:val="00273F8D"/>
    <w:rsid w:val="00276FFC"/>
    <w:rsid w:val="00277412"/>
    <w:rsid w:val="0028229B"/>
    <w:rsid w:val="00292996"/>
    <w:rsid w:val="0029575D"/>
    <w:rsid w:val="00295F04"/>
    <w:rsid w:val="002966A9"/>
    <w:rsid w:val="002A1EB7"/>
    <w:rsid w:val="002A1FEE"/>
    <w:rsid w:val="002A3DA7"/>
    <w:rsid w:val="002A3EC7"/>
    <w:rsid w:val="002B076F"/>
    <w:rsid w:val="002B133E"/>
    <w:rsid w:val="002B1FF0"/>
    <w:rsid w:val="002B24C4"/>
    <w:rsid w:val="002B2747"/>
    <w:rsid w:val="002B41CD"/>
    <w:rsid w:val="002B6DEA"/>
    <w:rsid w:val="002C142C"/>
    <w:rsid w:val="002F5AC5"/>
    <w:rsid w:val="003011F2"/>
    <w:rsid w:val="00302FAE"/>
    <w:rsid w:val="003072A0"/>
    <w:rsid w:val="00314ED5"/>
    <w:rsid w:val="00316130"/>
    <w:rsid w:val="00325507"/>
    <w:rsid w:val="00331D87"/>
    <w:rsid w:val="0033266E"/>
    <w:rsid w:val="00334E35"/>
    <w:rsid w:val="00335CC7"/>
    <w:rsid w:val="00336753"/>
    <w:rsid w:val="00340BA6"/>
    <w:rsid w:val="00341716"/>
    <w:rsid w:val="00343275"/>
    <w:rsid w:val="00350883"/>
    <w:rsid w:val="00352E4F"/>
    <w:rsid w:val="00354DBD"/>
    <w:rsid w:val="003604B6"/>
    <w:rsid w:val="00363832"/>
    <w:rsid w:val="0036617C"/>
    <w:rsid w:val="00366A6A"/>
    <w:rsid w:val="00372B00"/>
    <w:rsid w:val="003736BF"/>
    <w:rsid w:val="003779C8"/>
    <w:rsid w:val="00380688"/>
    <w:rsid w:val="00380ACB"/>
    <w:rsid w:val="00387AAB"/>
    <w:rsid w:val="003914EF"/>
    <w:rsid w:val="00395377"/>
    <w:rsid w:val="003A1FE3"/>
    <w:rsid w:val="003A5FCA"/>
    <w:rsid w:val="003A7AEC"/>
    <w:rsid w:val="003B0831"/>
    <w:rsid w:val="003B3CC4"/>
    <w:rsid w:val="003B4113"/>
    <w:rsid w:val="003B7B3B"/>
    <w:rsid w:val="003C02E3"/>
    <w:rsid w:val="003C0B4E"/>
    <w:rsid w:val="003C549D"/>
    <w:rsid w:val="003C6A71"/>
    <w:rsid w:val="003D7EBB"/>
    <w:rsid w:val="003E3357"/>
    <w:rsid w:val="003F3C76"/>
    <w:rsid w:val="003F5C37"/>
    <w:rsid w:val="003F7E8A"/>
    <w:rsid w:val="00400B59"/>
    <w:rsid w:val="00401FDD"/>
    <w:rsid w:val="00402406"/>
    <w:rsid w:val="004025E6"/>
    <w:rsid w:val="004066A7"/>
    <w:rsid w:val="004159EB"/>
    <w:rsid w:val="00424A4D"/>
    <w:rsid w:val="00425085"/>
    <w:rsid w:val="0042573D"/>
    <w:rsid w:val="0042782B"/>
    <w:rsid w:val="00455752"/>
    <w:rsid w:val="0045654D"/>
    <w:rsid w:val="0045764B"/>
    <w:rsid w:val="00464375"/>
    <w:rsid w:val="0046532D"/>
    <w:rsid w:val="0046534B"/>
    <w:rsid w:val="00472389"/>
    <w:rsid w:val="0047299F"/>
    <w:rsid w:val="004748E3"/>
    <w:rsid w:val="004758F7"/>
    <w:rsid w:val="00477457"/>
    <w:rsid w:val="00482F2B"/>
    <w:rsid w:val="00486CCC"/>
    <w:rsid w:val="00486F4C"/>
    <w:rsid w:val="004909BC"/>
    <w:rsid w:val="004914FC"/>
    <w:rsid w:val="00494848"/>
    <w:rsid w:val="004959F2"/>
    <w:rsid w:val="004A0E1E"/>
    <w:rsid w:val="004A42D0"/>
    <w:rsid w:val="004A4851"/>
    <w:rsid w:val="004A5639"/>
    <w:rsid w:val="004A62FA"/>
    <w:rsid w:val="004B063E"/>
    <w:rsid w:val="004B210A"/>
    <w:rsid w:val="004B4C84"/>
    <w:rsid w:val="004C130A"/>
    <w:rsid w:val="004C6CE4"/>
    <w:rsid w:val="004D0BC4"/>
    <w:rsid w:val="004D26E8"/>
    <w:rsid w:val="004E08F0"/>
    <w:rsid w:val="004E6C55"/>
    <w:rsid w:val="004F1375"/>
    <w:rsid w:val="004F3412"/>
    <w:rsid w:val="004F37E3"/>
    <w:rsid w:val="004F482C"/>
    <w:rsid w:val="004F7792"/>
    <w:rsid w:val="00501EF3"/>
    <w:rsid w:val="00510546"/>
    <w:rsid w:val="00515D08"/>
    <w:rsid w:val="00517E6D"/>
    <w:rsid w:val="00520C15"/>
    <w:rsid w:val="005254AC"/>
    <w:rsid w:val="00527EC2"/>
    <w:rsid w:val="005321AE"/>
    <w:rsid w:val="005325E3"/>
    <w:rsid w:val="005330EC"/>
    <w:rsid w:val="0053448C"/>
    <w:rsid w:val="0053693D"/>
    <w:rsid w:val="00536CC6"/>
    <w:rsid w:val="00537E7F"/>
    <w:rsid w:val="005446C3"/>
    <w:rsid w:val="00546685"/>
    <w:rsid w:val="00555F22"/>
    <w:rsid w:val="00556265"/>
    <w:rsid w:val="00571020"/>
    <w:rsid w:val="00573AC4"/>
    <w:rsid w:val="00575130"/>
    <w:rsid w:val="005824DF"/>
    <w:rsid w:val="00591809"/>
    <w:rsid w:val="005947C9"/>
    <w:rsid w:val="005952C0"/>
    <w:rsid w:val="005A2355"/>
    <w:rsid w:val="005A25D7"/>
    <w:rsid w:val="005B59AF"/>
    <w:rsid w:val="005C4C4B"/>
    <w:rsid w:val="005E15A7"/>
    <w:rsid w:val="005E1E21"/>
    <w:rsid w:val="005E4048"/>
    <w:rsid w:val="005E5219"/>
    <w:rsid w:val="005E5FD8"/>
    <w:rsid w:val="006050C2"/>
    <w:rsid w:val="00607423"/>
    <w:rsid w:val="00612E8F"/>
    <w:rsid w:val="006138B8"/>
    <w:rsid w:val="00621B2A"/>
    <w:rsid w:val="0062465D"/>
    <w:rsid w:val="00624D07"/>
    <w:rsid w:val="00626232"/>
    <w:rsid w:val="00627AC0"/>
    <w:rsid w:val="00630655"/>
    <w:rsid w:val="00631905"/>
    <w:rsid w:val="0063246D"/>
    <w:rsid w:val="00633B30"/>
    <w:rsid w:val="0063638A"/>
    <w:rsid w:val="00641758"/>
    <w:rsid w:val="00645565"/>
    <w:rsid w:val="0064629E"/>
    <w:rsid w:val="00653571"/>
    <w:rsid w:val="0065588B"/>
    <w:rsid w:val="00661867"/>
    <w:rsid w:val="00661D55"/>
    <w:rsid w:val="0066782E"/>
    <w:rsid w:val="00671F75"/>
    <w:rsid w:val="006724A1"/>
    <w:rsid w:val="00680308"/>
    <w:rsid w:val="00685E56"/>
    <w:rsid w:val="006900B0"/>
    <w:rsid w:val="00690E8A"/>
    <w:rsid w:val="006A3A17"/>
    <w:rsid w:val="006A7729"/>
    <w:rsid w:val="006B5696"/>
    <w:rsid w:val="006C2300"/>
    <w:rsid w:val="006C4AB7"/>
    <w:rsid w:val="006C6A3F"/>
    <w:rsid w:val="006D0A34"/>
    <w:rsid w:val="006D0DE0"/>
    <w:rsid w:val="006D2999"/>
    <w:rsid w:val="006D51BF"/>
    <w:rsid w:val="006E15DE"/>
    <w:rsid w:val="006E1E2E"/>
    <w:rsid w:val="006E2F6E"/>
    <w:rsid w:val="006E44FA"/>
    <w:rsid w:val="006E4D80"/>
    <w:rsid w:val="006F4FCE"/>
    <w:rsid w:val="006F7927"/>
    <w:rsid w:val="0070024B"/>
    <w:rsid w:val="00702026"/>
    <w:rsid w:val="00706892"/>
    <w:rsid w:val="00706C39"/>
    <w:rsid w:val="00710593"/>
    <w:rsid w:val="007154FF"/>
    <w:rsid w:val="00716286"/>
    <w:rsid w:val="00721699"/>
    <w:rsid w:val="007224F5"/>
    <w:rsid w:val="00722EEA"/>
    <w:rsid w:val="00726F9C"/>
    <w:rsid w:val="0073433A"/>
    <w:rsid w:val="007356B6"/>
    <w:rsid w:val="00735E6E"/>
    <w:rsid w:val="00741DB2"/>
    <w:rsid w:val="00741F77"/>
    <w:rsid w:val="00743099"/>
    <w:rsid w:val="00744189"/>
    <w:rsid w:val="00744FDD"/>
    <w:rsid w:val="0074603E"/>
    <w:rsid w:val="00747298"/>
    <w:rsid w:val="007516C3"/>
    <w:rsid w:val="00751E68"/>
    <w:rsid w:val="00752BAF"/>
    <w:rsid w:val="007577A7"/>
    <w:rsid w:val="007656A7"/>
    <w:rsid w:val="007701A7"/>
    <w:rsid w:val="00770F2E"/>
    <w:rsid w:val="00770F93"/>
    <w:rsid w:val="007727D4"/>
    <w:rsid w:val="007804C2"/>
    <w:rsid w:val="00784F9C"/>
    <w:rsid w:val="00786474"/>
    <w:rsid w:val="00786FEF"/>
    <w:rsid w:val="00787E02"/>
    <w:rsid w:val="00790924"/>
    <w:rsid w:val="00794531"/>
    <w:rsid w:val="007A30AF"/>
    <w:rsid w:val="007A3393"/>
    <w:rsid w:val="007A4F71"/>
    <w:rsid w:val="007A6858"/>
    <w:rsid w:val="007A7D9C"/>
    <w:rsid w:val="007B22EB"/>
    <w:rsid w:val="007B2BFC"/>
    <w:rsid w:val="007B4310"/>
    <w:rsid w:val="007B4526"/>
    <w:rsid w:val="007B622F"/>
    <w:rsid w:val="007C40F9"/>
    <w:rsid w:val="007D07FB"/>
    <w:rsid w:val="007D4ED2"/>
    <w:rsid w:val="007D6214"/>
    <w:rsid w:val="007E373C"/>
    <w:rsid w:val="007E5744"/>
    <w:rsid w:val="007E6AB2"/>
    <w:rsid w:val="007F33E0"/>
    <w:rsid w:val="007F494A"/>
    <w:rsid w:val="007F527D"/>
    <w:rsid w:val="00804FC6"/>
    <w:rsid w:val="00805824"/>
    <w:rsid w:val="00805F96"/>
    <w:rsid w:val="00807982"/>
    <w:rsid w:val="0081035A"/>
    <w:rsid w:val="00814D76"/>
    <w:rsid w:val="00823793"/>
    <w:rsid w:val="00823C4C"/>
    <w:rsid w:val="0082554A"/>
    <w:rsid w:val="008268DB"/>
    <w:rsid w:val="0083539D"/>
    <w:rsid w:val="00836DD0"/>
    <w:rsid w:val="00840E43"/>
    <w:rsid w:val="0084372B"/>
    <w:rsid w:val="008452C1"/>
    <w:rsid w:val="00846DD8"/>
    <w:rsid w:val="0085752A"/>
    <w:rsid w:val="008613B3"/>
    <w:rsid w:val="008618DB"/>
    <w:rsid w:val="008674C8"/>
    <w:rsid w:val="008804AC"/>
    <w:rsid w:val="00886A9F"/>
    <w:rsid w:val="00886C3F"/>
    <w:rsid w:val="00890D5E"/>
    <w:rsid w:val="008A0EE6"/>
    <w:rsid w:val="008B65AB"/>
    <w:rsid w:val="008C5417"/>
    <w:rsid w:val="008C6234"/>
    <w:rsid w:val="008D6406"/>
    <w:rsid w:val="008D7415"/>
    <w:rsid w:val="008E2ADC"/>
    <w:rsid w:val="008F3991"/>
    <w:rsid w:val="008F7347"/>
    <w:rsid w:val="0092239E"/>
    <w:rsid w:val="009242A5"/>
    <w:rsid w:val="00934191"/>
    <w:rsid w:val="00934719"/>
    <w:rsid w:val="009355DC"/>
    <w:rsid w:val="00936CDD"/>
    <w:rsid w:val="00937B7D"/>
    <w:rsid w:val="00937C8A"/>
    <w:rsid w:val="009404C1"/>
    <w:rsid w:val="009426B2"/>
    <w:rsid w:val="00944A71"/>
    <w:rsid w:val="0095404C"/>
    <w:rsid w:val="009545E1"/>
    <w:rsid w:val="009546EA"/>
    <w:rsid w:val="00962557"/>
    <w:rsid w:val="00962E34"/>
    <w:rsid w:val="0096669E"/>
    <w:rsid w:val="00966F58"/>
    <w:rsid w:val="00973747"/>
    <w:rsid w:val="00974913"/>
    <w:rsid w:val="00975B80"/>
    <w:rsid w:val="00975D2C"/>
    <w:rsid w:val="00980978"/>
    <w:rsid w:val="00985FE0"/>
    <w:rsid w:val="00987EE4"/>
    <w:rsid w:val="009925A7"/>
    <w:rsid w:val="00994F12"/>
    <w:rsid w:val="009978C1"/>
    <w:rsid w:val="009A0800"/>
    <w:rsid w:val="009A2061"/>
    <w:rsid w:val="009A61D1"/>
    <w:rsid w:val="009A77B2"/>
    <w:rsid w:val="009B279D"/>
    <w:rsid w:val="009B2E11"/>
    <w:rsid w:val="009B4997"/>
    <w:rsid w:val="009B4DA0"/>
    <w:rsid w:val="009C1007"/>
    <w:rsid w:val="009C1392"/>
    <w:rsid w:val="009C2FEA"/>
    <w:rsid w:val="009C30AF"/>
    <w:rsid w:val="009D5387"/>
    <w:rsid w:val="009D70F9"/>
    <w:rsid w:val="009E008C"/>
    <w:rsid w:val="009E406B"/>
    <w:rsid w:val="009E5D8D"/>
    <w:rsid w:val="009F1592"/>
    <w:rsid w:val="009F2EF2"/>
    <w:rsid w:val="009F3960"/>
    <w:rsid w:val="00A003DC"/>
    <w:rsid w:val="00A004CB"/>
    <w:rsid w:val="00A049AF"/>
    <w:rsid w:val="00A070C7"/>
    <w:rsid w:val="00A07514"/>
    <w:rsid w:val="00A114C1"/>
    <w:rsid w:val="00A15AD1"/>
    <w:rsid w:val="00A22FA3"/>
    <w:rsid w:val="00A23F95"/>
    <w:rsid w:val="00A3055B"/>
    <w:rsid w:val="00A33247"/>
    <w:rsid w:val="00A33C5A"/>
    <w:rsid w:val="00A41F44"/>
    <w:rsid w:val="00A4480B"/>
    <w:rsid w:val="00A54A40"/>
    <w:rsid w:val="00A55155"/>
    <w:rsid w:val="00A657F6"/>
    <w:rsid w:val="00A658FA"/>
    <w:rsid w:val="00A66FBE"/>
    <w:rsid w:val="00A7063A"/>
    <w:rsid w:val="00A709E6"/>
    <w:rsid w:val="00A71CEC"/>
    <w:rsid w:val="00A74930"/>
    <w:rsid w:val="00A82371"/>
    <w:rsid w:val="00A840B2"/>
    <w:rsid w:val="00A876BA"/>
    <w:rsid w:val="00A87EFB"/>
    <w:rsid w:val="00A947B4"/>
    <w:rsid w:val="00AA00A1"/>
    <w:rsid w:val="00AA399C"/>
    <w:rsid w:val="00AA3A59"/>
    <w:rsid w:val="00AA7657"/>
    <w:rsid w:val="00AB057F"/>
    <w:rsid w:val="00AB3429"/>
    <w:rsid w:val="00AB5A3E"/>
    <w:rsid w:val="00AB654A"/>
    <w:rsid w:val="00AC19BA"/>
    <w:rsid w:val="00AC70A6"/>
    <w:rsid w:val="00AD3FF1"/>
    <w:rsid w:val="00AD5D1C"/>
    <w:rsid w:val="00AF0945"/>
    <w:rsid w:val="00AF461C"/>
    <w:rsid w:val="00AF7AAE"/>
    <w:rsid w:val="00B10C9A"/>
    <w:rsid w:val="00B110A4"/>
    <w:rsid w:val="00B12F3D"/>
    <w:rsid w:val="00B14ACE"/>
    <w:rsid w:val="00B178A6"/>
    <w:rsid w:val="00B218C7"/>
    <w:rsid w:val="00B27EA1"/>
    <w:rsid w:val="00B347BA"/>
    <w:rsid w:val="00B349BB"/>
    <w:rsid w:val="00B37472"/>
    <w:rsid w:val="00B4217D"/>
    <w:rsid w:val="00B42B1B"/>
    <w:rsid w:val="00B43B62"/>
    <w:rsid w:val="00B44B4A"/>
    <w:rsid w:val="00B47CFC"/>
    <w:rsid w:val="00B5451D"/>
    <w:rsid w:val="00B565D0"/>
    <w:rsid w:val="00B6241A"/>
    <w:rsid w:val="00B62B8E"/>
    <w:rsid w:val="00B63FB6"/>
    <w:rsid w:val="00B64552"/>
    <w:rsid w:val="00B679EE"/>
    <w:rsid w:val="00B71C1F"/>
    <w:rsid w:val="00B729E6"/>
    <w:rsid w:val="00B851A4"/>
    <w:rsid w:val="00B8566C"/>
    <w:rsid w:val="00B85B11"/>
    <w:rsid w:val="00B86830"/>
    <w:rsid w:val="00B87B63"/>
    <w:rsid w:val="00B91C23"/>
    <w:rsid w:val="00B92102"/>
    <w:rsid w:val="00B9367F"/>
    <w:rsid w:val="00B936C4"/>
    <w:rsid w:val="00B9770F"/>
    <w:rsid w:val="00BA1AFF"/>
    <w:rsid w:val="00BA3EEC"/>
    <w:rsid w:val="00BB31F6"/>
    <w:rsid w:val="00BB6AC6"/>
    <w:rsid w:val="00BC140B"/>
    <w:rsid w:val="00BC228B"/>
    <w:rsid w:val="00BC2335"/>
    <w:rsid w:val="00BC345C"/>
    <w:rsid w:val="00BD1371"/>
    <w:rsid w:val="00BD5FDD"/>
    <w:rsid w:val="00BD6C0C"/>
    <w:rsid w:val="00BF1A19"/>
    <w:rsid w:val="00C014FC"/>
    <w:rsid w:val="00C01971"/>
    <w:rsid w:val="00C07A29"/>
    <w:rsid w:val="00C154FD"/>
    <w:rsid w:val="00C178CB"/>
    <w:rsid w:val="00C247D0"/>
    <w:rsid w:val="00C33DFD"/>
    <w:rsid w:val="00C340E2"/>
    <w:rsid w:val="00C34F30"/>
    <w:rsid w:val="00C3707C"/>
    <w:rsid w:val="00C42B17"/>
    <w:rsid w:val="00C451E9"/>
    <w:rsid w:val="00C4770C"/>
    <w:rsid w:val="00C47BFE"/>
    <w:rsid w:val="00C5156B"/>
    <w:rsid w:val="00C51E81"/>
    <w:rsid w:val="00C5505B"/>
    <w:rsid w:val="00C56A6A"/>
    <w:rsid w:val="00C5757F"/>
    <w:rsid w:val="00C6216B"/>
    <w:rsid w:val="00C63734"/>
    <w:rsid w:val="00C64518"/>
    <w:rsid w:val="00C64C84"/>
    <w:rsid w:val="00C64E8A"/>
    <w:rsid w:val="00C712A9"/>
    <w:rsid w:val="00C80985"/>
    <w:rsid w:val="00C816A1"/>
    <w:rsid w:val="00C8630C"/>
    <w:rsid w:val="00C87C44"/>
    <w:rsid w:val="00C95B0F"/>
    <w:rsid w:val="00CA0B6E"/>
    <w:rsid w:val="00CA111E"/>
    <w:rsid w:val="00CB0FCF"/>
    <w:rsid w:val="00CB2A97"/>
    <w:rsid w:val="00CB2E58"/>
    <w:rsid w:val="00CB7487"/>
    <w:rsid w:val="00CC31B2"/>
    <w:rsid w:val="00CC3732"/>
    <w:rsid w:val="00CC4040"/>
    <w:rsid w:val="00CD3F05"/>
    <w:rsid w:val="00CD4C66"/>
    <w:rsid w:val="00CE01F6"/>
    <w:rsid w:val="00CE2F91"/>
    <w:rsid w:val="00CF0FAB"/>
    <w:rsid w:val="00CF14EE"/>
    <w:rsid w:val="00D01DB2"/>
    <w:rsid w:val="00D03F1E"/>
    <w:rsid w:val="00D049DC"/>
    <w:rsid w:val="00D078F1"/>
    <w:rsid w:val="00D11CF5"/>
    <w:rsid w:val="00D16AC7"/>
    <w:rsid w:val="00D2092A"/>
    <w:rsid w:val="00D21CA8"/>
    <w:rsid w:val="00D251AC"/>
    <w:rsid w:val="00D30698"/>
    <w:rsid w:val="00D30C40"/>
    <w:rsid w:val="00D35C05"/>
    <w:rsid w:val="00D40CBC"/>
    <w:rsid w:val="00D42389"/>
    <w:rsid w:val="00D46ED6"/>
    <w:rsid w:val="00D475C9"/>
    <w:rsid w:val="00D47699"/>
    <w:rsid w:val="00D52B7B"/>
    <w:rsid w:val="00D5529B"/>
    <w:rsid w:val="00D56B7F"/>
    <w:rsid w:val="00D56DD4"/>
    <w:rsid w:val="00D60778"/>
    <w:rsid w:val="00D81280"/>
    <w:rsid w:val="00D900CD"/>
    <w:rsid w:val="00D94508"/>
    <w:rsid w:val="00D947D9"/>
    <w:rsid w:val="00D96205"/>
    <w:rsid w:val="00D96B1E"/>
    <w:rsid w:val="00DA2B05"/>
    <w:rsid w:val="00DA2E22"/>
    <w:rsid w:val="00DA3D09"/>
    <w:rsid w:val="00DA48A1"/>
    <w:rsid w:val="00DB21A9"/>
    <w:rsid w:val="00DB4D36"/>
    <w:rsid w:val="00DB5A02"/>
    <w:rsid w:val="00DC3943"/>
    <w:rsid w:val="00DC3CE4"/>
    <w:rsid w:val="00DC5B78"/>
    <w:rsid w:val="00DD01FF"/>
    <w:rsid w:val="00DD069C"/>
    <w:rsid w:val="00DD1303"/>
    <w:rsid w:val="00DD5A3E"/>
    <w:rsid w:val="00DE3F8A"/>
    <w:rsid w:val="00DE5330"/>
    <w:rsid w:val="00DE660C"/>
    <w:rsid w:val="00DF0978"/>
    <w:rsid w:val="00DF2B01"/>
    <w:rsid w:val="00E01827"/>
    <w:rsid w:val="00E03E90"/>
    <w:rsid w:val="00E0606F"/>
    <w:rsid w:val="00E0775C"/>
    <w:rsid w:val="00E07A2F"/>
    <w:rsid w:val="00E1278E"/>
    <w:rsid w:val="00E142D6"/>
    <w:rsid w:val="00E17755"/>
    <w:rsid w:val="00E2000F"/>
    <w:rsid w:val="00E20455"/>
    <w:rsid w:val="00E2153A"/>
    <w:rsid w:val="00E229D0"/>
    <w:rsid w:val="00E333D6"/>
    <w:rsid w:val="00E3490B"/>
    <w:rsid w:val="00E41AA5"/>
    <w:rsid w:val="00E445A7"/>
    <w:rsid w:val="00E4693A"/>
    <w:rsid w:val="00E47A5C"/>
    <w:rsid w:val="00E53517"/>
    <w:rsid w:val="00E5431E"/>
    <w:rsid w:val="00E56719"/>
    <w:rsid w:val="00E75797"/>
    <w:rsid w:val="00E81DCE"/>
    <w:rsid w:val="00E8434F"/>
    <w:rsid w:val="00E852E0"/>
    <w:rsid w:val="00E91A0D"/>
    <w:rsid w:val="00E921F3"/>
    <w:rsid w:val="00EA281B"/>
    <w:rsid w:val="00EA4BDB"/>
    <w:rsid w:val="00EA4DD7"/>
    <w:rsid w:val="00EB0171"/>
    <w:rsid w:val="00EB1996"/>
    <w:rsid w:val="00EB20C8"/>
    <w:rsid w:val="00EB2122"/>
    <w:rsid w:val="00EB2697"/>
    <w:rsid w:val="00EB2A48"/>
    <w:rsid w:val="00EB478D"/>
    <w:rsid w:val="00EB4A64"/>
    <w:rsid w:val="00EB523A"/>
    <w:rsid w:val="00EB5AD6"/>
    <w:rsid w:val="00EB7F41"/>
    <w:rsid w:val="00EB7FEA"/>
    <w:rsid w:val="00EC069F"/>
    <w:rsid w:val="00EC218F"/>
    <w:rsid w:val="00EC5717"/>
    <w:rsid w:val="00EC596C"/>
    <w:rsid w:val="00EC7BA3"/>
    <w:rsid w:val="00ED35DF"/>
    <w:rsid w:val="00ED38EA"/>
    <w:rsid w:val="00ED722C"/>
    <w:rsid w:val="00EF72D4"/>
    <w:rsid w:val="00F0574E"/>
    <w:rsid w:val="00F1219D"/>
    <w:rsid w:val="00F167C5"/>
    <w:rsid w:val="00F2075E"/>
    <w:rsid w:val="00F20D37"/>
    <w:rsid w:val="00F214C8"/>
    <w:rsid w:val="00F21C15"/>
    <w:rsid w:val="00F24103"/>
    <w:rsid w:val="00F2516C"/>
    <w:rsid w:val="00F27971"/>
    <w:rsid w:val="00F327EA"/>
    <w:rsid w:val="00F338FD"/>
    <w:rsid w:val="00F40679"/>
    <w:rsid w:val="00F4205D"/>
    <w:rsid w:val="00F422A5"/>
    <w:rsid w:val="00F4571F"/>
    <w:rsid w:val="00F47466"/>
    <w:rsid w:val="00F47D80"/>
    <w:rsid w:val="00F53029"/>
    <w:rsid w:val="00F62F14"/>
    <w:rsid w:val="00F66E1D"/>
    <w:rsid w:val="00F71399"/>
    <w:rsid w:val="00F72F92"/>
    <w:rsid w:val="00F76056"/>
    <w:rsid w:val="00F77C69"/>
    <w:rsid w:val="00F82D44"/>
    <w:rsid w:val="00F83B44"/>
    <w:rsid w:val="00F84034"/>
    <w:rsid w:val="00F852AC"/>
    <w:rsid w:val="00F858D4"/>
    <w:rsid w:val="00F85EFD"/>
    <w:rsid w:val="00F9393B"/>
    <w:rsid w:val="00F95137"/>
    <w:rsid w:val="00FA1F36"/>
    <w:rsid w:val="00FA23EF"/>
    <w:rsid w:val="00FA2B70"/>
    <w:rsid w:val="00FB024F"/>
    <w:rsid w:val="00FB1B82"/>
    <w:rsid w:val="00FB58CB"/>
    <w:rsid w:val="00FC1194"/>
    <w:rsid w:val="00FC3A74"/>
    <w:rsid w:val="00FC4A2E"/>
    <w:rsid w:val="00FC5984"/>
    <w:rsid w:val="00FC7DED"/>
    <w:rsid w:val="00FD1E0A"/>
    <w:rsid w:val="00FD5772"/>
    <w:rsid w:val="00FD64CA"/>
    <w:rsid w:val="00FE126A"/>
    <w:rsid w:val="00FE1A05"/>
    <w:rsid w:val="00FE3C4B"/>
    <w:rsid w:val="00FE513C"/>
    <w:rsid w:val="00FE7E12"/>
    <w:rsid w:val="00FF237C"/>
    <w:rsid w:val="00FF39D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0C39B"/>
  <w15:docId w15:val="{0643750C-DF1F-465A-AA35-3DEAF26DA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052AD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OBC Bullet"/>
    <w:basedOn w:val="Normal"/>
    <w:link w:val="ListParagraphChar"/>
    <w:uiPriority w:val="34"/>
    <w:qFormat/>
    <w:rsid w:val="002B6DEA"/>
    <w:pPr>
      <w:ind w:left="720"/>
      <w:contextualSpacing/>
    </w:pPr>
  </w:style>
  <w:style w:type="paragraph" w:styleId="Header">
    <w:name w:val="header"/>
    <w:basedOn w:val="Normal"/>
    <w:link w:val="HeaderChar"/>
    <w:uiPriority w:val="99"/>
    <w:unhideWhenUsed/>
    <w:rsid w:val="003661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17C"/>
  </w:style>
  <w:style w:type="paragraph" w:styleId="Footer">
    <w:name w:val="footer"/>
    <w:basedOn w:val="Normal"/>
    <w:link w:val="FooterChar"/>
    <w:uiPriority w:val="99"/>
    <w:unhideWhenUsed/>
    <w:rsid w:val="00366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17C"/>
  </w:style>
  <w:style w:type="paragraph" w:styleId="BalloonText">
    <w:name w:val="Balloon Text"/>
    <w:basedOn w:val="Normal"/>
    <w:link w:val="BalloonTextChar"/>
    <w:uiPriority w:val="99"/>
    <w:semiHidden/>
    <w:unhideWhenUsed/>
    <w:rsid w:val="00366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17C"/>
    <w:rPr>
      <w:rFonts w:ascii="Tahoma" w:hAnsi="Tahoma" w:cs="Tahoma"/>
      <w:sz w:val="16"/>
      <w:szCs w:val="16"/>
    </w:rPr>
  </w:style>
  <w:style w:type="paragraph" w:styleId="NormalWeb">
    <w:name w:val="Normal (Web)"/>
    <w:basedOn w:val="Normal"/>
    <w:uiPriority w:val="99"/>
    <w:semiHidden/>
    <w:unhideWhenUsed/>
    <w:rsid w:val="00AA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CD4C66"/>
  </w:style>
  <w:style w:type="character" w:customStyle="1" w:styleId="atn">
    <w:name w:val="atn"/>
    <w:basedOn w:val="DefaultParagraphFont"/>
    <w:rsid w:val="00CD4C66"/>
  </w:style>
  <w:style w:type="character" w:customStyle="1" w:styleId="shorttext">
    <w:name w:val="short_text"/>
    <w:basedOn w:val="DefaultParagraphFont"/>
    <w:rsid w:val="00CD4C66"/>
  </w:style>
  <w:style w:type="table" w:styleId="TableGrid">
    <w:name w:val="Table Grid"/>
    <w:basedOn w:val="TableNormal"/>
    <w:uiPriority w:val="59"/>
    <w:rsid w:val="00CD4C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99"/>
    <w:qFormat/>
    <w:rsid w:val="00CD4C66"/>
  </w:style>
  <w:style w:type="paragraph" w:customStyle="1" w:styleId="NeniTitull">
    <w:name w:val="Neni_Titull"/>
    <w:next w:val="Normal"/>
    <w:rsid w:val="00E0606F"/>
    <w:pPr>
      <w:keepNext/>
      <w:widowControl w:val="0"/>
      <w:spacing w:after="0" w:line="240" w:lineRule="auto"/>
      <w:jc w:val="center"/>
      <w:outlineLvl w:val="2"/>
    </w:pPr>
    <w:rPr>
      <w:rFonts w:ascii="Garamond" w:eastAsia="MS Mincho" w:hAnsi="Garamond" w:cs="CG Times"/>
      <w:b/>
      <w:bCs/>
      <w:sz w:val="24"/>
      <w:lang w:val="en-GB"/>
    </w:rPr>
  </w:style>
  <w:style w:type="character" w:styleId="CommentReference">
    <w:name w:val="annotation reference"/>
    <w:basedOn w:val="DefaultParagraphFont"/>
    <w:uiPriority w:val="99"/>
    <w:semiHidden/>
    <w:unhideWhenUsed/>
    <w:rsid w:val="00B10C9A"/>
    <w:rPr>
      <w:sz w:val="16"/>
      <w:szCs w:val="16"/>
    </w:rPr>
  </w:style>
  <w:style w:type="paragraph" w:styleId="CommentText">
    <w:name w:val="annotation text"/>
    <w:basedOn w:val="Normal"/>
    <w:link w:val="CommentTextChar"/>
    <w:uiPriority w:val="99"/>
    <w:semiHidden/>
    <w:unhideWhenUsed/>
    <w:rsid w:val="00B10C9A"/>
    <w:pPr>
      <w:spacing w:line="240" w:lineRule="auto"/>
    </w:pPr>
    <w:rPr>
      <w:sz w:val="20"/>
      <w:szCs w:val="20"/>
    </w:rPr>
  </w:style>
  <w:style w:type="character" w:customStyle="1" w:styleId="CommentTextChar">
    <w:name w:val="Comment Text Char"/>
    <w:basedOn w:val="DefaultParagraphFont"/>
    <w:link w:val="CommentText"/>
    <w:uiPriority w:val="99"/>
    <w:semiHidden/>
    <w:rsid w:val="00B10C9A"/>
    <w:rPr>
      <w:sz w:val="20"/>
      <w:szCs w:val="20"/>
    </w:rPr>
  </w:style>
  <w:style w:type="paragraph" w:styleId="CommentSubject">
    <w:name w:val="annotation subject"/>
    <w:basedOn w:val="CommentText"/>
    <w:next w:val="CommentText"/>
    <w:link w:val="CommentSubjectChar"/>
    <w:uiPriority w:val="99"/>
    <w:semiHidden/>
    <w:unhideWhenUsed/>
    <w:rsid w:val="00B10C9A"/>
    <w:rPr>
      <w:b/>
      <w:bCs/>
    </w:rPr>
  </w:style>
  <w:style w:type="character" w:customStyle="1" w:styleId="CommentSubjectChar">
    <w:name w:val="Comment Subject Char"/>
    <w:basedOn w:val="CommentTextChar"/>
    <w:link w:val="CommentSubject"/>
    <w:uiPriority w:val="99"/>
    <w:semiHidden/>
    <w:rsid w:val="00B10C9A"/>
    <w:rPr>
      <w:b/>
      <w:bCs/>
      <w:sz w:val="20"/>
      <w:szCs w:val="20"/>
    </w:rPr>
  </w:style>
  <w:style w:type="character" w:customStyle="1" w:styleId="Heading4Char">
    <w:name w:val="Heading 4 Char"/>
    <w:basedOn w:val="DefaultParagraphFont"/>
    <w:link w:val="Heading4"/>
    <w:uiPriority w:val="9"/>
    <w:semiHidden/>
    <w:rsid w:val="00052ADC"/>
    <w:rPr>
      <w:rFonts w:asciiTheme="majorHAnsi" w:eastAsiaTheme="majorEastAsia" w:hAnsiTheme="majorHAnsi" w:cstheme="majorBidi"/>
      <w:b/>
      <w:bCs/>
      <w:i/>
      <w:iCs/>
      <w:color w:val="4F81BD" w:themeColor="accent1"/>
    </w:rPr>
  </w:style>
  <w:style w:type="paragraph" w:styleId="Revision">
    <w:name w:val="Revision"/>
    <w:hidden/>
    <w:uiPriority w:val="99"/>
    <w:semiHidden/>
    <w:rsid w:val="00DC3C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679956">
      <w:bodyDiv w:val="1"/>
      <w:marLeft w:val="0"/>
      <w:marRight w:val="0"/>
      <w:marTop w:val="0"/>
      <w:marBottom w:val="0"/>
      <w:divBdr>
        <w:top w:val="none" w:sz="0" w:space="0" w:color="auto"/>
        <w:left w:val="none" w:sz="0" w:space="0" w:color="auto"/>
        <w:bottom w:val="none" w:sz="0" w:space="0" w:color="auto"/>
        <w:right w:val="none" w:sz="0" w:space="0" w:color="auto"/>
      </w:divBdr>
    </w:div>
    <w:div w:id="1674869164">
      <w:bodyDiv w:val="1"/>
      <w:marLeft w:val="0"/>
      <w:marRight w:val="0"/>
      <w:marTop w:val="0"/>
      <w:marBottom w:val="0"/>
      <w:divBdr>
        <w:top w:val="none" w:sz="0" w:space="0" w:color="auto"/>
        <w:left w:val="none" w:sz="0" w:space="0" w:color="auto"/>
        <w:bottom w:val="none" w:sz="0" w:space="0" w:color="auto"/>
        <w:right w:val="none" w:sz="0" w:space="0" w:color="auto"/>
      </w:divBdr>
    </w:div>
    <w:div w:id="200766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195</Nr_x002e__x0020_akti>
    <Data_x0020_e_x0020_Krijimit xmlns="0e656187-b300-4fb0-8bf4-3a50f872073c">2026-03-30T08:40:25Z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2026-03-27T00:00:00Z</Date_x0020_protokolli>
    <Titulli xmlns="0e656187-b300-4fb0-8bf4-3a50f872073c">Për  miratimin e rregullores së përgjithshme të metodologjisë së përcaktimit të dënimeve administrative në procesin e inspektimit</Titulli>
    <Modifikuesi xmlns="0e656187-b300-4fb0-8bf4-3a50f872073c">keisina.zace</Modifikuesi>
    <Nr_x002e__x0020_prot_x0020_QBZ xmlns="0e656187-b300-4fb0-8bf4-3a50f872073c">628</Nr_x002e__x0020_prot_x0020_QBZ>
    <Data_x0020_e_x0020_Modifikimit xmlns="0e656187-b300-4fb0-8bf4-3a50f872073c">2026-03-30T08:58:00Z</Data_x0020_e_x0020_Modifikimit>
    <Dekretuar xmlns="0e656187-b300-4fb0-8bf4-3a50f872073c">false</Dekretuar>
    <Data xmlns="0e656187-b300-4fb0-8bf4-3a50f872073c">2026-03-26T00:00:00Z</Data>
    <Nr_x002e__x0020_protokolli_x0020_i_x0020_aktit xmlns="0e656187-b300-4fb0-8bf4-3a50f872073c">958/3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58A1EB1B8F5472F8936EC35663044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58A1EB1B8F5472F8936EC35663044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4BCF26-EFB8-49E5-87C0-8694ECBFEB17}">
  <ds:schemaRefs>
    <ds:schemaRef ds:uri="http://purl.org/dc/dcmitype/"/>
    <ds:schemaRef ds:uri="http://schemas.microsoft.com/office/2006/documentManagement/types"/>
    <ds:schemaRef ds:uri="http://schemas.microsoft.com/office/2006/metadata/properties"/>
    <ds:schemaRef ds:uri="http://purl.org/dc/terms/"/>
    <ds:schemaRef ds:uri="http://schemas.openxmlformats.org/package/2006/metadata/core-properties"/>
    <ds:schemaRef ds:uri="0e656187-b300-4fb0-8bf4-3a50f872073c"/>
    <ds:schemaRef ds:uri="http://www.w3.org/XML/1998/namespace"/>
    <ds:schemaRef ds:uri="http://purl.org/dc/elements/1.1/"/>
  </ds:schemaRefs>
</ds:datastoreItem>
</file>

<file path=customXml/itemProps2.xml><?xml version="1.0" encoding="utf-8"?>
<ds:datastoreItem xmlns:ds="http://schemas.openxmlformats.org/officeDocument/2006/customXml" ds:itemID="{2A7E1648-08D5-41CA-96CE-F00A5D1F5FE4}">
  <ds:schemaRefs>
    <ds:schemaRef ds:uri="http://schemas.microsoft.com/sharepoint/v3/contenttype/forms"/>
  </ds:schemaRefs>
</ds:datastoreItem>
</file>

<file path=customXml/itemProps3.xml><?xml version="1.0" encoding="utf-8"?>
<ds:datastoreItem xmlns:ds="http://schemas.openxmlformats.org/officeDocument/2006/customXml" ds:itemID="{3650E821-1FAA-4B61-BA2F-9BBD4FCD9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7A117F-25E0-41CA-ABC2-1D169D931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DBE3259-DA4B-4F58-984E-C1EE488D4B52}">
  <ds:schemaRefs>
    <ds:schemaRef ds:uri="http://schemas.microsoft.com/sharepoint/v3/contenttype/forms"/>
  </ds:schemaRefs>
</ds:datastoreItem>
</file>

<file path=customXml/itemProps6.xml><?xml version="1.0" encoding="utf-8"?>
<ds:datastoreItem xmlns:ds="http://schemas.openxmlformats.org/officeDocument/2006/customXml" ds:itemID="{58120B5A-21A8-49A0-A29A-61735BB9EBA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7</Pages>
  <Words>3049</Words>
  <Characters>17382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Për miratimin e rregullores së përgjithshme të metodologjisë së përcaktimit të dënimeve administrative në procesin e inspektimit</vt:lpstr>
    </vt:vector>
  </TitlesOfParts>
  <Company>Grizli777</Company>
  <LinksUpToDate>false</LinksUpToDate>
  <CharactersWithSpaces>20391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së përgjithshme të metodologjisë së përcaktimit të dënimeve administrative në procesin e inspektimit</dc:title>
  <dc:creator>Gentjana.Zallumi</dc:creator>
  <cp:lastModifiedBy>Alma Lisaku</cp:lastModifiedBy>
  <cp:revision>17</cp:revision>
  <cp:lastPrinted>2026-03-25T17:34:00Z</cp:lastPrinted>
  <dcterms:created xsi:type="dcterms:W3CDTF">2026-03-30T07:48:00Z</dcterms:created>
  <dcterms:modified xsi:type="dcterms:W3CDTF">2026-03-30T08:23:00Z</dcterms:modified>
</cp:coreProperties>
</file>