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6272E" w14:textId="77777777" w:rsidR="00A57811" w:rsidRPr="00D54F8F" w:rsidRDefault="00807B9E" w:rsidP="00A57811">
      <w:pPr>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hAnsi="Garamond"/>
          <w:b/>
          <w:bCs/>
          <w:sz w:val="24"/>
          <w:szCs w:val="24"/>
        </w:rPr>
        <w:t>VE</w:t>
      </w:r>
      <w:r w:rsidR="00A57811" w:rsidRPr="00D54F8F">
        <w:rPr>
          <w:rFonts w:ascii="Garamond" w:eastAsiaTheme="minorHAnsi" w:hAnsi="Garamond"/>
          <w:b/>
          <w:bCs/>
          <w:color w:val="000000"/>
          <w:sz w:val="24"/>
          <w:szCs w:val="24"/>
          <w14:ligatures w14:val="standardContextual"/>
        </w:rPr>
        <w:t>NDIM</w:t>
      </w:r>
    </w:p>
    <w:p w14:paraId="3A1A014E" w14:textId="74E22A20"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 xml:space="preserve"> Nr.</w:t>
      </w:r>
      <w:r w:rsidR="00D54F8F">
        <w:rPr>
          <w:rFonts w:ascii="Garamond" w:eastAsiaTheme="minorHAnsi" w:hAnsi="Garamond"/>
          <w:b/>
          <w:bCs/>
          <w:color w:val="000000"/>
          <w:sz w:val="24"/>
          <w:szCs w:val="24"/>
          <w14:ligatures w14:val="standardContextual"/>
        </w:rPr>
        <w:t xml:space="preserve"> </w:t>
      </w:r>
      <w:r w:rsidRPr="00D54F8F">
        <w:rPr>
          <w:rFonts w:ascii="Garamond" w:eastAsiaTheme="minorHAnsi" w:hAnsi="Garamond"/>
          <w:b/>
          <w:bCs/>
          <w:color w:val="000000"/>
          <w:sz w:val="24"/>
          <w:szCs w:val="24"/>
          <w14:ligatures w14:val="standardContextual"/>
        </w:rPr>
        <w:t>264, datë 10.4.2026</w:t>
      </w:r>
    </w:p>
    <w:p w14:paraId="12B0CEE7"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23FE24EC" w14:textId="27AB232A"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PËR MIRATIMIN E RREGULLAVE PËR ORGANIZIMIN DHE FUNKSIONIMIN E KËSHILLIT TË MBËSHTETJES SË PROJEKTEVE</w:t>
      </w:r>
      <w:r w:rsidR="00D54F8F">
        <w:rPr>
          <w:rFonts w:ascii="Garamond" w:eastAsiaTheme="minorHAnsi" w:hAnsi="Garamond"/>
          <w:b/>
          <w:bCs/>
          <w:color w:val="000000"/>
          <w:sz w:val="24"/>
          <w:szCs w:val="24"/>
          <w14:ligatures w14:val="standardContextual"/>
        </w:rPr>
        <w:t>,</w:t>
      </w:r>
      <w:r w:rsidRPr="00D54F8F">
        <w:rPr>
          <w:rFonts w:ascii="Garamond" w:eastAsiaTheme="minorHAnsi" w:hAnsi="Garamond"/>
          <w:b/>
          <w:bCs/>
          <w:color w:val="000000"/>
          <w:sz w:val="24"/>
          <w:szCs w:val="24"/>
          <w14:ligatures w14:val="standardContextual"/>
        </w:rPr>
        <w:t xml:space="preserve"> TË NGRITUR PRANË AUTORITETIT TË MBIKËQYRJES SË LOJËRAVE TË FATIT</w:t>
      </w:r>
    </w:p>
    <w:p w14:paraId="67DB43A1"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61BE65C8" w14:textId="1133D111" w:rsidR="00A57811" w:rsidRPr="00D54F8F" w:rsidRDefault="00A57811" w:rsidP="00A57811">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54F8F">
        <w:rPr>
          <w:rFonts w:ascii="Garamond" w:eastAsiaTheme="minorHAnsi" w:hAnsi="Garamond"/>
          <w:color w:val="000000"/>
          <w:sz w:val="24"/>
          <w:szCs w:val="24"/>
          <w14:ligatures w14:val="standardContextual"/>
        </w:rPr>
        <w:t>Në mbështetje të nenit 100 të Kushtetutës dhe të pikës 4, të nenit 52/2, të</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ligjit nr.</w:t>
      </w:r>
      <w:r w:rsidR="00D54F8F">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155/2015, “Për lojërat e fatit në Republikën e Shqipërisë”, të ndryshuar, me propozimin e ministrit të Financave, Këshilli i Ministrave</w:t>
      </w:r>
    </w:p>
    <w:p w14:paraId="605391E1"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011057FB"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Cs/>
          <w:color w:val="000000"/>
          <w:sz w:val="24"/>
          <w:szCs w:val="24"/>
          <w14:ligatures w14:val="standardContextual"/>
        </w:rPr>
        <w:t>VENDOSI</w:t>
      </w:r>
      <w:r w:rsidRPr="00D54F8F">
        <w:rPr>
          <w:rFonts w:ascii="Garamond" w:eastAsiaTheme="minorHAnsi" w:hAnsi="Garamond"/>
          <w:color w:val="000000"/>
          <w:sz w:val="24"/>
          <w:szCs w:val="24"/>
          <w14:ligatures w14:val="standardContextual"/>
        </w:rPr>
        <w:t>:</w:t>
      </w:r>
    </w:p>
    <w:p w14:paraId="6B0BF998"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45732C03"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KREU I</w:t>
      </w:r>
    </w:p>
    <w:p w14:paraId="6E6C54C4"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DISPOZITA TË PËRGJITHSHME</w:t>
      </w:r>
    </w:p>
    <w:p w14:paraId="4CFCCFB3"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19B8E078"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1</w:t>
      </w:r>
    </w:p>
    <w:p w14:paraId="64881849"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Qëllimi</w:t>
      </w:r>
    </w:p>
    <w:p w14:paraId="5418874E"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4C0B8C8F"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Ky vendim miraton rregullat për ngritjen, organizimin dhe funksionimin e Këshillit të Mbështetjes së Projekteve (në vijim Këshilli), kushtet dhe kërkesat për financimin e projekteve, dokumentacionin dhe procedurën e shqyrtimit dhe vlerësimit të projekteve.</w:t>
      </w:r>
    </w:p>
    <w:p w14:paraId="721C1FE4"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3C0054C8"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sz w:val="24"/>
          <w:szCs w:val="24"/>
          <w14:ligatures w14:val="standardContextual"/>
        </w:rPr>
      </w:pPr>
      <w:r w:rsidRPr="00D54F8F">
        <w:rPr>
          <w:rFonts w:ascii="Garamond" w:eastAsiaTheme="minorHAnsi" w:hAnsi="Garamond"/>
          <w:color w:val="000000"/>
          <w:sz w:val="24"/>
          <w:szCs w:val="24"/>
          <w14:ligatures w14:val="standardContextual"/>
        </w:rPr>
        <w:t>KREU II</w:t>
      </w:r>
    </w:p>
    <w:p w14:paraId="73C1464F"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ORGANIZIMI DHE FUNKSIONIMI I KËSHILLIT</w:t>
      </w:r>
    </w:p>
    <w:p w14:paraId="58B333BE"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sz w:val="24"/>
          <w:szCs w:val="24"/>
          <w14:ligatures w14:val="standardContextual"/>
        </w:rPr>
      </w:pPr>
    </w:p>
    <w:p w14:paraId="6DD4E15A"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sz w:val="24"/>
          <w:szCs w:val="24"/>
          <w14:ligatures w14:val="standardContextual"/>
        </w:rPr>
      </w:pPr>
      <w:r w:rsidRPr="00D54F8F">
        <w:rPr>
          <w:rFonts w:ascii="Garamond" w:eastAsiaTheme="minorHAnsi" w:hAnsi="Garamond"/>
          <w:bCs/>
          <w:sz w:val="24"/>
          <w:szCs w:val="24"/>
          <w14:ligatures w14:val="standardContextual"/>
        </w:rPr>
        <w:t>Neni 2</w:t>
      </w:r>
    </w:p>
    <w:p w14:paraId="1AD63807"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sz w:val="24"/>
          <w:szCs w:val="24"/>
          <w14:ligatures w14:val="standardContextual"/>
        </w:rPr>
      </w:pPr>
      <w:r w:rsidRPr="00D54F8F">
        <w:rPr>
          <w:rFonts w:ascii="Garamond" w:eastAsiaTheme="minorHAnsi" w:hAnsi="Garamond"/>
          <w:b/>
          <w:bCs/>
          <w:sz w:val="24"/>
          <w:szCs w:val="24"/>
          <w14:ligatures w14:val="standardContextual"/>
        </w:rPr>
        <w:t>Përbërja e Këshillit</w:t>
      </w:r>
    </w:p>
    <w:p w14:paraId="2730219D"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sz w:val="24"/>
          <w:szCs w:val="24"/>
          <w14:ligatures w14:val="standardContextual"/>
        </w:rPr>
      </w:pPr>
    </w:p>
    <w:p w14:paraId="7C8638EE" w14:textId="49B5B17F"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 xml:space="preserve">Këshilli kryesohet nga </w:t>
      </w:r>
      <w:r w:rsidR="00D54F8F" w:rsidRPr="00D54F8F">
        <w:rPr>
          <w:rFonts w:ascii="Garamond" w:eastAsiaTheme="minorHAnsi" w:hAnsi="Garamond"/>
          <w:sz w:val="24"/>
          <w:szCs w:val="24"/>
          <w14:ligatures w14:val="standardContextual"/>
        </w:rPr>
        <w:t xml:space="preserve">zëvendëskryeministri </w:t>
      </w:r>
      <w:r w:rsidRPr="00D54F8F">
        <w:rPr>
          <w:rFonts w:ascii="Garamond" w:eastAsiaTheme="minorHAnsi" w:hAnsi="Garamond"/>
          <w:sz w:val="24"/>
          <w:szCs w:val="24"/>
          <w14:ligatures w14:val="standardContextual"/>
        </w:rPr>
        <w:t>dhe në përbërje ka anëtarë,</w:t>
      </w:r>
      <w:r w:rsidRPr="00D54F8F">
        <w:rPr>
          <w:rFonts w:ascii="Garamond" w:eastAsiaTheme="minorHAnsi" w:hAnsi="Garamond"/>
          <w:color w:val="EE0000"/>
          <w:sz w:val="24"/>
          <w:szCs w:val="24"/>
          <w14:ligatures w14:val="standardContextual"/>
        </w:rPr>
        <w:t xml:space="preserve"> </w:t>
      </w:r>
      <w:r w:rsidRPr="00D54F8F">
        <w:rPr>
          <w:rFonts w:ascii="Garamond" w:eastAsiaTheme="minorHAnsi" w:hAnsi="Garamond"/>
          <w:color w:val="000000"/>
          <w:sz w:val="24"/>
          <w:szCs w:val="24"/>
          <w14:ligatures w14:val="standardContextual"/>
        </w:rPr>
        <w:t>titullarët e ministrive dhe institucioneve të mëposhtme:</w:t>
      </w:r>
    </w:p>
    <w:p w14:paraId="44430BCE"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a) Ministrin përgjegjës për financat, anëtar;</w:t>
      </w:r>
    </w:p>
    <w:p w14:paraId="5B28B5BA" w14:textId="0973D838"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b) Ministrin përgjegjës për sportin, anëtar;</w:t>
      </w:r>
    </w:p>
    <w:p w14:paraId="43D07CE2" w14:textId="27B43CA8" w:rsidR="00A57811" w:rsidRPr="00D54F8F" w:rsidRDefault="009A1262"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Pr>
          <w:rFonts w:ascii="Garamond" w:eastAsiaTheme="minorHAnsi" w:hAnsi="Garamond"/>
          <w:sz w:val="24"/>
          <w:szCs w:val="24"/>
          <w14:ligatures w14:val="standardContextual"/>
        </w:rPr>
        <w:t>c</w:t>
      </w:r>
      <w:r w:rsidR="00A57811" w:rsidRPr="00D54F8F">
        <w:rPr>
          <w:rFonts w:ascii="Garamond" w:eastAsiaTheme="minorHAnsi" w:hAnsi="Garamond"/>
          <w:sz w:val="24"/>
          <w:szCs w:val="24"/>
          <w14:ligatures w14:val="standardContextual"/>
        </w:rPr>
        <w:t>) Ministrin përgjegjës për kulturën, anëtar;</w:t>
      </w:r>
    </w:p>
    <w:p w14:paraId="3053BB8D" w14:textId="1DB186B0" w:rsidR="00A57811" w:rsidRPr="00D54F8F" w:rsidRDefault="009A1262"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Pr>
          <w:rFonts w:ascii="Garamond" w:eastAsiaTheme="minorHAnsi" w:hAnsi="Garamond"/>
          <w:sz w:val="24"/>
          <w:szCs w:val="24"/>
          <w14:ligatures w14:val="standardContextual"/>
        </w:rPr>
        <w:t>ç</w:t>
      </w:r>
      <w:bookmarkStart w:id="0" w:name="_GoBack"/>
      <w:bookmarkEnd w:id="0"/>
      <w:r w:rsidR="00A57811" w:rsidRPr="00D54F8F">
        <w:rPr>
          <w:rFonts w:ascii="Garamond" w:eastAsiaTheme="minorHAnsi" w:hAnsi="Garamond"/>
          <w:sz w:val="24"/>
          <w:szCs w:val="24"/>
          <w14:ligatures w14:val="standardContextual"/>
        </w:rPr>
        <w:t>) Ministrin përgjegjës për inovacionin, anëtar;</w:t>
      </w:r>
    </w:p>
    <w:p w14:paraId="174ED4B6" w14:textId="6772B86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d)</w:t>
      </w:r>
      <w:r w:rsidR="00865FA5">
        <w:rPr>
          <w:rFonts w:ascii="Garamond" w:eastAsiaTheme="minorHAnsi" w:hAnsi="Garamond"/>
          <w:sz w:val="24"/>
          <w:szCs w:val="24"/>
          <w14:ligatures w14:val="standardContextual"/>
        </w:rPr>
        <w:t xml:space="preserve"> </w:t>
      </w:r>
      <w:r w:rsidRPr="00D54F8F">
        <w:rPr>
          <w:rFonts w:ascii="Garamond" w:eastAsiaTheme="minorHAnsi" w:hAnsi="Garamond"/>
          <w:sz w:val="24"/>
          <w:szCs w:val="24"/>
          <w14:ligatures w14:val="standardContextual"/>
        </w:rPr>
        <w:t>Ministrin përgjegjës për çështjet sociale, anëtar;</w:t>
      </w:r>
    </w:p>
    <w:p w14:paraId="4642FE58" w14:textId="5EA13EA8"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dh) Titullarin</w:t>
      </w:r>
      <w:r w:rsidR="00865FA5">
        <w:rPr>
          <w:rFonts w:ascii="Garamond" w:eastAsiaTheme="minorHAnsi" w:hAnsi="Garamond"/>
          <w:sz w:val="24"/>
          <w:szCs w:val="24"/>
          <w14:ligatures w14:val="standardContextual"/>
        </w:rPr>
        <w:t xml:space="preserve"> </w:t>
      </w:r>
      <w:r w:rsidRPr="00D54F8F">
        <w:rPr>
          <w:rFonts w:ascii="Garamond" w:eastAsiaTheme="minorHAnsi" w:hAnsi="Garamond"/>
          <w:sz w:val="24"/>
          <w:szCs w:val="24"/>
          <w14:ligatures w14:val="standardContextual"/>
        </w:rPr>
        <w:t>e autoritetit përgjegjës për qeverisjen elektronike, anëtar.</w:t>
      </w:r>
    </w:p>
    <w:p w14:paraId="1324409A" w14:textId="77777777" w:rsidR="00A57811" w:rsidRPr="00D54F8F" w:rsidRDefault="00A57811" w:rsidP="00A57811">
      <w:pPr>
        <w:autoSpaceDE w:val="0"/>
        <w:autoSpaceDN w:val="0"/>
        <w:adjustRightInd w:val="0"/>
        <w:spacing w:after="0" w:line="240" w:lineRule="auto"/>
        <w:ind w:firstLine="284"/>
        <w:rPr>
          <w:rFonts w:ascii="Garamond" w:eastAsiaTheme="minorHAnsi" w:hAnsi="Garamond"/>
          <w:sz w:val="24"/>
          <w:szCs w:val="24"/>
          <w14:ligatures w14:val="standardContextual"/>
        </w:rPr>
      </w:pPr>
    </w:p>
    <w:p w14:paraId="70CF041F"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sz w:val="24"/>
          <w:szCs w:val="24"/>
          <w14:ligatures w14:val="standardContextual"/>
        </w:rPr>
      </w:pPr>
      <w:r w:rsidRPr="00D54F8F">
        <w:rPr>
          <w:rFonts w:ascii="Garamond" w:eastAsiaTheme="minorHAnsi" w:hAnsi="Garamond"/>
          <w:bCs/>
          <w:sz w:val="24"/>
          <w:szCs w:val="24"/>
          <w14:ligatures w14:val="standardContextual"/>
        </w:rPr>
        <w:t>Neni 3</w:t>
      </w:r>
    </w:p>
    <w:p w14:paraId="50DE1199"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sz w:val="24"/>
          <w:szCs w:val="24"/>
          <w14:ligatures w14:val="standardContextual"/>
        </w:rPr>
      </w:pPr>
      <w:r w:rsidRPr="00D54F8F">
        <w:rPr>
          <w:rFonts w:ascii="Garamond" w:eastAsiaTheme="minorHAnsi" w:hAnsi="Garamond"/>
          <w:b/>
          <w:bCs/>
          <w:sz w:val="24"/>
          <w:szCs w:val="24"/>
          <w14:ligatures w14:val="standardContextual"/>
        </w:rPr>
        <w:t>Detyrat e Këshillit</w:t>
      </w:r>
    </w:p>
    <w:p w14:paraId="7255E9A1"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sz w:val="24"/>
          <w:szCs w:val="24"/>
          <w14:ligatures w14:val="standardContextual"/>
        </w:rPr>
      </w:pPr>
    </w:p>
    <w:p w14:paraId="64F0B787" w14:textId="3AE2636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1.</w:t>
      </w:r>
      <w:r w:rsidR="00865FA5">
        <w:rPr>
          <w:rFonts w:ascii="Garamond" w:eastAsiaTheme="minorHAnsi" w:hAnsi="Garamond"/>
          <w:sz w:val="24"/>
          <w:szCs w:val="24"/>
          <w14:ligatures w14:val="standardContextual"/>
        </w:rPr>
        <w:t xml:space="preserve"> </w:t>
      </w:r>
      <w:r w:rsidRPr="00D54F8F">
        <w:rPr>
          <w:rFonts w:ascii="Garamond" w:eastAsiaTheme="minorHAnsi" w:hAnsi="Garamond"/>
          <w:sz w:val="24"/>
          <w:szCs w:val="24"/>
          <w14:ligatures w14:val="standardContextual"/>
        </w:rPr>
        <w:t>Këshilli ushtron detyrat e mëposhtme:</w:t>
      </w:r>
    </w:p>
    <w:p w14:paraId="01BDA192"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a) Përcakton prioritetet vjetore të financimit;</w:t>
      </w:r>
    </w:p>
    <w:p w14:paraId="62EC0440"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b) Miraton kriteret dhe procedurat e aplikimit;</w:t>
      </w:r>
    </w:p>
    <w:p w14:paraId="136BFD85"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 xml:space="preserve">c) Shqyrton e miraton </w:t>
      </w:r>
      <w:proofErr w:type="spellStart"/>
      <w:r w:rsidRPr="00D54F8F">
        <w:rPr>
          <w:rFonts w:ascii="Garamond" w:eastAsiaTheme="minorHAnsi" w:hAnsi="Garamond"/>
          <w:sz w:val="24"/>
          <w:szCs w:val="24"/>
          <w14:ligatures w14:val="standardContextual"/>
        </w:rPr>
        <w:t>projektpropozimet</w:t>
      </w:r>
      <w:proofErr w:type="spellEnd"/>
      <w:r w:rsidRPr="00D54F8F">
        <w:rPr>
          <w:rFonts w:ascii="Garamond" w:eastAsiaTheme="minorHAnsi" w:hAnsi="Garamond"/>
          <w:sz w:val="24"/>
          <w:szCs w:val="24"/>
          <w14:ligatures w14:val="standardContextual"/>
        </w:rPr>
        <w:t>;</w:t>
      </w:r>
    </w:p>
    <w:p w14:paraId="30E9A1DF"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ç) Miraton kontratat tip;</w:t>
      </w:r>
    </w:p>
    <w:p w14:paraId="0DF3B797"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d) Ndjek zbatimin dhe monitoron projektet.</w:t>
      </w:r>
    </w:p>
    <w:p w14:paraId="59D6CB95"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2. Kriteret, procedurat e aplikimit, si dhe kontratat tip, të parashikuara në këtë vendim, hartohen nga sekretariati teknik dhe i paraqiten Këshillit për miratim.</w:t>
      </w:r>
    </w:p>
    <w:p w14:paraId="204D0805"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46396914"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4</w:t>
      </w:r>
    </w:p>
    <w:p w14:paraId="23810620"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Kryetari dhe sekretariati teknik</w:t>
      </w:r>
    </w:p>
    <w:p w14:paraId="27D4B5A5"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p>
    <w:p w14:paraId="26494160"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lastRenderedPageBreak/>
        <w:t>1. Komisioni i Licencave ushtron funksionin e sekretariatit teknik të Këshillit dhe e mbështet atë në përmbushjen e detyrave.</w:t>
      </w:r>
    </w:p>
    <w:p w14:paraId="635DCFD2"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2. Kryetari drejton mbledhjet, siguron zbatimin e dispozitave të ligjit dhe mbarëvajtjen e punës së Këshillit.</w:t>
      </w:r>
    </w:p>
    <w:p w14:paraId="20FAA43A"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p>
    <w:p w14:paraId="4A7AFEFD"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5</w:t>
      </w:r>
    </w:p>
    <w:p w14:paraId="6B951968"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 xml:space="preserve">Deklarimi i konfliktit të interesit dhe deklarata e </w:t>
      </w:r>
      <w:proofErr w:type="spellStart"/>
      <w:r w:rsidRPr="00D54F8F">
        <w:rPr>
          <w:rFonts w:ascii="Garamond" w:eastAsiaTheme="minorHAnsi" w:hAnsi="Garamond"/>
          <w:b/>
          <w:bCs/>
          <w:color w:val="000000"/>
          <w:sz w:val="24"/>
          <w:szCs w:val="24"/>
          <w14:ligatures w14:val="standardContextual"/>
        </w:rPr>
        <w:t>konfidencialitetit</w:t>
      </w:r>
      <w:proofErr w:type="spellEnd"/>
    </w:p>
    <w:p w14:paraId="51FCA164"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63C867D8"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1. Kryetari dhe çdo anëtar i Këshillit, nëpërmjet një deklarate me shkrim, është i detyruar të heqë dorë nga pjesëmarrja në mbledhje, kur midis tij dhe personave fizikë ose subjekteve juridike që shqyrtohen, diskutohen ose vendosen çështje, ekziston konflikt interesi, sipas legjislacionit në fuqi për konfliktin e interesit.</w:t>
      </w:r>
    </w:p>
    <w:p w14:paraId="1A44C69A"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2. Kryetari dhe/ose çdo anëtari i Këshillit nuk marrin pjesë në procedurat e shqyrtimit, diskutimit dhe votimit për çdo çështje, ku kanë interes të drejtpërdrejtë ose të tërthortë, i cili mund të cenojë paanësinë e tyre në vendimmarrje.</w:t>
      </w:r>
    </w:p>
    <w:p w14:paraId="5B83C275" w14:textId="4EA9BF0E"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3. Kryetari dhe anëtarët e Këshillit nënshkruajnë</w:t>
      </w:r>
      <w:r w:rsidR="00D54F8F">
        <w:rPr>
          <w:rFonts w:ascii="Garamond" w:eastAsiaTheme="minorHAnsi" w:hAnsi="Garamond"/>
          <w:color w:val="000000"/>
          <w:sz w:val="24"/>
          <w:szCs w:val="24"/>
          <w14:ligatures w14:val="standardContextual"/>
        </w:rPr>
        <w:t>,</w:t>
      </w:r>
      <w:r w:rsidRPr="00D54F8F">
        <w:rPr>
          <w:rFonts w:ascii="Garamond" w:eastAsiaTheme="minorHAnsi" w:hAnsi="Garamond"/>
          <w:color w:val="000000"/>
          <w:sz w:val="24"/>
          <w:szCs w:val="24"/>
          <w14:ligatures w14:val="standardContextual"/>
        </w:rPr>
        <w:t xml:space="preserve"> gjithashtu</w:t>
      </w:r>
      <w:r w:rsidR="00D54F8F">
        <w:rPr>
          <w:rFonts w:ascii="Garamond" w:eastAsiaTheme="minorHAnsi" w:hAnsi="Garamond"/>
          <w:color w:val="000000"/>
          <w:sz w:val="24"/>
          <w:szCs w:val="24"/>
          <w14:ligatures w14:val="standardContextual"/>
        </w:rPr>
        <w:t>,</w:t>
      </w:r>
      <w:r w:rsidRPr="00D54F8F">
        <w:rPr>
          <w:rFonts w:ascii="Garamond" w:eastAsiaTheme="minorHAnsi" w:hAnsi="Garamond"/>
          <w:color w:val="000000"/>
          <w:sz w:val="24"/>
          <w:szCs w:val="24"/>
          <w14:ligatures w14:val="standardContextual"/>
        </w:rPr>
        <w:t xml:space="preserve"> deklaratën për ruajtjen e </w:t>
      </w:r>
      <w:proofErr w:type="spellStart"/>
      <w:r w:rsidRPr="00D54F8F">
        <w:rPr>
          <w:rFonts w:ascii="Garamond" w:eastAsiaTheme="minorHAnsi" w:hAnsi="Garamond"/>
          <w:color w:val="000000"/>
          <w:sz w:val="24"/>
          <w:szCs w:val="24"/>
          <w14:ligatures w14:val="standardContextual"/>
        </w:rPr>
        <w:t>konfidencialitetit</w:t>
      </w:r>
      <w:proofErr w:type="spellEnd"/>
      <w:r w:rsidR="00D54F8F">
        <w:rPr>
          <w:rFonts w:ascii="Garamond" w:eastAsiaTheme="minorHAnsi" w:hAnsi="Garamond"/>
          <w:color w:val="000000"/>
          <w:sz w:val="24"/>
          <w:szCs w:val="24"/>
          <w14:ligatures w14:val="standardContextual"/>
        </w:rPr>
        <w:t>,</w:t>
      </w:r>
      <w:r w:rsidRPr="00D54F8F">
        <w:rPr>
          <w:rFonts w:ascii="Garamond" w:eastAsiaTheme="minorHAnsi" w:hAnsi="Garamond"/>
          <w:color w:val="000000"/>
          <w:sz w:val="24"/>
          <w:szCs w:val="24"/>
          <w14:ligatures w14:val="standardContextual"/>
        </w:rPr>
        <w:t xml:space="preserve"> lidhur me të dhënat dhe informacionet, që u bëhen të njohura gjatë ushtrimit të detyrës.</w:t>
      </w:r>
    </w:p>
    <w:p w14:paraId="68C7EB67"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p>
    <w:p w14:paraId="589EB3A5"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6</w:t>
      </w:r>
    </w:p>
    <w:p w14:paraId="5B5EA9FD" w14:textId="5090C523"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Mbledhjet</w:t>
      </w:r>
    </w:p>
    <w:p w14:paraId="59AC4213"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406FB3B6"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1. Kryetari vendos për datën dhe orën e mbledhjeve të radhës.</w:t>
      </w:r>
    </w:p>
    <w:p w14:paraId="184E1AAC" w14:textId="2853DF43"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2. Çdo ndryshim i datës ose i orës së mbledhjes u njoftohet të gjithë anëtarëve të Këshillit.</w:t>
      </w:r>
    </w:p>
    <w:p w14:paraId="0761EBE4"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3. Njoftimi për thirrjen e mbledhjes, duke përfshirë rendin e ditës dhe materialet përkatëse, duhet t’u dorëzohet të gjithë anëtarëve të Këshillit, të paktën 5 (pesë) ditë pune para mbledhjes.</w:t>
      </w:r>
    </w:p>
    <w:p w14:paraId="52A32E2B" w14:textId="4E7A643A"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4. Mbledhja thirret brenda 15 (pesëmbëdhjetë) ditëve pas paraqitjes së kërkesës nga 1/3 e anëtarëve, të paktën 48 (dyzet e tetë) orë para datës së thirrjes.</w:t>
      </w:r>
    </w:p>
    <w:p w14:paraId="592F0521"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5. Mbledhja e Këshillit është e vlefshme kur janë të pranishëm më shumë se gjysma e anëtarëve të tij.</w:t>
      </w:r>
    </w:p>
    <w:p w14:paraId="7BE4B733"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6. Nëse në hapjen e mbledhjes nuk është e pranishme shumica e anëtarëve, Kryetari cakton një mbledhje të re të paktën 24 (njëzet e katër) orë pas mbledhjes së parë. Në këtë mbledhje të dytë, mbledhja është e vlefshme nëse janë të pranishëm të paktën gjysma e anëtarëve.</w:t>
      </w:r>
    </w:p>
    <w:p w14:paraId="1055152B"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7. Anëtarët e Këshillit, që janë të pranishëm në mbledhje dhe nuk kanë ndonjë pengesë ligjore për të votuar, nuk kanë të drejtë të abstenojnë. Kryetari voton i fundit.</w:t>
      </w:r>
    </w:p>
    <w:p w14:paraId="2B19CCFE"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8. Në rastet kur rezultati i votimit është i barabartë, vota e Kryetarit është vendimtare.</w:t>
      </w:r>
    </w:p>
    <w:p w14:paraId="17D9F2DC"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9. Vendimet merren me votim të hapur.</w:t>
      </w:r>
    </w:p>
    <w:p w14:paraId="1F469972"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p>
    <w:p w14:paraId="727974BD"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7</w:t>
      </w:r>
    </w:p>
    <w:p w14:paraId="38807E0E"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Rendi i ditës</w:t>
      </w:r>
    </w:p>
    <w:p w14:paraId="3470C19E"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64C09EC4"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1. Kryetari përcakton rendin e ditës për çdo mbledhje të Këshillit. Rendi i ditës përfshin të gjitha çështjet, që janë propozuar me shkrim nga anëtarët dhe që hyjnë në kompetencën e Këshillit. Kërkesa për përfshirjen e një çështjeje në rendin e ditës paraqitet të paktën 5 (pesë) ditë pune përpara datës së mbledhjes.</w:t>
      </w:r>
    </w:p>
    <w:p w14:paraId="4C97B346"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2. Njoftimi për thirrjen e mbledhjes, duke përfshirë rendin e ditës dhe materialet përkatëse, u dorëzohet të gjithë anëtarëve të Këshillit, të paktën 5 (pesë) ditë pune para mbledhjes.</w:t>
      </w:r>
    </w:p>
    <w:p w14:paraId="72C557BF" w14:textId="77777777" w:rsidR="00A57811" w:rsidRDefault="00A57811" w:rsidP="00A57811">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3. Rendi i ditës u shpërndahet të gjithë anëtarëve, të paktën 48 (dyzet e tetë) orë përpara datës dhe orës së mbledhjes.</w:t>
      </w:r>
    </w:p>
    <w:p w14:paraId="17C439FE" w14:textId="77777777" w:rsidR="00D54F8F" w:rsidRDefault="00D54F8F" w:rsidP="00A57811">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71ECBD5D" w14:textId="77777777" w:rsidR="00D54F8F" w:rsidRDefault="00D54F8F" w:rsidP="00A57811">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2229855C" w14:textId="77777777" w:rsidR="00D54F8F" w:rsidRDefault="00D54F8F" w:rsidP="00A57811">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2DEDD58B" w14:textId="77777777" w:rsidR="00D54F8F" w:rsidRPr="00D54F8F" w:rsidRDefault="00D54F8F" w:rsidP="00A57811">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1825F50A" w14:textId="77777777" w:rsidR="00A57811" w:rsidRPr="00D54F8F" w:rsidRDefault="00A57811" w:rsidP="00A57811">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
    <w:p w14:paraId="5DF185A3"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lastRenderedPageBreak/>
        <w:t>Neni 8</w:t>
      </w:r>
    </w:p>
    <w:p w14:paraId="15A0992E"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Marrja e vendimeve</w:t>
      </w:r>
    </w:p>
    <w:p w14:paraId="4D2140D1"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0FC07A3B" w14:textId="36CB3A65" w:rsidR="00A57811" w:rsidRPr="00D54F8F" w:rsidRDefault="00A57811" w:rsidP="00A57811">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D54F8F">
        <w:rPr>
          <w:rFonts w:ascii="Garamond" w:eastAsiaTheme="minorHAnsi" w:hAnsi="Garamond"/>
          <w:color w:val="000000"/>
          <w:sz w:val="24"/>
          <w:szCs w:val="24"/>
          <w14:ligatures w14:val="standardContextual"/>
        </w:rPr>
        <w:t>Këshilli merr vendime vetëm për çështjet e përfshira në rendin e ditës së mbledhjes, përveç rasteve kur të paktën 2/3 e anëtarëve vendosin të shqyrtojnë dhe të marrin vendime edhe për çështje, që nuk janë përfshirë në rendin e ditës</w:t>
      </w:r>
      <w:r w:rsidR="00D54F8F">
        <w:rPr>
          <w:rFonts w:ascii="Garamond" w:eastAsiaTheme="minorHAnsi" w:hAnsi="Garamond"/>
          <w:color w:val="000000"/>
          <w:sz w:val="24"/>
          <w:szCs w:val="24"/>
          <w14:ligatures w14:val="standardContextual"/>
        </w:rPr>
        <w:t>.</w:t>
      </w:r>
    </w:p>
    <w:p w14:paraId="661DD6EA"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p>
    <w:p w14:paraId="21CAB2AA"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9</w:t>
      </w:r>
    </w:p>
    <w:p w14:paraId="7834ED8F"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Procesverbali i mbledhjes</w:t>
      </w:r>
    </w:p>
    <w:p w14:paraId="218A83EF"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59F41A66"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color w:val="000000"/>
          <w:sz w:val="24"/>
          <w:szCs w:val="24"/>
          <w14:ligatures w14:val="standardContextual"/>
        </w:rPr>
        <w:t>1. Në çdo mbledhje mbahet një procesverbal, i cili përmban datën dhe vendin e mbledhjes, anëtarët pjesëmarrës, çështjet dhe diskutimet e trajtuara, vendimet e marra, formën dhe rezultatin e votimeve, detyrat dhe personat përgjegjës për zbatimin e tyre.</w:t>
      </w:r>
    </w:p>
    <w:p w14:paraId="04A5AC33"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2. Procesverbali mbahet nga sekretariati teknik dhe i paraqitet të gjithë anëtarëve për miratim ose në fund të mbledhjes apo në fillim të mbledhjes pasardhëse. Pas miratimit, procesverbali nënshkruhet nga Kryetari dhe nga sekretariati teknik.</w:t>
      </w:r>
    </w:p>
    <w:p w14:paraId="62CBDEA4"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3. Në rastet kur Këshilli e konsideron të nevojshme dhe mbledhja ndahet në seanca, procesverbali miratohet menjëherë pas përfundimit të secilës seancë përkatëse. Vendimet e Këshillit hyjnë në fuqi vetëm pasi të jetë miratuar procesverbali i mbledhjes.</w:t>
      </w:r>
    </w:p>
    <w:p w14:paraId="422929AC"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40307B22"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KREU III</w:t>
      </w:r>
    </w:p>
    <w:p w14:paraId="1EF0A46A"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KRITERET PËR PËRZGJEDHJEN E PROJEKTEVE</w:t>
      </w:r>
    </w:p>
    <w:p w14:paraId="10E040EA"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062712A6"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10</w:t>
      </w:r>
    </w:p>
    <w:p w14:paraId="24032247"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 xml:space="preserve">Parimet e përzgjedhjes </w:t>
      </w:r>
    </w:p>
    <w:p w14:paraId="2746CB92"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61FC6858"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2B3BDCAD"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Gjatë procesit të shqyrtimit dhe të përzgjedhjes së aplikimeve për financimin e projekteve nga Këshilli garantohen parimet e mëposhtme:</w:t>
      </w:r>
    </w:p>
    <w:p w14:paraId="328D911F"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a) Liria e pjesëmarrjes dhe konkurrimi i barabartë;</w:t>
      </w:r>
    </w:p>
    <w:p w14:paraId="7C05158B"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b) </w:t>
      </w:r>
      <w:proofErr w:type="spellStart"/>
      <w:r w:rsidRPr="00D54F8F">
        <w:rPr>
          <w:rFonts w:ascii="Garamond" w:eastAsiaTheme="minorHAnsi" w:hAnsi="Garamond"/>
          <w:color w:val="000000"/>
          <w:sz w:val="24"/>
          <w:szCs w:val="24"/>
          <w14:ligatures w14:val="standardContextual"/>
        </w:rPr>
        <w:t>Mosdiskriminimi</w:t>
      </w:r>
      <w:proofErr w:type="spellEnd"/>
      <w:r w:rsidRPr="00D54F8F">
        <w:rPr>
          <w:rFonts w:ascii="Garamond" w:eastAsiaTheme="minorHAnsi" w:hAnsi="Garamond"/>
          <w:color w:val="000000"/>
          <w:sz w:val="24"/>
          <w:szCs w:val="24"/>
          <w14:ligatures w14:val="standardContextual"/>
        </w:rPr>
        <w:t xml:space="preserve"> dhe trajtimi i njëjtë i të gjithë </w:t>
      </w:r>
      <w:proofErr w:type="spellStart"/>
      <w:r w:rsidRPr="00D54F8F">
        <w:rPr>
          <w:rFonts w:ascii="Garamond" w:eastAsiaTheme="minorHAnsi" w:hAnsi="Garamond"/>
          <w:color w:val="000000"/>
          <w:sz w:val="24"/>
          <w:szCs w:val="24"/>
          <w14:ligatures w14:val="standardContextual"/>
        </w:rPr>
        <w:t>aplikuesve</w:t>
      </w:r>
      <w:proofErr w:type="spellEnd"/>
      <w:r w:rsidRPr="00D54F8F">
        <w:rPr>
          <w:rFonts w:ascii="Garamond" w:eastAsiaTheme="minorHAnsi" w:hAnsi="Garamond"/>
          <w:color w:val="000000"/>
          <w:sz w:val="24"/>
          <w:szCs w:val="24"/>
          <w14:ligatures w14:val="standardContextual"/>
        </w:rPr>
        <w:t>;</w:t>
      </w:r>
    </w:p>
    <w:p w14:paraId="6A187A0B"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c) Transparenca e procedurave të vendimmarrjes, duke siguruar që të gjithë </w:t>
      </w:r>
      <w:proofErr w:type="spellStart"/>
      <w:r w:rsidRPr="00D54F8F">
        <w:rPr>
          <w:rFonts w:ascii="Garamond" w:eastAsiaTheme="minorHAnsi" w:hAnsi="Garamond"/>
          <w:color w:val="000000"/>
          <w:sz w:val="24"/>
          <w:szCs w:val="24"/>
          <w14:ligatures w14:val="standardContextual"/>
        </w:rPr>
        <w:t>aplikuesit</w:t>
      </w:r>
      <w:proofErr w:type="spellEnd"/>
      <w:r w:rsidRPr="00D54F8F">
        <w:rPr>
          <w:rFonts w:ascii="Garamond" w:eastAsiaTheme="minorHAnsi" w:hAnsi="Garamond"/>
          <w:color w:val="000000"/>
          <w:sz w:val="24"/>
          <w:szCs w:val="24"/>
          <w14:ligatures w14:val="standardContextual"/>
        </w:rPr>
        <w:t xml:space="preserve"> të kenë </w:t>
      </w:r>
      <w:proofErr w:type="spellStart"/>
      <w:r w:rsidRPr="00D54F8F">
        <w:rPr>
          <w:rFonts w:ascii="Garamond" w:eastAsiaTheme="minorHAnsi" w:hAnsi="Garamond"/>
          <w:color w:val="000000"/>
          <w:sz w:val="24"/>
          <w:szCs w:val="24"/>
          <w14:ligatures w14:val="standardContextual"/>
        </w:rPr>
        <w:t>akses</w:t>
      </w:r>
      <w:proofErr w:type="spellEnd"/>
      <w:r w:rsidRPr="00D54F8F">
        <w:rPr>
          <w:rFonts w:ascii="Garamond" w:eastAsiaTheme="minorHAnsi" w:hAnsi="Garamond"/>
          <w:color w:val="000000"/>
          <w:sz w:val="24"/>
          <w:szCs w:val="24"/>
          <w14:ligatures w14:val="standardContextual"/>
        </w:rPr>
        <w:t xml:space="preserve"> në të dhënat dhe procedurat përkatëse;</w:t>
      </w:r>
    </w:p>
    <w:p w14:paraId="480EDE46" w14:textId="6183073C"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ç)</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Paanësia në shqyrtimin e marrjen e vendimeve dhe parandalimi i çdo konflikti interesi.</w:t>
      </w:r>
    </w:p>
    <w:p w14:paraId="7D71FAF1"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18B4F5C0"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11</w:t>
      </w:r>
    </w:p>
    <w:p w14:paraId="71448683"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Procedura e njoftimit dhe afatet e aplikimit</w:t>
      </w:r>
    </w:p>
    <w:p w14:paraId="6CE93F88"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p>
    <w:p w14:paraId="4B372CA2"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1. Këshilli përcakton me vendim periudhën e hapjes së thirrjes/thirrjeve dhe shumën e fondeve në dispozicion për financimin e projekteve.</w:t>
      </w:r>
    </w:p>
    <w:p w14:paraId="1EB80FCE"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2. Shpallja e njoftimit për pjesëmarrje në një procedurë konkurrimi, e udhëzimeve për pjesëmarrjen dhe kontratës tip kryhet në faqen e internetit të Ministrisë së Financave.</w:t>
      </w:r>
    </w:p>
    <w:p w14:paraId="16431A38" w14:textId="349C4C8D" w:rsidR="00A57811" w:rsidRPr="00D54F8F" w:rsidRDefault="00A57811" w:rsidP="00A57811">
      <w:pPr>
        <w:autoSpaceDE w:val="0"/>
        <w:autoSpaceDN w:val="0"/>
        <w:adjustRightInd w:val="0"/>
        <w:spacing w:after="0" w:line="240" w:lineRule="auto"/>
        <w:ind w:firstLine="284"/>
        <w:jc w:val="both"/>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 xml:space="preserve">3. Këshilli përcakton dhe përfshin në njoftimin për pjesëmarrje afatin e dorëzimit të </w:t>
      </w:r>
      <w:proofErr w:type="spellStart"/>
      <w:r w:rsidRPr="00D54F8F">
        <w:rPr>
          <w:rFonts w:ascii="Garamond" w:eastAsiaTheme="minorHAnsi" w:hAnsi="Garamond"/>
          <w:bCs/>
          <w:color w:val="000000"/>
          <w:sz w:val="24"/>
          <w:szCs w:val="24"/>
          <w14:ligatures w14:val="standardContextual"/>
        </w:rPr>
        <w:t>projektpropozimeve</w:t>
      </w:r>
      <w:proofErr w:type="spellEnd"/>
      <w:r w:rsidRPr="00D54F8F">
        <w:rPr>
          <w:rFonts w:ascii="Garamond" w:eastAsiaTheme="minorHAnsi" w:hAnsi="Garamond"/>
          <w:bCs/>
          <w:color w:val="000000"/>
          <w:sz w:val="24"/>
          <w:szCs w:val="24"/>
          <w14:ligatures w14:val="standardContextual"/>
        </w:rPr>
        <w:t>. Ky afat nuk mund të jetë më i shkurtër se 30 (tridhjetë) ditë pune nga data e botimit të njoftimit.</w:t>
      </w:r>
    </w:p>
    <w:p w14:paraId="27519BA7" w14:textId="6B31926A"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bCs/>
          <w:color w:val="000000"/>
          <w:sz w:val="24"/>
          <w:szCs w:val="24"/>
          <w14:ligatures w14:val="standardContextual"/>
        </w:rPr>
        <w:t>4. Afati i ri publikohet në faqen zyrtare të internetit dhe nuk mund të shtyhet më shumë se 30 (tridhjetë) ditë pune.</w:t>
      </w:r>
    </w:p>
    <w:p w14:paraId="00CD302F"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5ABE3EBC"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12</w:t>
      </w:r>
    </w:p>
    <w:p w14:paraId="4F798CF6"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 xml:space="preserve">Kushtet për </w:t>
      </w:r>
      <w:proofErr w:type="spellStart"/>
      <w:r w:rsidRPr="00D54F8F">
        <w:rPr>
          <w:rFonts w:ascii="Garamond" w:eastAsiaTheme="minorHAnsi" w:hAnsi="Garamond"/>
          <w:b/>
          <w:bCs/>
          <w:color w:val="000000"/>
          <w:sz w:val="24"/>
          <w:szCs w:val="24"/>
          <w14:ligatures w14:val="standardContextual"/>
        </w:rPr>
        <w:t>aplikuesit</w:t>
      </w:r>
      <w:proofErr w:type="spellEnd"/>
    </w:p>
    <w:p w14:paraId="0521966F"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7494C45D" w14:textId="38797150"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1. Institucionet shtetërore, për projektet e propozuara nga</w:t>
      </w:r>
      <w:r w:rsidRPr="00D54F8F">
        <w:rPr>
          <w:rFonts w:ascii="Garamond" w:eastAsiaTheme="minorHAnsi" w:hAnsi="Garamond"/>
          <w:color w:val="EE0000"/>
          <w:sz w:val="24"/>
          <w:szCs w:val="24"/>
          <w14:ligatures w14:val="standardContextual"/>
        </w:rPr>
        <w:t xml:space="preserve"> </w:t>
      </w:r>
      <w:r w:rsidRPr="00D54F8F">
        <w:rPr>
          <w:rFonts w:ascii="Garamond" w:eastAsiaTheme="minorHAnsi" w:hAnsi="Garamond"/>
          <w:color w:val="000000"/>
          <w:sz w:val="24"/>
          <w:szCs w:val="24"/>
          <w14:ligatures w14:val="standardContextual"/>
        </w:rPr>
        <w:t xml:space="preserve">subjektet </w:t>
      </w:r>
      <w:proofErr w:type="spellStart"/>
      <w:r w:rsidRPr="00D54F8F">
        <w:rPr>
          <w:rFonts w:ascii="Garamond" w:eastAsiaTheme="minorHAnsi" w:hAnsi="Garamond"/>
          <w:color w:val="000000"/>
          <w:sz w:val="24"/>
          <w:szCs w:val="24"/>
          <w14:ligatures w14:val="standardContextual"/>
        </w:rPr>
        <w:t>aplikuese</w:t>
      </w:r>
      <w:proofErr w:type="spellEnd"/>
      <w:r w:rsidRPr="00D54F8F">
        <w:rPr>
          <w:rFonts w:ascii="Garamond" w:eastAsiaTheme="minorHAnsi" w:hAnsi="Garamond"/>
          <w:color w:val="000000"/>
          <w:sz w:val="24"/>
          <w:szCs w:val="24"/>
          <w14:ligatures w14:val="standardContextual"/>
        </w:rPr>
        <w:t>,</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 xml:space="preserve">paraqesin për shqyrtim pranë sekretariatit teknik të Këshillit </w:t>
      </w:r>
      <w:proofErr w:type="spellStart"/>
      <w:r w:rsidRPr="00D54F8F">
        <w:rPr>
          <w:rFonts w:ascii="Garamond" w:eastAsiaTheme="minorHAnsi" w:hAnsi="Garamond"/>
          <w:color w:val="000000"/>
          <w:sz w:val="24"/>
          <w:szCs w:val="24"/>
          <w14:ligatures w14:val="standardContextual"/>
        </w:rPr>
        <w:t>projektpropozimin</w:t>
      </w:r>
      <w:proofErr w:type="spellEnd"/>
      <w:r w:rsidRPr="00D54F8F">
        <w:rPr>
          <w:rFonts w:ascii="Garamond" w:eastAsiaTheme="minorHAnsi" w:hAnsi="Garamond"/>
          <w:color w:val="000000"/>
          <w:sz w:val="24"/>
          <w:szCs w:val="24"/>
          <w14:ligatures w14:val="standardContextual"/>
        </w:rPr>
        <w:t xml:space="preserve"> dhe dokumentacionin shoqërues, </w:t>
      </w:r>
      <w:r w:rsidRPr="00D54F8F">
        <w:rPr>
          <w:rFonts w:ascii="Garamond" w:eastAsiaTheme="minorHAnsi" w:hAnsi="Garamond"/>
          <w:bCs/>
          <w:color w:val="000000"/>
          <w:sz w:val="24"/>
          <w:szCs w:val="24"/>
          <w14:ligatures w14:val="standardContextual"/>
        </w:rPr>
        <w:t>sipas këtij vendimi</w:t>
      </w:r>
      <w:r w:rsidRPr="00D54F8F">
        <w:rPr>
          <w:rFonts w:ascii="Garamond" w:eastAsiaTheme="minorHAnsi" w:hAnsi="Garamond"/>
          <w:color w:val="000000"/>
          <w:sz w:val="24"/>
          <w:szCs w:val="24"/>
          <w14:ligatures w14:val="standardContextual"/>
        </w:rPr>
        <w:t>.</w:t>
      </w:r>
    </w:p>
    <w:p w14:paraId="0A3E0BCA" w14:textId="373E1304" w:rsidR="00A57811" w:rsidRPr="00D54F8F" w:rsidRDefault="00A57811" w:rsidP="00D54F8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lastRenderedPageBreak/>
        <w:t xml:space="preserve">2. Subjektet </w:t>
      </w:r>
      <w:proofErr w:type="spellStart"/>
      <w:r w:rsidRPr="00D54F8F">
        <w:rPr>
          <w:rFonts w:ascii="Garamond" w:eastAsiaTheme="minorHAnsi" w:hAnsi="Garamond"/>
          <w:color w:val="000000"/>
          <w:sz w:val="24"/>
          <w:szCs w:val="24"/>
          <w14:ligatures w14:val="standardContextual"/>
        </w:rPr>
        <w:t>aplikuese</w:t>
      </w:r>
      <w:proofErr w:type="spellEnd"/>
      <w:r w:rsidRPr="00D54F8F">
        <w:rPr>
          <w:rFonts w:ascii="Garamond" w:eastAsiaTheme="minorHAnsi" w:hAnsi="Garamond"/>
          <w:color w:val="000000"/>
          <w:sz w:val="24"/>
          <w:szCs w:val="24"/>
          <w14:ligatures w14:val="standardContextual"/>
        </w:rPr>
        <w:t>, me qëllim përfitimin e financimit, duhet të plotësojnë këto kushte:</w:t>
      </w:r>
    </w:p>
    <w:p w14:paraId="0956FC5C" w14:textId="726C5ED4" w:rsidR="00A57811" w:rsidRPr="00D54F8F" w:rsidRDefault="00A57811" w:rsidP="00D54F8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a)</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 xml:space="preserve">Të kenë raporte financiare të </w:t>
      </w:r>
      <w:proofErr w:type="spellStart"/>
      <w:r w:rsidRPr="00D54F8F">
        <w:rPr>
          <w:rFonts w:ascii="Garamond" w:eastAsiaTheme="minorHAnsi" w:hAnsi="Garamond"/>
          <w:color w:val="000000"/>
          <w:sz w:val="24"/>
          <w:szCs w:val="24"/>
          <w14:ligatures w14:val="standardContextual"/>
        </w:rPr>
        <w:t>audituara</w:t>
      </w:r>
      <w:proofErr w:type="spellEnd"/>
      <w:r w:rsidRPr="00D54F8F">
        <w:rPr>
          <w:rFonts w:ascii="Garamond" w:eastAsiaTheme="minorHAnsi" w:hAnsi="Garamond"/>
          <w:color w:val="000000"/>
          <w:sz w:val="24"/>
          <w:szCs w:val="24"/>
          <w14:ligatures w14:val="standardContextual"/>
        </w:rPr>
        <w:t xml:space="preserve"> të vitit të fundit, pa opinion negativ;</w:t>
      </w:r>
    </w:p>
    <w:p w14:paraId="691BFCD5" w14:textId="4B024CC2" w:rsidR="00A57811" w:rsidRPr="00D54F8F" w:rsidRDefault="00A57811" w:rsidP="00D54F8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b) Të kenë të garantuara, në momentin e aplikimit, kapacitetet njerëzore të nevojshme për zbatimin e projektit, duke përfshirë të paktën 5 (pesë) persona të dedikuar, të cilët kanë realizuar të paktën një projekt ose veprimtari të ngjashme në fushën përkatëse gjatë tri viteve të fundit;</w:t>
      </w:r>
    </w:p>
    <w:p w14:paraId="71BF660C" w14:textId="77777777" w:rsidR="00A57811" w:rsidRPr="00D54F8F" w:rsidRDefault="00A57811" w:rsidP="00D54F8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c) Të mos jenë në procedurë falimenti ose likuidimi;</w:t>
      </w:r>
    </w:p>
    <w:p w14:paraId="56BABF10" w14:textId="77777777" w:rsidR="00A57811" w:rsidRPr="00D54F8F" w:rsidRDefault="00A57811" w:rsidP="00D54F8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ç) Të kenë përmbushur të gjitha detyrimet </w:t>
      </w:r>
      <w:proofErr w:type="spellStart"/>
      <w:r w:rsidRPr="00D54F8F">
        <w:rPr>
          <w:rFonts w:ascii="Garamond" w:eastAsiaTheme="minorHAnsi" w:hAnsi="Garamond"/>
          <w:color w:val="000000"/>
          <w:sz w:val="24"/>
          <w:szCs w:val="24"/>
          <w14:ligatures w14:val="standardContextual"/>
        </w:rPr>
        <w:t>kontraktuale</w:t>
      </w:r>
      <w:proofErr w:type="spellEnd"/>
      <w:r w:rsidRPr="00D54F8F">
        <w:rPr>
          <w:rFonts w:ascii="Garamond" w:eastAsiaTheme="minorHAnsi" w:hAnsi="Garamond"/>
          <w:color w:val="000000"/>
          <w:sz w:val="24"/>
          <w:szCs w:val="24"/>
          <w14:ligatures w14:val="standardContextual"/>
        </w:rPr>
        <w:t xml:space="preserve"> me natyrë financiare ndaj punonjësve;</w:t>
      </w:r>
    </w:p>
    <w:p w14:paraId="5540A772" w14:textId="77777777" w:rsidR="00A57811" w:rsidRPr="00D54F8F" w:rsidRDefault="00A57811" w:rsidP="00D54F8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d) Të mos kenë detyrime tatimore apo gjoba të papaguara.</w:t>
      </w:r>
    </w:p>
    <w:p w14:paraId="2C64AA11" w14:textId="77777777" w:rsidR="00A57811" w:rsidRPr="00D54F8F" w:rsidRDefault="00A57811" w:rsidP="00D54F8F">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2CDD0600" w14:textId="77777777" w:rsidR="00A57811" w:rsidRPr="00D54F8F" w:rsidRDefault="00A57811" w:rsidP="00D54F8F">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13</w:t>
      </w:r>
    </w:p>
    <w:p w14:paraId="363BEDD7"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Llojet e financimit</w:t>
      </w:r>
    </w:p>
    <w:p w14:paraId="342021A8"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4FB7E79F" w14:textId="77777777" w:rsidR="00A57811" w:rsidRPr="00D54F8F" w:rsidRDefault="00A57811" w:rsidP="00A57811">
      <w:pPr>
        <w:tabs>
          <w:tab w:val="left" w:pos="64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Këshilli miraton financime për dy periudha kohore:</w:t>
      </w:r>
    </w:p>
    <w:p w14:paraId="5D3DA470"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a) Fonde për periudha afatshkurtra deri në 1 (një) vit kalendarik;</w:t>
      </w:r>
    </w:p>
    <w:p w14:paraId="20DA4930"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b) Fonde për periudha afatgjata deri në 3 (tri) vite kalendarike.</w:t>
      </w:r>
    </w:p>
    <w:p w14:paraId="71366A83"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4FA106A5"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sz w:val="24"/>
          <w:szCs w:val="24"/>
          <w14:ligatures w14:val="standardContextual"/>
        </w:rPr>
      </w:pPr>
      <w:r w:rsidRPr="00D54F8F">
        <w:rPr>
          <w:rFonts w:ascii="Garamond" w:eastAsiaTheme="minorHAnsi" w:hAnsi="Garamond"/>
          <w:bCs/>
          <w:color w:val="000000"/>
          <w:sz w:val="24"/>
          <w:szCs w:val="24"/>
          <w14:ligatures w14:val="standardContextual"/>
        </w:rPr>
        <w:t>Neni 14</w:t>
      </w:r>
    </w:p>
    <w:p w14:paraId="6F88C6DF"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sz w:val="24"/>
          <w:szCs w:val="24"/>
          <w14:ligatures w14:val="standardContextual"/>
        </w:rPr>
      </w:pPr>
      <w:r w:rsidRPr="00D54F8F">
        <w:rPr>
          <w:rFonts w:ascii="Garamond" w:eastAsiaTheme="minorHAnsi" w:hAnsi="Garamond"/>
          <w:b/>
          <w:bCs/>
          <w:sz w:val="24"/>
          <w:szCs w:val="24"/>
          <w14:ligatures w14:val="standardContextual"/>
        </w:rPr>
        <w:t>Aplikimi për financim dhe dokumentacioni shoqërues</w:t>
      </w:r>
    </w:p>
    <w:p w14:paraId="6D425E88"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sz w:val="24"/>
          <w:szCs w:val="24"/>
          <w14:ligatures w14:val="standardContextual"/>
        </w:rPr>
      </w:pPr>
    </w:p>
    <w:p w14:paraId="26317B9F"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sz w:val="24"/>
          <w:szCs w:val="24"/>
          <w14:ligatures w14:val="standardContextual"/>
        </w:rPr>
        <w:t>1.</w:t>
      </w:r>
      <w:r w:rsidRPr="00D54F8F">
        <w:rPr>
          <w:rFonts w:ascii="Garamond" w:eastAsiaTheme="minorHAnsi" w:hAnsi="Garamond"/>
          <w:b/>
          <w:bCs/>
          <w:sz w:val="24"/>
          <w:szCs w:val="24"/>
          <w14:ligatures w14:val="standardContextual"/>
        </w:rPr>
        <w:t xml:space="preserve"> </w:t>
      </w:r>
      <w:r w:rsidRPr="00D54F8F">
        <w:rPr>
          <w:rFonts w:ascii="Garamond" w:eastAsiaTheme="minorHAnsi" w:hAnsi="Garamond"/>
          <w:color w:val="000000"/>
          <w:sz w:val="24"/>
          <w:szCs w:val="24"/>
          <w14:ligatures w14:val="standardContextual"/>
        </w:rPr>
        <w:t>Aplikimi për financim paraqitet sipas formularit tip, të publikuar në thirrjen për aplikim, dhe shoqërohet me dokumentacionin e përcaktuar në këtë vendim.</w:t>
      </w:r>
    </w:p>
    <w:p w14:paraId="5360521C" w14:textId="77777777" w:rsidR="00A57811" w:rsidRPr="00D54F8F" w:rsidRDefault="00A57811" w:rsidP="00A57811">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2. Formulari i aplikimit përmban informacionin e mëposhtëm:</w:t>
      </w:r>
    </w:p>
    <w:p w14:paraId="313AE3B9" w14:textId="371A58F3"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a) </w:t>
      </w:r>
      <w:r w:rsidR="00327510" w:rsidRPr="00D54F8F">
        <w:rPr>
          <w:rFonts w:ascii="Garamond" w:eastAsiaTheme="minorHAnsi" w:hAnsi="Garamond"/>
          <w:color w:val="000000"/>
          <w:sz w:val="24"/>
          <w:szCs w:val="24"/>
          <w14:ligatures w14:val="standardContextual"/>
        </w:rPr>
        <w:t xml:space="preserve">të </w:t>
      </w:r>
      <w:r w:rsidRPr="00D54F8F">
        <w:rPr>
          <w:rFonts w:ascii="Garamond" w:eastAsiaTheme="minorHAnsi" w:hAnsi="Garamond"/>
          <w:color w:val="000000"/>
          <w:sz w:val="24"/>
          <w:szCs w:val="24"/>
          <w14:ligatures w14:val="standardContextual"/>
        </w:rPr>
        <w:t xml:space="preserve">dhënat identifikuese të institucionit </w:t>
      </w:r>
      <w:proofErr w:type="spellStart"/>
      <w:r w:rsidRPr="00D54F8F">
        <w:rPr>
          <w:rFonts w:ascii="Garamond" w:eastAsiaTheme="minorHAnsi" w:hAnsi="Garamond"/>
          <w:color w:val="000000"/>
          <w:sz w:val="24"/>
          <w:szCs w:val="24"/>
          <w14:ligatures w14:val="standardContextual"/>
        </w:rPr>
        <w:t>aplikues</w:t>
      </w:r>
      <w:proofErr w:type="spellEnd"/>
      <w:r w:rsidRPr="00D54F8F">
        <w:rPr>
          <w:rFonts w:ascii="Garamond" w:eastAsiaTheme="minorHAnsi" w:hAnsi="Garamond"/>
          <w:color w:val="000000"/>
          <w:sz w:val="24"/>
          <w:szCs w:val="24"/>
          <w14:ligatures w14:val="standardContextual"/>
        </w:rPr>
        <w:t xml:space="preserve"> dhe fusha e veprimit;</w:t>
      </w:r>
    </w:p>
    <w:p w14:paraId="3B3F0B18"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b) përshkrimin e projektit;</w:t>
      </w:r>
    </w:p>
    <w:p w14:paraId="7C997E38" w14:textId="4939D4F1"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c) </w:t>
      </w:r>
      <w:r w:rsidR="00327510" w:rsidRPr="00D54F8F">
        <w:rPr>
          <w:rFonts w:ascii="Garamond" w:eastAsiaTheme="minorHAnsi" w:hAnsi="Garamond"/>
          <w:color w:val="000000"/>
          <w:sz w:val="24"/>
          <w:szCs w:val="24"/>
          <w14:ligatures w14:val="standardContextual"/>
        </w:rPr>
        <w:t>objektivat</w:t>
      </w:r>
      <w:r w:rsidRPr="00D54F8F">
        <w:rPr>
          <w:rFonts w:ascii="Garamond" w:eastAsiaTheme="minorHAnsi" w:hAnsi="Garamond"/>
          <w:color w:val="000000"/>
          <w:sz w:val="24"/>
          <w:szCs w:val="24"/>
          <w14:ligatures w14:val="standardContextual"/>
        </w:rPr>
        <w:t>, rezultatet dhe treguesit e pritshëm;</w:t>
      </w:r>
    </w:p>
    <w:p w14:paraId="278C16C4" w14:textId="6ED68F18"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ç) </w:t>
      </w:r>
      <w:r w:rsidR="00327510" w:rsidRPr="00D54F8F">
        <w:rPr>
          <w:rFonts w:ascii="Garamond" w:eastAsiaTheme="minorHAnsi" w:hAnsi="Garamond"/>
          <w:color w:val="000000"/>
          <w:sz w:val="24"/>
          <w:szCs w:val="24"/>
          <w14:ligatures w14:val="standardContextual"/>
        </w:rPr>
        <w:t xml:space="preserve">përfituesit </w:t>
      </w:r>
      <w:r w:rsidRPr="00D54F8F">
        <w:rPr>
          <w:rFonts w:ascii="Garamond" w:eastAsiaTheme="minorHAnsi" w:hAnsi="Garamond"/>
          <w:color w:val="000000"/>
          <w:sz w:val="24"/>
          <w:szCs w:val="24"/>
          <w14:ligatures w14:val="standardContextual"/>
        </w:rPr>
        <w:t>dhe ndikimin e projektit;</w:t>
      </w:r>
    </w:p>
    <w:p w14:paraId="445230C0" w14:textId="21003281"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d) </w:t>
      </w:r>
      <w:r w:rsidR="00327510" w:rsidRPr="00D54F8F">
        <w:rPr>
          <w:rFonts w:ascii="Garamond" w:eastAsiaTheme="minorHAnsi" w:hAnsi="Garamond"/>
          <w:color w:val="000000"/>
          <w:sz w:val="24"/>
          <w:szCs w:val="24"/>
          <w14:ligatures w14:val="standardContextual"/>
        </w:rPr>
        <w:t xml:space="preserve">planin </w:t>
      </w:r>
      <w:r w:rsidRPr="00D54F8F">
        <w:rPr>
          <w:rFonts w:ascii="Garamond" w:eastAsiaTheme="minorHAnsi" w:hAnsi="Garamond"/>
          <w:color w:val="000000"/>
          <w:sz w:val="24"/>
          <w:szCs w:val="24"/>
          <w14:ligatures w14:val="standardContextual"/>
        </w:rPr>
        <w:t>e zbatimit;</w:t>
      </w:r>
    </w:p>
    <w:p w14:paraId="2024FD89" w14:textId="46C19975"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dh) </w:t>
      </w:r>
      <w:r w:rsidR="00327510" w:rsidRPr="00D54F8F">
        <w:rPr>
          <w:rFonts w:ascii="Garamond" w:eastAsiaTheme="minorHAnsi" w:hAnsi="Garamond"/>
          <w:color w:val="000000"/>
          <w:sz w:val="24"/>
          <w:szCs w:val="24"/>
          <w14:ligatures w14:val="standardContextual"/>
        </w:rPr>
        <w:t xml:space="preserve">planin </w:t>
      </w:r>
      <w:r w:rsidRPr="00D54F8F">
        <w:rPr>
          <w:rFonts w:ascii="Garamond" w:eastAsiaTheme="minorHAnsi" w:hAnsi="Garamond"/>
          <w:color w:val="000000"/>
          <w:sz w:val="24"/>
          <w:szCs w:val="24"/>
          <w14:ligatures w14:val="standardContextual"/>
        </w:rPr>
        <w:t>financiar me shpenzime të detajuara dhe të shpërndara sipas periudhave kohore;</w:t>
      </w:r>
    </w:p>
    <w:p w14:paraId="461F24B2" w14:textId="30D94AA0"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e) </w:t>
      </w:r>
      <w:r w:rsidR="00327510" w:rsidRPr="00D54F8F">
        <w:rPr>
          <w:rFonts w:ascii="Garamond" w:eastAsiaTheme="minorHAnsi" w:hAnsi="Garamond"/>
          <w:color w:val="000000"/>
          <w:sz w:val="24"/>
          <w:szCs w:val="24"/>
          <w14:ligatures w14:val="standardContextual"/>
        </w:rPr>
        <w:t xml:space="preserve">analizën </w:t>
      </w:r>
      <w:r w:rsidRPr="00D54F8F">
        <w:rPr>
          <w:rFonts w:ascii="Garamond" w:eastAsiaTheme="minorHAnsi" w:hAnsi="Garamond"/>
          <w:color w:val="000000"/>
          <w:sz w:val="24"/>
          <w:szCs w:val="24"/>
          <w14:ligatures w14:val="standardContextual"/>
        </w:rPr>
        <w:t>e rreziqeve dhe masat për qëndrueshmërinë e projektit.</w:t>
      </w:r>
    </w:p>
    <w:p w14:paraId="33CF95C9" w14:textId="77777777" w:rsidR="00A57811" w:rsidRPr="00D54F8F" w:rsidRDefault="00A57811" w:rsidP="00A57811">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3. Dokumentacioni shoqërues i aplikimit përbëhet, detyrimisht, nga:</w:t>
      </w:r>
    </w:p>
    <w:p w14:paraId="3DB200AF"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a) raportet financiare të vitit të fundit, të </w:t>
      </w:r>
      <w:proofErr w:type="spellStart"/>
      <w:r w:rsidRPr="00D54F8F">
        <w:rPr>
          <w:rFonts w:ascii="Garamond" w:eastAsiaTheme="minorHAnsi" w:hAnsi="Garamond"/>
          <w:color w:val="000000"/>
          <w:sz w:val="24"/>
          <w:szCs w:val="24"/>
          <w14:ligatures w14:val="standardContextual"/>
        </w:rPr>
        <w:t>audituara</w:t>
      </w:r>
      <w:proofErr w:type="spellEnd"/>
      <w:r w:rsidRPr="00D54F8F">
        <w:rPr>
          <w:rFonts w:ascii="Garamond" w:eastAsiaTheme="minorHAnsi" w:hAnsi="Garamond"/>
          <w:color w:val="000000"/>
          <w:sz w:val="24"/>
          <w:szCs w:val="24"/>
          <w14:ligatures w14:val="standardContextual"/>
        </w:rPr>
        <w:t>;</w:t>
      </w:r>
    </w:p>
    <w:p w14:paraId="70D10A0B"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b) vërtetimi nga organi kompetent, që institucioni nuk është në procedurë falimenti ose likuidimi;</w:t>
      </w:r>
    </w:p>
    <w:p w14:paraId="1E7B4B59" w14:textId="621358DA"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c) lista e stafit të përfshirë në projekt, së bashku me </w:t>
      </w:r>
      <w:r w:rsidR="00327510" w:rsidRPr="00D54F8F">
        <w:rPr>
          <w:rFonts w:ascii="Garamond" w:eastAsiaTheme="minorHAnsi" w:hAnsi="Garamond"/>
          <w:color w:val="000000"/>
          <w:sz w:val="24"/>
          <w:szCs w:val="24"/>
          <w14:ligatures w14:val="standardContextual"/>
        </w:rPr>
        <w:t>CV</w:t>
      </w:r>
      <w:r w:rsidRPr="00D54F8F">
        <w:rPr>
          <w:rFonts w:ascii="Garamond" w:eastAsiaTheme="minorHAnsi" w:hAnsi="Garamond"/>
          <w:color w:val="000000"/>
          <w:sz w:val="24"/>
          <w:szCs w:val="24"/>
          <w14:ligatures w14:val="standardContextual"/>
        </w:rPr>
        <w:t>-të dhe dokumentimin e përvojës;</w:t>
      </w:r>
    </w:p>
    <w:p w14:paraId="7B0658D7"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ç) deklarata për përmbushjen e detyrimeve </w:t>
      </w:r>
      <w:proofErr w:type="spellStart"/>
      <w:r w:rsidRPr="00D54F8F">
        <w:rPr>
          <w:rFonts w:ascii="Garamond" w:eastAsiaTheme="minorHAnsi" w:hAnsi="Garamond"/>
          <w:color w:val="000000"/>
          <w:sz w:val="24"/>
          <w:szCs w:val="24"/>
          <w14:ligatures w14:val="standardContextual"/>
        </w:rPr>
        <w:t>kontraktuale</w:t>
      </w:r>
      <w:proofErr w:type="spellEnd"/>
      <w:r w:rsidRPr="00D54F8F">
        <w:rPr>
          <w:rFonts w:ascii="Garamond" w:eastAsiaTheme="minorHAnsi" w:hAnsi="Garamond"/>
          <w:color w:val="000000"/>
          <w:sz w:val="24"/>
          <w:szCs w:val="24"/>
          <w14:ligatures w14:val="standardContextual"/>
        </w:rPr>
        <w:t xml:space="preserve"> ndaj punonjësve;</w:t>
      </w:r>
    </w:p>
    <w:p w14:paraId="3D8B2332"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 d) buxheti i detajuar i projektit;</w:t>
      </w:r>
    </w:p>
    <w:p w14:paraId="1DD20F01"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dh) deklarata për mungesën e konfliktit të interesit.</w:t>
      </w:r>
    </w:p>
    <w:p w14:paraId="1E966B0A" w14:textId="1771F35B"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4.</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Aplikimet pranohen vetëm për projekte që zbatohen në territorin e Republikës së Shqipërisë.</w:t>
      </w:r>
    </w:p>
    <w:p w14:paraId="0B9511AA"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70D34E9E"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15</w:t>
      </w:r>
    </w:p>
    <w:p w14:paraId="757BF583"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Procedura e përzgjedhjes së projekteve</w:t>
      </w:r>
    </w:p>
    <w:p w14:paraId="2F869502"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p>
    <w:p w14:paraId="590F2F4A"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1. Për çdo procedurë konkurrimi, Këshilli përcakton një kalendar të qartë të procesit të përzgjedhjes, duke përcaktuar afatet e dorëzimit të </w:t>
      </w:r>
      <w:proofErr w:type="spellStart"/>
      <w:r w:rsidRPr="00D54F8F">
        <w:rPr>
          <w:rFonts w:ascii="Garamond" w:eastAsiaTheme="minorHAnsi" w:hAnsi="Garamond"/>
          <w:color w:val="000000"/>
          <w:sz w:val="24"/>
          <w:szCs w:val="24"/>
          <w14:ligatures w14:val="standardContextual"/>
        </w:rPr>
        <w:t>projektpropozimeve</w:t>
      </w:r>
      <w:proofErr w:type="spellEnd"/>
      <w:r w:rsidRPr="00D54F8F">
        <w:rPr>
          <w:rFonts w:ascii="Garamond" w:eastAsiaTheme="minorHAnsi" w:hAnsi="Garamond"/>
          <w:color w:val="000000"/>
          <w:sz w:val="24"/>
          <w:szCs w:val="24"/>
          <w14:ligatures w14:val="standardContextual"/>
        </w:rPr>
        <w:t xml:space="preserve">, shqyrtimin e </w:t>
      </w:r>
      <w:proofErr w:type="spellStart"/>
      <w:r w:rsidRPr="00D54F8F">
        <w:rPr>
          <w:rFonts w:ascii="Garamond" w:eastAsiaTheme="minorHAnsi" w:hAnsi="Garamond"/>
          <w:color w:val="000000"/>
          <w:sz w:val="24"/>
          <w:szCs w:val="24"/>
          <w14:ligatures w14:val="standardContextual"/>
        </w:rPr>
        <w:t>pranueshmërisë</w:t>
      </w:r>
      <w:proofErr w:type="spellEnd"/>
      <w:r w:rsidRPr="00D54F8F">
        <w:rPr>
          <w:rFonts w:ascii="Garamond" w:eastAsiaTheme="minorHAnsi" w:hAnsi="Garamond"/>
          <w:color w:val="000000"/>
          <w:sz w:val="24"/>
          <w:szCs w:val="24"/>
          <w14:ligatures w14:val="standardContextual"/>
        </w:rPr>
        <w:t>, vlerësimin e projekteve, dhe fillimin e projektit.</w:t>
      </w:r>
    </w:p>
    <w:p w14:paraId="36960140" w14:textId="1B44866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2. Procedura e përzgjedhjes përfshin:</w:t>
      </w:r>
    </w:p>
    <w:p w14:paraId="33BAC626"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a) botimin e planit vjetor të veprimit në faqen zyrtare të AMLF-së;</w:t>
      </w:r>
    </w:p>
    <w:p w14:paraId="1F5067BD"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b) njoftimin paraprak dhe publikimin e çdo procedure konkurrimi, duke përfshirë afatet dhe dokumentet që duhen dorëzuar;</w:t>
      </w:r>
    </w:p>
    <w:p w14:paraId="6AA87F85"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c) vënien në dispozicion të dokumenteve dhe informacionit të nevojshëm për </w:t>
      </w:r>
      <w:proofErr w:type="spellStart"/>
      <w:r w:rsidRPr="00D54F8F">
        <w:rPr>
          <w:rFonts w:ascii="Garamond" w:eastAsiaTheme="minorHAnsi" w:hAnsi="Garamond"/>
          <w:color w:val="000000"/>
          <w:sz w:val="24"/>
          <w:szCs w:val="24"/>
          <w14:ligatures w14:val="standardContextual"/>
        </w:rPr>
        <w:t>aplikuesit</w:t>
      </w:r>
      <w:proofErr w:type="spellEnd"/>
      <w:r w:rsidRPr="00D54F8F">
        <w:rPr>
          <w:rFonts w:ascii="Garamond" w:eastAsiaTheme="minorHAnsi" w:hAnsi="Garamond"/>
          <w:color w:val="000000"/>
          <w:sz w:val="24"/>
          <w:szCs w:val="24"/>
          <w14:ligatures w14:val="standardContextual"/>
        </w:rPr>
        <w:t>;</w:t>
      </w:r>
    </w:p>
    <w:p w14:paraId="5D31048E"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ç) sigurimin e sqarimeve dhe ndryshimeve gjatë procedurës, me shpjegimin e ndikimit të tyre në kriteret e vlerësimit;</w:t>
      </w:r>
    </w:p>
    <w:p w14:paraId="3C88A35D" w14:textId="2EE4E3C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d) regjistrimin e aplikimeve dhe identifikimin e institucioneve </w:t>
      </w:r>
      <w:proofErr w:type="spellStart"/>
      <w:r w:rsidRPr="00D54F8F">
        <w:rPr>
          <w:rFonts w:ascii="Garamond" w:eastAsiaTheme="minorHAnsi" w:hAnsi="Garamond"/>
          <w:color w:val="000000"/>
          <w:sz w:val="24"/>
          <w:szCs w:val="24"/>
          <w14:ligatures w14:val="standardContextual"/>
        </w:rPr>
        <w:t>aplikuese</w:t>
      </w:r>
      <w:proofErr w:type="spellEnd"/>
      <w:r w:rsidRPr="00D54F8F">
        <w:rPr>
          <w:rFonts w:ascii="Garamond" w:eastAsiaTheme="minorHAnsi" w:hAnsi="Garamond"/>
          <w:color w:val="000000"/>
          <w:sz w:val="24"/>
          <w:szCs w:val="24"/>
          <w14:ligatures w14:val="standardContextual"/>
        </w:rPr>
        <w:t>;</w:t>
      </w:r>
    </w:p>
    <w:p w14:paraId="60EFF037"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lastRenderedPageBreak/>
        <w:t>dh) shqyrtimin e aplikimeve për të siguruar që plotësojnë kushtet e pranimit (kapacitetet teknike dhe financiare, dokumentacioni dhe përputhshmëria e stafit të dedikuar);</w:t>
      </w:r>
    </w:p>
    <w:p w14:paraId="6FDF481E"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e) vlerësimin e </w:t>
      </w:r>
      <w:proofErr w:type="spellStart"/>
      <w:r w:rsidRPr="00D54F8F">
        <w:rPr>
          <w:rFonts w:ascii="Garamond" w:eastAsiaTheme="minorHAnsi" w:hAnsi="Garamond"/>
          <w:color w:val="000000"/>
          <w:sz w:val="24"/>
          <w:szCs w:val="24"/>
          <w14:ligatures w14:val="standardContextual"/>
        </w:rPr>
        <w:t>projektpropozimeve</w:t>
      </w:r>
      <w:proofErr w:type="spellEnd"/>
      <w:r w:rsidRPr="00D54F8F">
        <w:rPr>
          <w:rFonts w:ascii="Garamond" w:eastAsiaTheme="minorHAnsi" w:hAnsi="Garamond"/>
          <w:color w:val="000000"/>
          <w:sz w:val="24"/>
          <w:szCs w:val="24"/>
          <w14:ligatures w14:val="standardContextual"/>
        </w:rPr>
        <w:t xml:space="preserve"> dhe dokumentimin e çdo faze;</w:t>
      </w:r>
    </w:p>
    <w:p w14:paraId="63DE9471"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ë) njoftimin e rezultateve të vlerësimit, duke përfshirë kërkesat për sqarime ose rregullime kur është e nevojshme;</w:t>
      </w:r>
    </w:p>
    <w:p w14:paraId="6CF1A277" w14:textId="06A2FDA5"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f) njoftimin e arsyes për refuzimin e aplikimeve të </w:t>
      </w:r>
      <w:proofErr w:type="spellStart"/>
      <w:r w:rsidRPr="00D54F8F">
        <w:rPr>
          <w:rFonts w:ascii="Garamond" w:eastAsiaTheme="minorHAnsi" w:hAnsi="Garamond"/>
          <w:color w:val="000000"/>
          <w:sz w:val="24"/>
          <w:szCs w:val="24"/>
          <w14:ligatures w14:val="standardContextual"/>
        </w:rPr>
        <w:t>skualifikuara</w:t>
      </w:r>
      <w:proofErr w:type="spellEnd"/>
      <w:r w:rsidRPr="00D54F8F">
        <w:rPr>
          <w:rFonts w:ascii="Garamond" w:eastAsiaTheme="minorHAnsi" w:hAnsi="Garamond"/>
          <w:color w:val="000000"/>
          <w:sz w:val="24"/>
          <w:szCs w:val="24"/>
          <w14:ligatures w14:val="standardContextual"/>
        </w:rPr>
        <w:t>;</w:t>
      </w:r>
    </w:p>
    <w:p w14:paraId="0CF2B342" w14:textId="2BB62B2C"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g) negocimin e mundshëm të ndryshimeve, si kusht për miratimin e </w:t>
      </w:r>
      <w:proofErr w:type="spellStart"/>
      <w:r w:rsidRPr="00D54F8F">
        <w:rPr>
          <w:rFonts w:ascii="Garamond" w:eastAsiaTheme="minorHAnsi" w:hAnsi="Garamond"/>
          <w:color w:val="000000"/>
          <w:sz w:val="24"/>
          <w:szCs w:val="24"/>
          <w14:ligatures w14:val="standardContextual"/>
        </w:rPr>
        <w:t>projektpropozimit</w:t>
      </w:r>
      <w:proofErr w:type="spellEnd"/>
      <w:r w:rsidRPr="00D54F8F">
        <w:rPr>
          <w:rFonts w:ascii="Garamond" w:eastAsiaTheme="minorHAnsi" w:hAnsi="Garamond"/>
          <w:color w:val="000000"/>
          <w:sz w:val="24"/>
          <w:szCs w:val="24"/>
          <w14:ligatures w14:val="standardContextual"/>
        </w:rPr>
        <w:t xml:space="preserve"> fitues; </w:t>
      </w:r>
    </w:p>
    <w:p w14:paraId="55D3A08D" w14:textId="76E0DE1E"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gj) nënshkrimin e kontratës me </w:t>
      </w:r>
      <w:proofErr w:type="spellStart"/>
      <w:r w:rsidRPr="00D54F8F">
        <w:rPr>
          <w:rFonts w:ascii="Garamond" w:eastAsiaTheme="minorHAnsi" w:hAnsi="Garamond"/>
          <w:color w:val="000000"/>
          <w:sz w:val="24"/>
          <w:szCs w:val="24"/>
          <w14:ligatures w14:val="standardContextual"/>
        </w:rPr>
        <w:t>aplikuesin</w:t>
      </w:r>
      <w:proofErr w:type="spellEnd"/>
      <w:r w:rsidRPr="00D54F8F">
        <w:rPr>
          <w:rFonts w:ascii="Garamond" w:eastAsiaTheme="minorHAnsi" w:hAnsi="Garamond"/>
          <w:color w:val="000000"/>
          <w:sz w:val="24"/>
          <w:szCs w:val="24"/>
          <w14:ligatures w14:val="standardContextual"/>
        </w:rPr>
        <w:t xml:space="preserve"> fitues, sipas kritereve të përcaktuara dhe ligjit në fuqi për lojërat e fatit.</w:t>
      </w:r>
    </w:p>
    <w:p w14:paraId="32C31631"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EE0000"/>
          <w:sz w:val="24"/>
          <w:szCs w:val="24"/>
          <w14:ligatures w14:val="standardContextual"/>
        </w:rPr>
      </w:pPr>
      <w:r w:rsidRPr="00D54F8F">
        <w:rPr>
          <w:rFonts w:ascii="Garamond" w:eastAsiaTheme="minorHAnsi" w:hAnsi="Garamond"/>
          <w:color w:val="000000"/>
          <w:sz w:val="24"/>
          <w:szCs w:val="24"/>
          <w14:ligatures w14:val="standardContextual"/>
        </w:rPr>
        <w:t xml:space="preserve">3. </w:t>
      </w:r>
      <w:proofErr w:type="spellStart"/>
      <w:r w:rsidRPr="00D54F8F">
        <w:rPr>
          <w:rFonts w:ascii="Garamond" w:eastAsiaTheme="minorHAnsi" w:hAnsi="Garamond"/>
          <w:color w:val="000000"/>
          <w:sz w:val="24"/>
          <w:szCs w:val="24"/>
          <w14:ligatures w14:val="standardContextual"/>
        </w:rPr>
        <w:t>Projektpropozimet</w:t>
      </w:r>
      <w:proofErr w:type="spellEnd"/>
      <w:r w:rsidRPr="00D54F8F">
        <w:rPr>
          <w:rFonts w:ascii="Garamond" w:eastAsiaTheme="minorHAnsi" w:hAnsi="Garamond"/>
          <w:color w:val="000000"/>
          <w:sz w:val="24"/>
          <w:szCs w:val="24"/>
          <w14:ligatures w14:val="standardContextual"/>
        </w:rPr>
        <w:t xml:space="preserve"> që përmbushin kriteret e </w:t>
      </w:r>
      <w:proofErr w:type="spellStart"/>
      <w:r w:rsidRPr="00D54F8F">
        <w:rPr>
          <w:rFonts w:ascii="Garamond" w:eastAsiaTheme="minorHAnsi" w:hAnsi="Garamond"/>
          <w:color w:val="000000"/>
          <w:sz w:val="24"/>
          <w:szCs w:val="24"/>
          <w14:ligatures w14:val="standardContextual"/>
        </w:rPr>
        <w:t>pranueshmërisë</w:t>
      </w:r>
      <w:proofErr w:type="spellEnd"/>
      <w:r w:rsidRPr="00D54F8F">
        <w:rPr>
          <w:rFonts w:ascii="Garamond" w:eastAsiaTheme="minorHAnsi" w:hAnsi="Garamond"/>
          <w:color w:val="000000"/>
          <w:sz w:val="24"/>
          <w:szCs w:val="24"/>
          <w14:ligatures w14:val="standardContextual"/>
        </w:rPr>
        <w:t xml:space="preserve"> vlerësohen në bazë të sistemit të pikëve, të përcaktuar në aneksin 1, që i bashkëlidhet këtij vendimi.</w:t>
      </w:r>
    </w:p>
    <w:p w14:paraId="01372EE5" w14:textId="77777777" w:rsidR="00A57811" w:rsidRPr="00D54F8F" w:rsidRDefault="00A57811" w:rsidP="00A57811">
      <w:pPr>
        <w:autoSpaceDE w:val="0"/>
        <w:autoSpaceDN w:val="0"/>
        <w:adjustRightInd w:val="0"/>
        <w:spacing w:after="0" w:line="240" w:lineRule="auto"/>
        <w:ind w:firstLine="284"/>
        <w:rPr>
          <w:rFonts w:ascii="Garamond" w:eastAsiaTheme="minorHAnsi" w:hAnsi="Garamond"/>
          <w:color w:val="EE0000"/>
          <w:sz w:val="24"/>
          <w:szCs w:val="24"/>
          <w14:ligatures w14:val="standardContextual"/>
        </w:rPr>
      </w:pPr>
    </w:p>
    <w:p w14:paraId="3D0EB98B"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16</w:t>
      </w:r>
    </w:p>
    <w:p w14:paraId="78F0E5BB"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Kriteret e vlerësimit të projekteve</w:t>
      </w:r>
    </w:p>
    <w:p w14:paraId="4CAA333D"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387C9230" w14:textId="77777777"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1. Projektet që kalojnë fazën e </w:t>
      </w:r>
      <w:proofErr w:type="spellStart"/>
      <w:r w:rsidRPr="00D54F8F">
        <w:rPr>
          <w:rFonts w:ascii="Garamond" w:eastAsiaTheme="minorHAnsi" w:hAnsi="Garamond"/>
          <w:color w:val="000000"/>
          <w:sz w:val="24"/>
          <w:szCs w:val="24"/>
          <w14:ligatures w14:val="standardContextual"/>
        </w:rPr>
        <w:t>pranueshmërisë</w:t>
      </w:r>
      <w:proofErr w:type="spellEnd"/>
      <w:r w:rsidRPr="00D54F8F">
        <w:rPr>
          <w:rFonts w:ascii="Garamond" w:eastAsiaTheme="minorHAnsi" w:hAnsi="Garamond"/>
          <w:color w:val="000000"/>
          <w:sz w:val="24"/>
          <w:szCs w:val="24"/>
          <w14:ligatures w14:val="standardContextual"/>
        </w:rPr>
        <w:t xml:space="preserve"> vlerësohen në bazë të përputhshmërisë me qëllimet e vendimit për financim, kapaciteteve të </w:t>
      </w:r>
      <w:proofErr w:type="spellStart"/>
      <w:r w:rsidRPr="00D54F8F">
        <w:rPr>
          <w:rFonts w:ascii="Garamond" w:eastAsiaTheme="minorHAnsi" w:hAnsi="Garamond"/>
          <w:color w:val="000000"/>
          <w:sz w:val="24"/>
          <w:szCs w:val="24"/>
          <w14:ligatures w14:val="standardContextual"/>
        </w:rPr>
        <w:t>aplikuesit</w:t>
      </w:r>
      <w:proofErr w:type="spellEnd"/>
      <w:r w:rsidRPr="00D54F8F">
        <w:rPr>
          <w:rFonts w:ascii="Garamond" w:eastAsiaTheme="minorHAnsi" w:hAnsi="Garamond"/>
          <w:color w:val="000000"/>
          <w:sz w:val="24"/>
          <w:szCs w:val="24"/>
          <w14:ligatures w14:val="standardContextual"/>
        </w:rPr>
        <w:t xml:space="preserve">, efektivitetit të aktiviteteve të propozuara, rezultateve të matshme dhe </w:t>
      </w:r>
      <w:proofErr w:type="spellStart"/>
      <w:r w:rsidRPr="00D54F8F">
        <w:rPr>
          <w:rFonts w:ascii="Garamond" w:eastAsiaTheme="minorHAnsi" w:hAnsi="Garamond"/>
          <w:color w:val="000000"/>
          <w:sz w:val="24"/>
          <w:szCs w:val="24"/>
          <w14:ligatures w14:val="standardContextual"/>
        </w:rPr>
        <w:t>arsyeshmërisë</w:t>
      </w:r>
      <w:proofErr w:type="spellEnd"/>
      <w:r w:rsidRPr="00D54F8F">
        <w:rPr>
          <w:rFonts w:ascii="Garamond" w:eastAsiaTheme="minorHAnsi" w:hAnsi="Garamond"/>
          <w:color w:val="000000"/>
          <w:sz w:val="24"/>
          <w:szCs w:val="24"/>
          <w14:ligatures w14:val="standardContextual"/>
        </w:rPr>
        <w:t xml:space="preserve"> së kostove të propozuara.</w:t>
      </w:r>
    </w:p>
    <w:p w14:paraId="1E010BEA" w14:textId="35E9616F"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2. Për vlerësimin e </w:t>
      </w:r>
      <w:proofErr w:type="spellStart"/>
      <w:r w:rsidRPr="00D54F8F">
        <w:rPr>
          <w:rFonts w:ascii="Garamond" w:eastAsiaTheme="minorHAnsi" w:hAnsi="Garamond"/>
          <w:color w:val="000000"/>
          <w:sz w:val="24"/>
          <w:szCs w:val="24"/>
          <w14:ligatures w14:val="standardContextual"/>
        </w:rPr>
        <w:t>projektpropozimeve</w:t>
      </w:r>
      <w:proofErr w:type="spellEnd"/>
      <w:r w:rsidRPr="00D54F8F">
        <w:rPr>
          <w:rFonts w:ascii="Garamond" w:eastAsiaTheme="minorHAnsi" w:hAnsi="Garamond"/>
          <w:color w:val="000000"/>
          <w:sz w:val="24"/>
          <w:szCs w:val="24"/>
          <w14:ligatures w14:val="standardContextual"/>
        </w:rPr>
        <w:t xml:space="preserve"> merren parasysh kriteret e përcaktuara, si më poshtë vijon:</w:t>
      </w:r>
    </w:p>
    <w:p w14:paraId="2932C6A2" w14:textId="554BA588"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a) Ndikimi në komunitet dhe në grupe të cenueshme, i dokumentuar nëpërmjet përshkrimit të aktiviteteve dhe përfitimeve të pritshme për këto grupe (p.sh.</w:t>
      </w:r>
      <w:r w:rsidR="00327510">
        <w:rPr>
          <w:rFonts w:ascii="Garamond" w:eastAsiaTheme="minorHAnsi" w:hAnsi="Garamond"/>
          <w:color w:val="000000"/>
          <w:sz w:val="24"/>
          <w:szCs w:val="24"/>
          <w14:ligatures w14:val="standardContextual"/>
        </w:rPr>
        <w:t>:</w:t>
      </w:r>
      <w:r w:rsidRPr="00D54F8F">
        <w:rPr>
          <w:rFonts w:ascii="Garamond" w:eastAsiaTheme="minorHAnsi" w:hAnsi="Garamond"/>
          <w:color w:val="000000"/>
          <w:sz w:val="24"/>
          <w:szCs w:val="24"/>
          <w14:ligatures w14:val="standardContextual"/>
        </w:rPr>
        <w:t xml:space="preserve"> fëmijë, të moshuar, persona me aftësi të kufizuara, të papunë, shtresa të </w:t>
      </w:r>
      <w:proofErr w:type="spellStart"/>
      <w:r w:rsidRPr="00D54F8F">
        <w:rPr>
          <w:rFonts w:ascii="Garamond" w:eastAsiaTheme="minorHAnsi" w:hAnsi="Garamond"/>
          <w:color w:val="000000"/>
          <w:sz w:val="24"/>
          <w:szCs w:val="24"/>
          <w14:ligatures w14:val="standardContextual"/>
        </w:rPr>
        <w:t>margjinalizuara</w:t>
      </w:r>
      <w:proofErr w:type="spellEnd"/>
      <w:r w:rsidRPr="00D54F8F">
        <w:rPr>
          <w:rFonts w:ascii="Garamond" w:eastAsiaTheme="minorHAnsi" w:hAnsi="Garamond"/>
          <w:color w:val="000000"/>
          <w:sz w:val="24"/>
          <w:szCs w:val="24"/>
          <w14:ligatures w14:val="standardContextual"/>
        </w:rPr>
        <w:t>);</w:t>
      </w:r>
    </w:p>
    <w:p w14:paraId="1BFAF84A" w14:textId="77777777"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b) Karakteri </w:t>
      </w:r>
      <w:proofErr w:type="spellStart"/>
      <w:r w:rsidRPr="00D54F8F">
        <w:rPr>
          <w:rFonts w:ascii="Garamond" w:eastAsiaTheme="minorHAnsi" w:hAnsi="Garamond"/>
          <w:color w:val="000000"/>
          <w:sz w:val="24"/>
          <w:szCs w:val="24"/>
          <w14:ligatures w14:val="standardContextual"/>
        </w:rPr>
        <w:t>jokomercial</w:t>
      </w:r>
      <w:proofErr w:type="spellEnd"/>
      <w:r w:rsidRPr="00D54F8F">
        <w:rPr>
          <w:rFonts w:ascii="Garamond" w:eastAsiaTheme="minorHAnsi" w:hAnsi="Garamond"/>
          <w:color w:val="000000"/>
          <w:sz w:val="24"/>
          <w:szCs w:val="24"/>
          <w14:ligatures w14:val="standardContextual"/>
        </w:rPr>
        <w:t xml:space="preserve"> i projektit, i dokumentuar me qëllimet dhe planin financiar;</w:t>
      </w:r>
    </w:p>
    <w:p w14:paraId="0613F4A5" w14:textId="77777777"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c) Rezultatet e pritshme dhe ndikimi i matshëm, të treguar me indikatorë dhe tregues të arritjeve;</w:t>
      </w:r>
    </w:p>
    <w:p w14:paraId="469D158A" w14:textId="3418AE23"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ç)</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Përputhshmëria me dokumentet strategjike lokale e kombëtare, në përputhje me prioritetet dhe qëllimet e përcaktuara në to;</w:t>
      </w:r>
    </w:p>
    <w:p w14:paraId="1350206F" w14:textId="12D0871D"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d)</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 xml:space="preserve">Kapacitetet e stafit për zbatimin e projektit, të verifikuara me </w:t>
      </w:r>
      <w:r w:rsidR="00327510" w:rsidRPr="00D54F8F">
        <w:rPr>
          <w:rFonts w:ascii="Garamond" w:eastAsiaTheme="minorHAnsi" w:hAnsi="Garamond"/>
          <w:i/>
          <w:iCs/>
          <w:color w:val="000000"/>
          <w:sz w:val="24"/>
          <w:szCs w:val="24"/>
          <w14:ligatures w14:val="standardContextual"/>
        </w:rPr>
        <w:t>CV</w:t>
      </w:r>
      <w:r w:rsidRPr="00D54F8F">
        <w:rPr>
          <w:rFonts w:ascii="Garamond" w:eastAsiaTheme="minorHAnsi" w:hAnsi="Garamond"/>
          <w:color w:val="000000"/>
          <w:sz w:val="24"/>
          <w:szCs w:val="24"/>
          <w14:ligatures w14:val="standardContextual"/>
        </w:rPr>
        <w:t>, duke përfshirë përvojën dhe njohuritë e nevojshme për realizimin e aktiviteteve të propozuara;</w:t>
      </w:r>
    </w:p>
    <w:p w14:paraId="03F8F8E0" w14:textId="6BB07125"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dh)</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Bashkëpunimi me organizata ose institucione të tjera, të dokumentuar me marrëveshje bashkëpunimi ose referenca;</w:t>
      </w:r>
    </w:p>
    <w:p w14:paraId="017065D9" w14:textId="509C6DB8"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e)</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Inovacioni dhe qasja krijuese ose zgjidhje konkrete, që projekti propozon;</w:t>
      </w:r>
    </w:p>
    <w:p w14:paraId="4FFFD959" w14:textId="16C0B2DD"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ë)</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 xml:space="preserve">Efikasiteti financiar dhe </w:t>
      </w:r>
      <w:proofErr w:type="spellStart"/>
      <w:r w:rsidRPr="00D54F8F">
        <w:rPr>
          <w:rFonts w:ascii="Garamond" w:eastAsiaTheme="minorHAnsi" w:hAnsi="Garamond"/>
          <w:color w:val="000000"/>
          <w:sz w:val="24"/>
          <w:szCs w:val="24"/>
          <w14:ligatures w14:val="standardContextual"/>
        </w:rPr>
        <w:t>arsyeshmëria</w:t>
      </w:r>
      <w:proofErr w:type="spellEnd"/>
      <w:r w:rsidRPr="00D54F8F">
        <w:rPr>
          <w:rFonts w:ascii="Garamond" w:eastAsiaTheme="minorHAnsi" w:hAnsi="Garamond"/>
          <w:color w:val="000000"/>
          <w:sz w:val="24"/>
          <w:szCs w:val="24"/>
          <w14:ligatures w14:val="standardContextual"/>
        </w:rPr>
        <w:t xml:space="preserve"> e kostove, të dokumentuara me buxhet të detajuar;</w:t>
      </w:r>
    </w:p>
    <w:p w14:paraId="254208EC" w14:textId="3A1150E7"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f)</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Qëndrueshmëria e rezultateve pas përfundimit të projektit, e dokumentuar me plan veprimi;</w:t>
      </w:r>
    </w:p>
    <w:p w14:paraId="715CFFA7" w14:textId="77777777"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g) Përfshirja e grupeve të cenueshme, promovimi i barazisë gjinore dhe </w:t>
      </w:r>
      <w:proofErr w:type="spellStart"/>
      <w:r w:rsidRPr="00D54F8F">
        <w:rPr>
          <w:rFonts w:ascii="Garamond" w:eastAsiaTheme="minorHAnsi" w:hAnsi="Garamond"/>
          <w:color w:val="000000"/>
          <w:sz w:val="24"/>
          <w:szCs w:val="24"/>
          <w14:ligatures w14:val="standardContextual"/>
        </w:rPr>
        <w:t>diversitetit</w:t>
      </w:r>
      <w:proofErr w:type="spellEnd"/>
      <w:r w:rsidRPr="00D54F8F">
        <w:rPr>
          <w:rFonts w:ascii="Garamond" w:eastAsiaTheme="minorHAnsi" w:hAnsi="Garamond"/>
          <w:color w:val="000000"/>
          <w:sz w:val="24"/>
          <w:szCs w:val="24"/>
          <w14:ligatures w14:val="standardContextual"/>
        </w:rPr>
        <w:t>, të dokumentuara me aktivitetet konkrete dhe përfituesit e projektit;</w:t>
      </w:r>
    </w:p>
    <w:p w14:paraId="17C8932B" w14:textId="77777777"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gj) Përvoja dhe rezultatet e mëparshme të subjektit në projekte të ngjashme, të dokumentuara me referenca ose me raporte të mëparshme.</w:t>
      </w:r>
    </w:p>
    <w:p w14:paraId="04C2A8E0" w14:textId="77777777" w:rsidR="00A57811" w:rsidRPr="00D54F8F" w:rsidRDefault="00A57811" w:rsidP="00327510">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3. Vendimi për përzgjedhjen e projekteve bazohet në </w:t>
      </w:r>
      <w:r w:rsidRPr="00D54F8F">
        <w:rPr>
          <w:rFonts w:ascii="Garamond" w:eastAsiaTheme="minorHAnsi" w:hAnsi="Garamond"/>
          <w:bCs/>
          <w:color w:val="000000"/>
          <w:sz w:val="24"/>
          <w:szCs w:val="24"/>
          <w14:ligatures w14:val="standardContextual"/>
        </w:rPr>
        <w:t>përputhshmërinë e vlerësimeve me kriteret e mësipërme</w:t>
      </w:r>
      <w:r w:rsidRPr="00D54F8F">
        <w:rPr>
          <w:rFonts w:ascii="Garamond" w:eastAsiaTheme="minorHAnsi" w:hAnsi="Garamond"/>
          <w:color w:val="000000"/>
          <w:sz w:val="24"/>
          <w:szCs w:val="24"/>
          <w14:ligatures w14:val="standardContextual"/>
        </w:rPr>
        <w:t>, të dokumentuara e të arsyetuara në raportin e vlerësimit, i përgatitur nga sekretariati teknik dhe i miratuar nga Këshilli.</w:t>
      </w:r>
    </w:p>
    <w:p w14:paraId="3AD53B18"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2148D785"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17</w:t>
      </w:r>
    </w:p>
    <w:p w14:paraId="0280CDF4"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Vendimmarrja dhe nënshkrimi i kontratave për financimin e projekteve</w:t>
      </w:r>
    </w:p>
    <w:p w14:paraId="2269CBCE"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4FBC6039"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1. Vendimmarrja për financimin e projekteve realizohet, si më poshtë vijon:</w:t>
      </w:r>
    </w:p>
    <w:p w14:paraId="08C45901"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a) Çdo anëtar i Këshillit shqyrton </w:t>
      </w:r>
      <w:proofErr w:type="spellStart"/>
      <w:r w:rsidRPr="00D54F8F">
        <w:rPr>
          <w:rFonts w:ascii="Garamond" w:eastAsiaTheme="minorHAnsi" w:hAnsi="Garamond"/>
          <w:color w:val="000000"/>
          <w:sz w:val="24"/>
          <w:szCs w:val="24"/>
          <w14:ligatures w14:val="standardContextual"/>
        </w:rPr>
        <w:t>projektpropozimet</w:t>
      </w:r>
      <w:proofErr w:type="spellEnd"/>
      <w:r w:rsidRPr="00D54F8F">
        <w:rPr>
          <w:rFonts w:ascii="Garamond" w:eastAsiaTheme="minorHAnsi" w:hAnsi="Garamond"/>
          <w:color w:val="000000"/>
          <w:sz w:val="24"/>
          <w:szCs w:val="24"/>
          <w14:ligatures w14:val="standardContextual"/>
        </w:rPr>
        <w:t xml:space="preserve"> dhe jep vlerësimin e tij pas një diskutimi të përbashkët;</w:t>
      </w:r>
    </w:p>
    <w:p w14:paraId="6F973D39"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b) Këshilli merr vendimin për projektet që do të financohen me shumicë votash të anëtarëve pjesëmarrës në votim, në bazë të kritereve të vlerësimit dhe raportit të vlerësimit, brenda tridhjetë (30) ditëve punë nga mbyllja e procedurës së aplikimit;</w:t>
      </w:r>
    </w:p>
    <w:p w14:paraId="1814A6F3" w14:textId="18355E15"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c) Sekretariati</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 xml:space="preserve">teknik i Këshillit njofton të gjitha institucionet </w:t>
      </w:r>
      <w:proofErr w:type="spellStart"/>
      <w:r w:rsidRPr="00D54F8F">
        <w:rPr>
          <w:rFonts w:ascii="Garamond" w:eastAsiaTheme="minorHAnsi" w:hAnsi="Garamond"/>
          <w:color w:val="000000"/>
          <w:sz w:val="24"/>
          <w:szCs w:val="24"/>
          <w14:ligatures w14:val="standardContextual"/>
        </w:rPr>
        <w:t>aplikuese</w:t>
      </w:r>
      <w:proofErr w:type="spellEnd"/>
      <w:r w:rsidRPr="00D54F8F">
        <w:rPr>
          <w:rFonts w:ascii="Garamond" w:eastAsiaTheme="minorHAnsi" w:hAnsi="Garamond"/>
          <w:color w:val="000000"/>
          <w:sz w:val="24"/>
          <w:szCs w:val="24"/>
          <w14:ligatures w14:val="standardContextual"/>
        </w:rPr>
        <w:t xml:space="preserve"> për vendimin, brenda 10 (dhjetë) ditëve punë nga marrja e vendimit;</w:t>
      </w:r>
    </w:p>
    <w:p w14:paraId="6B5579D6" w14:textId="5C54BF66"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lastRenderedPageBreak/>
        <w:t xml:space="preserve">ç) Këshilli ndërmerr dhe përmbyll procesin e negocimit me institucionet </w:t>
      </w:r>
      <w:proofErr w:type="spellStart"/>
      <w:r w:rsidRPr="00D54F8F">
        <w:rPr>
          <w:rFonts w:ascii="Garamond" w:eastAsiaTheme="minorHAnsi" w:hAnsi="Garamond"/>
          <w:color w:val="000000"/>
          <w:sz w:val="24"/>
          <w:szCs w:val="24"/>
          <w14:ligatures w14:val="standardContextual"/>
        </w:rPr>
        <w:t>aplikuese</w:t>
      </w:r>
      <w:proofErr w:type="spellEnd"/>
      <w:r w:rsidRPr="00D54F8F">
        <w:rPr>
          <w:rFonts w:ascii="Garamond" w:eastAsiaTheme="minorHAnsi" w:hAnsi="Garamond"/>
          <w:color w:val="000000"/>
          <w:sz w:val="24"/>
          <w:szCs w:val="24"/>
          <w14:ligatures w14:val="standardContextual"/>
        </w:rPr>
        <w:t xml:space="preserve"> për </w:t>
      </w:r>
      <w:proofErr w:type="spellStart"/>
      <w:r w:rsidRPr="00D54F8F">
        <w:rPr>
          <w:rFonts w:ascii="Garamond" w:eastAsiaTheme="minorHAnsi" w:hAnsi="Garamond"/>
          <w:color w:val="000000"/>
          <w:sz w:val="24"/>
          <w:szCs w:val="24"/>
          <w14:ligatures w14:val="standardContextual"/>
        </w:rPr>
        <w:t>projektpropozimet</w:t>
      </w:r>
      <w:proofErr w:type="spellEnd"/>
      <w:r w:rsidRPr="00D54F8F">
        <w:rPr>
          <w:rFonts w:ascii="Garamond" w:eastAsiaTheme="minorHAnsi" w:hAnsi="Garamond"/>
          <w:color w:val="000000"/>
          <w:sz w:val="24"/>
          <w:szCs w:val="24"/>
          <w14:ligatures w14:val="standardContextual"/>
        </w:rPr>
        <w:t xml:space="preserve"> e përzgjedhura me kusht, brenda 15 (pesëmbëdhjetë) ditëve punë. Institucioni </w:t>
      </w:r>
      <w:proofErr w:type="spellStart"/>
      <w:r w:rsidRPr="00D54F8F">
        <w:rPr>
          <w:rFonts w:ascii="Garamond" w:eastAsiaTheme="minorHAnsi" w:hAnsi="Garamond"/>
          <w:color w:val="000000"/>
          <w:sz w:val="24"/>
          <w:szCs w:val="24"/>
          <w14:ligatures w14:val="standardContextual"/>
        </w:rPr>
        <w:t>aplikues</w:t>
      </w:r>
      <w:proofErr w:type="spellEnd"/>
      <w:r w:rsidRPr="00D54F8F">
        <w:rPr>
          <w:rFonts w:ascii="Garamond" w:eastAsiaTheme="minorHAnsi" w:hAnsi="Garamond"/>
          <w:color w:val="000000"/>
          <w:sz w:val="24"/>
          <w:szCs w:val="24"/>
          <w14:ligatures w14:val="standardContextual"/>
        </w:rPr>
        <w:t xml:space="preserve">, që nuk shprehet apo refuzon të rishikojë </w:t>
      </w:r>
      <w:proofErr w:type="spellStart"/>
      <w:r w:rsidRPr="00D54F8F">
        <w:rPr>
          <w:rFonts w:ascii="Garamond" w:eastAsiaTheme="minorHAnsi" w:hAnsi="Garamond"/>
          <w:color w:val="000000"/>
          <w:sz w:val="24"/>
          <w:szCs w:val="24"/>
          <w14:ligatures w14:val="standardContextual"/>
        </w:rPr>
        <w:t>projektpropozimin</w:t>
      </w:r>
      <w:proofErr w:type="spellEnd"/>
      <w:r w:rsidRPr="00D54F8F">
        <w:rPr>
          <w:rFonts w:ascii="Garamond" w:eastAsiaTheme="minorHAnsi" w:hAnsi="Garamond"/>
          <w:color w:val="000000"/>
          <w:sz w:val="24"/>
          <w:szCs w:val="24"/>
          <w14:ligatures w14:val="standardContextual"/>
        </w:rPr>
        <w:t xml:space="preserve"> e përzgjedhur me kusht, brenda këtij afati, </w:t>
      </w:r>
      <w:proofErr w:type="spellStart"/>
      <w:r w:rsidRPr="00D54F8F">
        <w:rPr>
          <w:rFonts w:ascii="Garamond" w:eastAsiaTheme="minorHAnsi" w:hAnsi="Garamond"/>
          <w:color w:val="000000"/>
          <w:sz w:val="24"/>
          <w:szCs w:val="24"/>
          <w14:ligatures w14:val="standardContextual"/>
        </w:rPr>
        <w:t>skualifikohet</w:t>
      </w:r>
      <w:proofErr w:type="spellEnd"/>
      <w:r w:rsidRPr="00D54F8F">
        <w:rPr>
          <w:rFonts w:ascii="Garamond" w:eastAsiaTheme="minorHAnsi" w:hAnsi="Garamond"/>
          <w:color w:val="000000"/>
          <w:sz w:val="24"/>
          <w:szCs w:val="24"/>
          <w14:ligatures w14:val="standardContextual"/>
        </w:rPr>
        <w:t xml:space="preserve"> dhe humb të drejtën e mbështetjes financiare për </w:t>
      </w:r>
      <w:proofErr w:type="spellStart"/>
      <w:r w:rsidRPr="00D54F8F">
        <w:rPr>
          <w:rFonts w:ascii="Garamond" w:eastAsiaTheme="minorHAnsi" w:hAnsi="Garamond"/>
          <w:color w:val="000000"/>
          <w:sz w:val="24"/>
          <w:szCs w:val="24"/>
          <w14:ligatures w14:val="standardContextual"/>
        </w:rPr>
        <w:t>projektpropozimin</w:t>
      </w:r>
      <w:proofErr w:type="spellEnd"/>
      <w:r w:rsidRPr="00D54F8F">
        <w:rPr>
          <w:rFonts w:ascii="Garamond" w:eastAsiaTheme="minorHAnsi" w:hAnsi="Garamond"/>
          <w:color w:val="000000"/>
          <w:sz w:val="24"/>
          <w:szCs w:val="24"/>
          <w14:ligatures w14:val="standardContextual"/>
        </w:rPr>
        <w:t>.</w:t>
      </w:r>
    </w:p>
    <w:p w14:paraId="49300479" w14:textId="456369A0"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2. Çdo subjekt përfitues nënshkruan kontratë me drejtorin e </w:t>
      </w:r>
      <w:r w:rsidR="00327510" w:rsidRPr="00D54F8F">
        <w:rPr>
          <w:rFonts w:ascii="Garamond" w:eastAsiaTheme="minorHAnsi" w:hAnsi="Garamond"/>
          <w:color w:val="000000"/>
          <w:sz w:val="24"/>
          <w:szCs w:val="24"/>
          <w14:ligatures w14:val="standardContextual"/>
        </w:rPr>
        <w:t xml:space="preserve">përgjithshëm </w:t>
      </w:r>
      <w:r w:rsidRPr="00D54F8F">
        <w:rPr>
          <w:rFonts w:ascii="Garamond" w:eastAsiaTheme="minorHAnsi" w:hAnsi="Garamond"/>
          <w:color w:val="000000"/>
          <w:sz w:val="24"/>
          <w:szCs w:val="24"/>
          <w14:ligatures w14:val="standardContextual"/>
        </w:rPr>
        <w:t xml:space="preserve">të Autoritetit të Mbikëqyrjes së Lojërave të Fatit, brenda 30 (tridhjetë) ditëve punë nga përfundimi i vlerësimit të </w:t>
      </w:r>
      <w:proofErr w:type="spellStart"/>
      <w:r w:rsidRPr="00D54F8F">
        <w:rPr>
          <w:rFonts w:ascii="Garamond" w:eastAsiaTheme="minorHAnsi" w:hAnsi="Garamond"/>
          <w:color w:val="000000"/>
          <w:sz w:val="24"/>
          <w:szCs w:val="24"/>
          <w14:ligatures w14:val="standardContextual"/>
        </w:rPr>
        <w:t>projektpropozimeve</w:t>
      </w:r>
      <w:proofErr w:type="spellEnd"/>
      <w:r w:rsidRPr="00D54F8F">
        <w:rPr>
          <w:rFonts w:ascii="Garamond" w:eastAsiaTheme="minorHAnsi" w:hAnsi="Garamond"/>
          <w:color w:val="000000"/>
          <w:sz w:val="24"/>
          <w:szCs w:val="24"/>
          <w14:ligatures w14:val="standardContextual"/>
        </w:rPr>
        <w:t>.</w:t>
      </w:r>
    </w:p>
    <w:p w14:paraId="52286801"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3. Në kontratë përcaktohen kushtet e përgjithshme dhe të veçanta, përfshirë fondet e miratuara dhe aktivitetet që do të realizohen.</w:t>
      </w:r>
    </w:p>
    <w:p w14:paraId="732AC43A"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4. Projektet fituese, vlera e fondeve dhe mënyra e shpërndarjes së tyre njoftohen nga sekretariati teknik i Këshillit dhe bëhen publike në faqen zyrtare të Autoritetit të Mbikëqyrjes së Lojërave të Fatit.</w:t>
      </w:r>
    </w:p>
    <w:p w14:paraId="4AB6EB6B"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66723592"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18</w:t>
      </w:r>
    </w:p>
    <w:p w14:paraId="27095B4C" w14:textId="77777777" w:rsidR="00327510"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 xml:space="preserve">Shpërndarja e fondeve dhe përgjegjësitë për </w:t>
      </w:r>
    </w:p>
    <w:p w14:paraId="467E09BD" w14:textId="11D80375"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roofErr w:type="spellStart"/>
      <w:r w:rsidRPr="00D54F8F">
        <w:rPr>
          <w:rFonts w:ascii="Garamond" w:eastAsiaTheme="minorHAnsi" w:hAnsi="Garamond"/>
          <w:b/>
          <w:bCs/>
          <w:color w:val="000000"/>
          <w:sz w:val="24"/>
          <w:szCs w:val="24"/>
          <w14:ligatures w14:val="standardContextual"/>
        </w:rPr>
        <w:t>mospërmbushjen</w:t>
      </w:r>
      <w:proofErr w:type="spellEnd"/>
      <w:r w:rsidRPr="00D54F8F">
        <w:rPr>
          <w:rFonts w:ascii="Garamond" w:eastAsiaTheme="minorHAnsi" w:hAnsi="Garamond"/>
          <w:b/>
          <w:bCs/>
          <w:color w:val="000000"/>
          <w:sz w:val="24"/>
          <w:szCs w:val="24"/>
          <w14:ligatures w14:val="standardContextual"/>
        </w:rPr>
        <w:t xml:space="preserve"> e zbatimit të projekteve</w:t>
      </w:r>
    </w:p>
    <w:p w14:paraId="6C48807C"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3475F34F" w14:textId="77777777" w:rsidR="00A57811" w:rsidRPr="00D54F8F" w:rsidRDefault="00A57811" w:rsidP="00A57811">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1. Fondet për projektet fituese shpërndahen në këto faza:</w:t>
      </w:r>
    </w:p>
    <w:p w14:paraId="2C03E4A8"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a) 20% e shumës së miratuar jepet fillimisht pas miratimit të </w:t>
      </w:r>
      <w:proofErr w:type="spellStart"/>
      <w:r w:rsidRPr="00D54F8F">
        <w:rPr>
          <w:rFonts w:ascii="Garamond" w:eastAsiaTheme="minorHAnsi" w:hAnsi="Garamond"/>
          <w:color w:val="000000"/>
          <w:sz w:val="24"/>
          <w:szCs w:val="24"/>
          <w14:ligatures w14:val="standardContextual"/>
        </w:rPr>
        <w:t>projektpropozimit</w:t>
      </w:r>
      <w:proofErr w:type="spellEnd"/>
      <w:r w:rsidRPr="00D54F8F">
        <w:rPr>
          <w:rFonts w:ascii="Garamond" w:eastAsiaTheme="minorHAnsi" w:hAnsi="Garamond"/>
          <w:color w:val="000000"/>
          <w:sz w:val="24"/>
          <w:szCs w:val="24"/>
          <w14:ligatures w14:val="standardContextual"/>
        </w:rPr>
        <w:t>;</w:t>
      </w:r>
    </w:p>
    <w:p w14:paraId="2C67DB65"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b) 50% jepet pas dorëzimit dhe miratimit të raportit të monitorimit të performancës së projektit;</w:t>
      </w:r>
    </w:p>
    <w:p w14:paraId="27588DC8" w14:textId="03F16CA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c) 30% </w:t>
      </w:r>
      <w:r w:rsidR="00327510">
        <w:rPr>
          <w:rFonts w:ascii="Garamond" w:eastAsiaTheme="minorHAnsi" w:hAnsi="Garamond"/>
          <w:color w:val="000000"/>
          <w:sz w:val="24"/>
          <w:szCs w:val="24"/>
          <w14:ligatures w14:val="standardContextual"/>
        </w:rPr>
        <w:t>i</w:t>
      </w:r>
      <w:r w:rsidRPr="00D54F8F">
        <w:rPr>
          <w:rFonts w:ascii="Garamond" w:eastAsiaTheme="minorHAnsi" w:hAnsi="Garamond"/>
          <w:color w:val="000000"/>
          <w:sz w:val="24"/>
          <w:szCs w:val="24"/>
          <w14:ligatures w14:val="standardContextual"/>
        </w:rPr>
        <w:t xml:space="preserve"> fundit </w:t>
      </w:r>
      <w:r w:rsidR="00327510">
        <w:rPr>
          <w:rFonts w:ascii="Garamond" w:eastAsiaTheme="minorHAnsi" w:hAnsi="Garamond"/>
          <w:color w:val="000000"/>
          <w:sz w:val="24"/>
          <w:szCs w:val="24"/>
          <w14:ligatures w14:val="standardContextual"/>
        </w:rPr>
        <w:t>i</w:t>
      </w:r>
      <w:r w:rsidRPr="00D54F8F">
        <w:rPr>
          <w:rFonts w:ascii="Garamond" w:eastAsiaTheme="minorHAnsi" w:hAnsi="Garamond"/>
          <w:color w:val="000000"/>
          <w:sz w:val="24"/>
          <w:szCs w:val="24"/>
          <w14:ligatures w14:val="standardContextual"/>
        </w:rPr>
        <w:t xml:space="preserve"> fondeve jepet pas miratimit të raportit final të projektit.</w:t>
      </w:r>
    </w:p>
    <w:p w14:paraId="0B43EE34" w14:textId="77777777" w:rsidR="00A57811" w:rsidRPr="00D54F8F" w:rsidRDefault="00A57811" w:rsidP="00A57811">
      <w:pPr>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2. Çdo pagesë, referuar pikës 1, të këtij neni, kryhet me vendim të Këshillit.</w:t>
      </w:r>
    </w:p>
    <w:p w14:paraId="4815EB60"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3. Në rast të </w:t>
      </w:r>
      <w:proofErr w:type="spellStart"/>
      <w:r w:rsidRPr="00D54F8F">
        <w:rPr>
          <w:rFonts w:ascii="Garamond" w:eastAsiaTheme="minorHAnsi" w:hAnsi="Garamond"/>
          <w:color w:val="000000"/>
          <w:sz w:val="24"/>
          <w:szCs w:val="24"/>
          <w14:ligatures w14:val="standardContextual"/>
        </w:rPr>
        <w:t>mospërmbushjes</w:t>
      </w:r>
      <w:proofErr w:type="spellEnd"/>
      <w:r w:rsidRPr="00D54F8F">
        <w:rPr>
          <w:rFonts w:ascii="Garamond" w:eastAsiaTheme="minorHAnsi" w:hAnsi="Garamond"/>
          <w:color w:val="000000"/>
          <w:sz w:val="24"/>
          <w:szCs w:val="24"/>
          <w14:ligatures w14:val="standardContextual"/>
        </w:rPr>
        <w:t xml:space="preserve"> së aktiviteteve të projektit dhe/ose detyrimeve </w:t>
      </w:r>
      <w:proofErr w:type="spellStart"/>
      <w:r w:rsidRPr="00D54F8F">
        <w:rPr>
          <w:rFonts w:ascii="Garamond" w:eastAsiaTheme="minorHAnsi" w:hAnsi="Garamond"/>
          <w:color w:val="000000"/>
          <w:sz w:val="24"/>
          <w:szCs w:val="24"/>
          <w14:ligatures w14:val="standardContextual"/>
        </w:rPr>
        <w:t>kontraktuale</w:t>
      </w:r>
      <w:proofErr w:type="spellEnd"/>
      <w:r w:rsidRPr="00D54F8F">
        <w:rPr>
          <w:rFonts w:ascii="Garamond" w:eastAsiaTheme="minorHAnsi" w:hAnsi="Garamond"/>
          <w:color w:val="000000"/>
          <w:sz w:val="24"/>
          <w:szCs w:val="24"/>
          <w14:ligatures w14:val="standardContextual"/>
        </w:rPr>
        <w:t>, pjesa përkatëse e financimit të akorduar kthehet nga subjekti përfitues në llogarinë e fondit të posaçëm.</w:t>
      </w:r>
    </w:p>
    <w:p w14:paraId="0BF39B58"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1B9B2DCD" w14:textId="77777777" w:rsidR="00A57811" w:rsidRPr="00327510"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327510">
        <w:rPr>
          <w:rFonts w:ascii="Garamond" w:eastAsiaTheme="minorHAnsi" w:hAnsi="Garamond"/>
          <w:color w:val="000000"/>
          <w:sz w:val="24"/>
          <w:szCs w:val="24"/>
          <w14:ligatures w14:val="standardContextual"/>
        </w:rPr>
        <w:t>KREU IV</w:t>
      </w:r>
    </w:p>
    <w:p w14:paraId="2B38D91B" w14:textId="77777777" w:rsidR="00A57811" w:rsidRPr="00327510"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327510">
        <w:rPr>
          <w:rFonts w:ascii="Garamond" w:eastAsiaTheme="minorHAnsi" w:hAnsi="Garamond"/>
          <w:color w:val="000000"/>
          <w:sz w:val="24"/>
          <w:szCs w:val="24"/>
          <w14:ligatures w14:val="standardContextual"/>
        </w:rPr>
        <w:t>MONITORIMI I ZBATIMIT TË PROJEKTEVE</w:t>
      </w:r>
    </w:p>
    <w:p w14:paraId="3EEDAD29"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3F18DB41"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D54F8F">
        <w:rPr>
          <w:rFonts w:ascii="Garamond" w:eastAsiaTheme="minorHAnsi" w:hAnsi="Garamond"/>
          <w:bCs/>
          <w:color w:val="000000"/>
          <w:sz w:val="24"/>
          <w:szCs w:val="24"/>
          <w14:ligatures w14:val="standardContextual"/>
        </w:rPr>
        <w:t>Neni 19</w:t>
      </w:r>
    </w:p>
    <w:p w14:paraId="37A032E4"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Monitorimi dhe raportimi i projekteve të financuara</w:t>
      </w:r>
    </w:p>
    <w:p w14:paraId="17CD2C59"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p>
    <w:p w14:paraId="352B0BCE"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1. Subjekti fitues, palë në kontratë me Autoritetin e Mbikëqyrjes së Lojërave të Fatit, mban përgjegjësi të plotë për zbatimin e projektit dhe për raportimin para Këshillit, duke dorëzuar raportin e monitorimit të performancës së projektit, në përfundim të çdo faze financimi, por jo më vonë se çdo 6 (gjashtë) muaj.</w:t>
      </w:r>
    </w:p>
    <w:p w14:paraId="4F709D86" w14:textId="533BCD2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2. Monitorimi i zbatimit të projektit kryhet nga Njësia e Zbatimit të Projektit, e cila ngrihet me vendim të Këshillit për çdo projekt të financuar, ku</w:t>
      </w:r>
      <w:r w:rsidR="00865FA5">
        <w:rPr>
          <w:rFonts w:ascii="Garamond" w:eastAsiaTheme="minorHAnsi" w:hAnsi="Garamond"/>
          <w:color w:val="000000"/>
          <w:sz w:val="24"/>
          <w:szCs w:val="24"/>
          <w14:ligatures w14:val="standardContextual"/>
        </w:rPr>
        <w:t xml:space="preserve"> </w:t>
      </w:r>
      <w:r w:rsidRPr="00D54F8F">
        <w:rPr>
          <w:rFonts w:ascii="Garamond" w:eastAsiaTheme="minorHAnsi" w:hAnsi="Garamond"/>
          <w:color w:val="000000"/>
          <w:sz w:val="24"/>
          <w:szCs w:val="24"/>
          <w14:ligatures w14:val="standardContextual"/>
        </w:rPr>
        <w:t>përcaktohen detyrat, përgjegjësitë dhe përbërja e njësisë.</w:t>
      </w:r>
    </w:p>
    <w:p w14:paraId="2E5806A8" w14:textId="5FE1FDEF"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3. Njësia e Zbatimit të Projektit përbëhet nga përfaqësues</w:t>
      </w:r>
      <w:r w:rsidR="00327510">
        <w:rPr>
          <w:rFonts w:ascii="Garamond" w:eastAsiaTheme="minorHAnsi" w:hAnsi="Garamond"/>
          <w:color w:val="000000"/>
          <w:sz w:val="24"/>
          <w:szCs w:val="24"/>
          <w14:ligatures w14:val="standardContextual"/>
        </w:rPr>
        <w:t>,</w:t>
      </w:r>
      <w:r w:rsidRPr="00D54F8F">
        <w:rPr>
          <w:rFonts w:ascii="Garamond" w:eastAsiaTheme="minorHAnsi" w:hAnsi="Garamond"/>
          <w:color w:val="000000"/>
          <w:sz w:val="24"/>
          <w:szCs w:val="24"/>
          <w14:ligatures w14:val="standardContextual"/>
        </w:rPr>
        <w:t xml:space="preserve"> të:</w:t>
      </w:r>
    </w:p>
    <w:p w14:paraId="020420DE"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a) institucionit përfitues të financimit;</w:t>
      </w:r>
    </w:p>
    <w:p w14:paraId="736DA336"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b) subjektit zbatues të kontratës;</w:t>
      </w:r>
    </w:p>
    <w:p w14:paraId="501B4229"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c) Autoritetit të Mbikëqyrjes së Lojërave të Fatit.</w:t>
      </w:r>
    </w:p>
    <w:p w14:paraId="40C5ECE5"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4. Përfaqësuesit caktohen nga titullari i secilit institucion/subjekt përkatës, si më poshtë vijon:</w:t>
      </w:r>
    </w:p>
    <w:p w14:paraId="041DEA68" w14:textId="52518426"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a) </w:t>
      </w:r>
      <w:r w:rsidR="00327510" w:rsidRPr="00D54F8F">
        <w:rPr>
          <w:rFonts w:ascii="Garamond" w:eastAsiaTheme="minorHAnsi" w:hAnsi="Garamond"/>
          <w:color w:val="000000"/>
          <w:sz w:val="24"/>
          <w:szCs w:val="24"/>
          <w14:ligatures w14:val="standardContextual"/>
        </w:rPr>
        <w:t xml:space="preserve">përfaqësues </w:t>
      </w:r>
      <w:r w:rsidRPr="00D54F8F">
        <w:rPr>
          <w:rFonts w:ascii="Garamond" w:eastAsiaTheme="minorHAnsi" w:hAnsi="Garamond"/>
          <w:color w:val="000000"/>
          <w:sz w:val="24"/>
          <w:szCs w:val="24"/>
          <w14:ligatures w14:val="standardContextual"/>
        </w:rPr>
        <w:t>të nivelit drejtues;</w:t>
      </w:r>
    </w:p>
    <w:p w14:paraId="0AB649C3" w14:textId="1ED66794"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b) </w:t>
      </w:r>
      <w:r w:rsidR="00327510" w:rsidRPr="00D54F8F">
        <w:rPr>
          <w:rFonts w:ascii="Garamond" w:eastAsiaTheme="minorHAnsi" w:hAnsi="Garamond"/>
          <w:color w:val="000000"/>
          <w:sz w:val="24"/>
          <w:szCs w:val="24"/>
          <w14:ligatures w14:val="standardContextual"/>
        </w:rPr>
        <w:t xml:space="preserve">përfaqësues </w:t>
      </w:r>
      <w:r w:rsidRPr="00D54F8F">
        <w:rPr>
          <w:rFonts w:ascii="Garamond" w:eastAsiaTheme="minorHAnsi" w:hAnsi="Garamond"/>
          <w:color w:val="000000"/>
          <w:sz w:val="24"/>
          <w:szCs w:val="24"/>
          <w14:ligatures w14:val="standardContextual"/>
        </w:rPr>
        <w:t>nga struktura përgjegjëse për çështjet juridike;</w:t>
      </w:r>
    </w:p>
    <w:p w14:paraId="0E38773D" w14:textId="50926CF1"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 xml:space="preserve">c) </w:t>
      </w:r>
      <w:r w:rsidR="00327510" w:rsidRPr="00D54F8F">
        <w:rPr>
          <w:rFonts w:ascii="Garamond" w:eastAsiaTheme="minorHAnsi" w:hAnsi="Garamond"/>
          <w:color w:val="000000"/>
          <w:sz w:val="24"/>
          <w:szCs w:val="24"/>
          <w14:ligatures w14:val="standardContextual"/>
        </w:rPr>
        <w:t xml:space="preserve">përfaqësues </w:t>
      </w:r>
      <w:r w:rsidRPr="00D54F8F">
        <w:rPr>
          <w:rFonts w:ascii="Garamond" w:eastAsiaTheme="minorHAnsi" w:hAnsi="Garamond"/>
          <w:color w:val="000000"/>
          <w:sz w:val="24"/>
          <w:szCs w:val="24"/>
          <w14:ligatures w14:val="standardContextual"/>
        </w:rPr>
        <w:t>nga struktura përgjegjëse për çështjet financiare.</w:t>
      </w:r>
    </w:p>
    <w:p w14:paraId="274317E2"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D54F8F">
        <w:rPr>
          <w:rFonts w:ascii="Garamond" w:eastAsiaTheme="minorHAnsi" w:hAnsi="Garamond"/>
          <w:color w:val="000000"/>
          <w:sz w:val="24"/>
          <w:szCs w:val="24"/>
          <w14:ligatures w14:val="standardContextual"/>
        </w:rPr>
        <w:t>5. Raporti i monitorimit hartohet nga Njësia e Zbatimit të Projektit mbi baza periodike dhe i përcillet Këshillit për vlerësim të ecurisë së zbatimit dhe performancës së projektit.</w:t>
      </w:r>
    </w:p>
    <w:p w14:paraId="53F7FFD5"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6C1E7A33" w14:textId="77777777" w:rsidR="00A57811" w:rsidRPr="00327510"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327510">
        <w:rPr>
          <w:rFonts w:ascii="Garamond" w:eastAsiaTheme="minorHAnsi" w:hAnsi="Garamond"/>
          <w:color w:val="000000"/>
          <w:sz w:val="24"/>
          <w:szCs w:val="24"/>
          <w14:ligatures w14:val="standardContextual"/>
        </w:rPr>
        <w:t>KREU V</w:t>
      </w:r>
    </w:p>
    <w:p w14:paraId="6842DEFA" w14:textId="77777777" w:rsidR="00A57811" w:rsidRPr="00327510" w:rsidRDefault="00A57811" w:rsidP="00A57811">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327510">
        <w:rPr>
          <w:rFonts w:ascii="Garamond" w:eastAsiaTheme="minorHAnsi" w:hAnsi="Garamond"/>
          <w:color w:val="000000"/>
          <w:sz w:val="24"/>
          <w:szCs w:val="24"/>
          <w14:ligatures w14:val="standardContextual"/>
        </w:rPr>
        <w:t>DISPOZITA TË FUNDIT</w:t>
      </w:r>
    </w:p>
    <w:p w14:paraId="6870FEC0" w14:textId="77777777" w:rsidR="00A57811" w:rsidRPr="00327510" w:rsidRDefault="00A57811" w:rsidP="00A57811">
      <w:pPr>
        <w:autoSpaceDE w:val="0"/>
        <w:autoSpaceDN w:val="0"/>
        <w:adjustRightInd w:val="0"/>
        <w:spacing w:after="0" w:line="240" w:lineRule="auto"/>
        <w:ind w:firstLine="284"/>
        <w:jc w:val="center"/>
        <w:rPr>
          <w:rFonts w:ascii="Garamond" w:eastAsiaTheme="minorHAnsi" w:hAnsi="Garamond"/>
          <w:sz w:val="24"/>
          <w:szCs w:val="24"/>
          <w14:ligatures w14:val="standardContextual"/>
        </w:rPr>
      </w:pPr>
    </w:p>
    <w:p w14:paraId="51E9F519"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Cs/>
          <w:color w:val="000000"/>
          <w:sz w:val="24"/>
          <w:szCs w:val="24"/>
          <w14:ligatures w14:val="standardContextual"/>
        </w:rPr>
      </w:pPr>
      <w:r w:rsidRPr="00D54F8F">
        <w:rPr>
          <w:rFonts w:ascii="Garamond" w:eastAsiaTheme="minorHAnsi" w:hAnsi="Garamond"/>
          <w:bCs/>
          <w:color w:val="000000"/>
          <w:sz w:val="24"/>
          <w:szCs w:val="24"/>
          <w14:ligatures w14:val="standardContextual"/>
        </w:rPr>
        <w:t>Neni 20</w:t>
      </w:r>
    </w:p>
    <w:p w14:paraId="176CA8C2"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sz w:val="24"/>
          <w:szCs w:val="24"/>
          <w14:ligatures w14:val="standardContextual"/>
        </w:rPr>
      </w:pPr>
      <w:r w:rsidRPr="00D54F8F">
        <w:rPr>
          <w:rFonts w:ascii="Garamond" w:eastAsiaTheme="minorHAnsi" w:hAnsi="Garamond"/>
          <w:b/>
          <w:bCs/>
          <w:color w:val="000000"/>
          <w:sz w:val="24"/>
          <w:szCs w:val="24"/>
          <w14:ligatures w14:val="standardContextual"/>
        </w:rPr>
        <w:lastRenderedPageBreak/>
        <w:t>Zbatimi</w:t>
      </w:r>
    </w:p>
    <w:p w14:paraId="3E92EACD" w14:textId="77777777" w:rsidR="00A57811" w:rsidRPr="00D54F8F" w:rsidRDefault="00A57811" w:rsidP="00A57811">
      <w:pPr>
        <w:autoSpaceDE w:val="0"/>
        <w:autoSpaceDN w:val="0"/>
        <w:adjustRightInd w:val="0"/>
        <w:spacing w:after="0" w:line="240" w:lineRule="auto"/>
        <w:ind w:firstLine="284"/>
        <w:jc w:val="center"/>
        <w:rPr>
          <w:rFonts w:ascii="Garamond" w:eastAsiaTheme="minorHAnsi" w:hAnsi="Garamond"/>
          <w:b/>
          <w:bCs/>
          <w:sz w:val="24"/>
          <w:szCs w:val="24"/>
          <w14:ligatures w14:val="standardContextual"/>
        </w:rPr>
      </w:pPr>
    </w:p>
    <w:p w14:paraId="25468986"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Ngarkohen Ministria e Financave, Këshilli i Mbështetjes së Projekteve, Komisioni i Licencave dhe Autoriteti i Mbikëqyrjes së Lojërave të Fatit për zbatimin e këtij vendimi.</w:t>
      </w:r>
    </w:p>
    <w:p w14:paraId="1E16A55C" w14:textId="77777777" w:rsidR="00A57811" w:rsidRPr="00D54F8F" w:rsidRDefault="00A57811" w:rsidP="00A57811">
      <w:pPr>
        <w:autoSpaceDE w:val="0"/>
        <w:autoSpaceDN w:val="0"/>
        <w:adjustRightInd w:val="0"/>
        <w:spacing w:after="0" w:line="240" w:lineRule="auto"/>
        <w:ind w:firstLine="284"/>
        <w:jc w:val="both"/>
        <w:rPr>
          <w:rFonts w:ascii="Garamond" w:eastAsiaTheme="minorHAnsi" w:hAnsi="Garamond"/>
          <w:sz w:val="24"/>
          <w:szCs w:val="24"/>
          <w14:ligatures w14:val="standardContextual"/>
        </w:rPr>
      </w:pPr>
      <w:r w:rsidRPr="00D54F8F">
        <w:rPr>
          <w:rFonts w:ascii="Garamond" w:eastAsiaTheme="minorHAnsi" w:hAnsi="Garamond"/>
          <w:sz w:val="24"/>
          <w:szCs w:val="24"/>
          <w14:ligatures w14:val="standardContextual"/>
        </w:rPr>
        <w:t>Ky vendim hyn në fuqi pas botimit në Fletoren Zyrtare.</w:t>
      </w:r>
    </w:p>
    <w:p w14:paraId="65D27F6E" w14:textId="77777777" w:rsidR="00A57811" w:rsidRPr="00D54F8F" w:rsidRDefault="00A57811" w:rsidP="00A57811">
      <w:pPr>
        <w:autoSpaceDE w:val="0"/>
        <w:autoSpaceDN w:val="0"/>
        <w:adjustRightInd w:val="0"/>
        <w:spacing w:after="0" w:line="240" w:lineRule="auto"/>
        <w:ind w:firstLine="284"/>
        <w:jc w:val="right"/>
        <w:rPr>
          <w:rFonts w:ascii="Garamond" w:eastAsiaTheme="minorHAnsi" w:hAnsi="Garamond"/>
          <w:sz w:val="24"/>
          <w:szCs w:val="24"/>
          <w14:ligatures w14:val="standardContextual"/>
        </w:rPr>
      </w:pPr>
    </w:p>
    <w:p w14:paraId="576F83F7" w14:textId="77777777" w:rsidR="00A57811" w:rsidRPr="00D54F8F" w:rsidRDefault="00A57811" w:rsidP="00A57811">
      <w:pPr>
        <w:autoSpaceDE w:val="0"/>
        <w:autoSpaceDN w:val="0"/>
        <w:adjustRightInd w:val="0"/>
        <w:spacing w:after="0" w:line="240" w:lineRule="auto"/>
        <w:ind w:firstLine="284"/>
        <w:jc w:val="right"/>
        <w:rPr>
          <w:rFonts w:ascii="Garamond" w:eastAsiaTheme="minorHAnsi" w:hAnsi="Garamond"/>
          <w:b/>
          <w:bCs/>
          <w:color w:val="000000"/>
          <w:sz w:val="24"/>
          <w:szCs w:val="24"/>
          <w14:ligatures w14:val="standardContextual"/>
        </w:rPr>
      </w:pPr>
      <w:r w:rsidRPr="00D54F8F">
        <w:rPr>
          <w:rFonts w:ascii="Garamond" w:eastAsiaTheme="minorHAnsi" w:hAnsi="Garamond"/>
          <w:bCs/>
          <w:color w:val="000000"/>
          <w:sz w:val="24"/>
          <w:szCs w:val="24"/>
          <w14:ligatures w14:val="standardContextual"/>
        </w:rPr>
        <w:t>KRYEMINISTËR</w:t>
      </w:r>
    </w:p>
    <w:p w14:paraId="6C266EDF" w14:textId="77777777" w:rsidR="00A57811" w:rsidRPr="00D54F8F" w:rsidRDefault="00A57811" w:rsidP="00A57811">
      <w:pPr>
        <w:autoSpaceDE w:val="0"/>
        <w:autoSpaceDN w:val="0"/>
        <w:adjustRightInd w:val="0"/>
        <w:spacing w:after="0" w:line="240" w:lineRule="auto"/>
        <w:ind w:firstLine="284"/>
        <w:jc w:val="right"/>
        <w:rPr>
          <w:rFonts w:ascii="Garamond" w:eastAsiaTheme="minorHAnsi" w:hAnsi="Garamond"/>
          <w:b/>
          <w:bCs/>
          <w:color w:val="000000"/>
          <w:sz w:val="24"/>
          <w:szCs w:val="24"/>
          <w14:ligatures w14:val="standardContextual"/>
        </w:rPr>
      </w:pPr>
      <w:r w:rsidRPr="00D54F8F">
        <w:rPr>
          <w:rFonts w:ascii="Garamond" w:eastAsiaTheme="minorHAnsi" w:hAnsi="Garamond"/>
          <w:b/>
          <w:bCs/>
          <w:color w:val="000000"/>
          <w:sz w:val="24"/>
          <w:szCs w:val="24"/>
          <w14:ligatures w14:val="standardContextual"/>
        </w:rPr>
        <w:t xml:space="preserve">Edi </w:t>
      </w:r>
      <w:proofErr w:type="spellStart"/>
      <w:r w:rsidRPr="00D54F8F">
        <w:rPr>
          <w:rFonts w:ascii="Garamond" w:eastAsiaTheme="minorHAnsi" w:hAnsi="Garamond"/>
          <w:b/>
          <w:bCs/>
          <w:color w:val="000000"/>
          <w:sz w:val="24"/>
          <w:szCs w:val="24"/>
          <w14:ligatures w14:val="standardContextual"/>
        </w:rPr>
        <w:t>Rama</w:t>
      </w:r>
      <w:proofErr w:type="spellEnd"/>
    </w:p>
    <w:p w14:paraId="1978608B" w14:textId="77777777" w:rsidR="00DA04F5" w:rsidRPr="00D54F8F" w:rsidRDefault="00DA04F5" w:rsidP="00A57811">
      <w:pPr>
        <w:shd w:val="clear" w:color="auto" w:fill="FFFFFF"/>
        <w:spacing w:after="0" w:line="240" w:lineRule="auto"/>
        <w:ind w:firstLine="284"/>
        <w:rPr>
          <w:rFonts w:ascii="Garamond" w:eastAsia="Times New Roman" w:hAnsi="Garamond"/>
          <w:color w:val="000000"/>
          <w:sz w:val="24"/>
          <w:szCs w:val="24"/>
          <w:bdr w:val="none" w:sz="0" w:space="0" w:color="auto" w:frame="1"/>
          <w:lang w:eastAsia="it-IT"/>
        </w:rPr>
      </w:pPr>
    </w:p>
    <w:p w14:paraId="3A1C6DF7" w14:textId="77777777" w:rsidR="00DA04F5" w:rsidRPr="00327510" w:rsidRDefault="00DA04F5" w:rsidP="00A57811">
      <w:pPr>
        <w:spacing w:after="0" w:line="240" w:lineRule="auto"/>
        <w:ind w:firstLine="284"/>
        <w:rPr>
          <w:rFonts w:ascii="Garamond" w:eastAsia="Times New Roman" w:hAnsi="Garamond"/>
          <w:sz w:val="24"/>
          <w:szCs w:val="24"/>
        </w:rPr>
      </w:pPr>
      <w:r w:rsidRPr="00327510">
        <w:rPr>
          <w:rFonts w:ascii="Garamond" w:eastAsia="Times New Roman" w:hAnsi="Garamond"/>
          <w:sz w:val="24"/>
          <w:szCs w:val="24"/>
        </w:rPr>
        <w:t xml:space="preserve">ANEKS 1 </w:t>
      </w:r>
    </w:p>
    <w:tbl>
      <w:tblPr>
        <w:tblStyle w:val="TableGrid"/>
        <w:tblW w:w="0" w:type="auto"/>
        <w:tblLook w:val="04A0" w:firstRow="1" w:lastRow="0" w:firstColumn="1" w:lastColumn="0" w:noHBand="0" w:noVBand="1"/>
      </w:tblPr>
      <w:tblGrid>
        <w:gridCol w:w="404"/>
        <w:gridCol w:w="3137"/>
        <w:gridCol w:w="4151"/>
        <w:gridCol w:w="1325"/>
      </w:tblGrid>
      <w:tr w:rsidR="00DA04F5" w:rsidRPr="00327510" w14:paraId="787C64ED" w14:textId="77777777" w:rsidTr="00327510">
        <w:trPr>
          <w:trHeight w:val="170"/>
        </w:trPr>
        <w:tc>
          <w:tcPr>
            <w:tcW w:w="0" w:type="auto"/>
          </w:tcPr>
          <w:p w14:paraId="6FB382C8" w14:textId="77777777" w:rsidR="00DA04F5" w:rsidRPr="00327510" w:rsidRDefault="00DA04F5" w:rsidP="00A57811">
            <w:pPr>
              <w:spacing w:after="0" w:line="240" w:lineRule="auto"/>
              <w:rPr>
                <w:rFonts w:ascii="Garamond" w:hAnsi="Garamond"/>
                <w:sz w:val="20"/>
                <w:szCs w:val="20"/>
              </w:rPr>
            </w:pPr>
          </w:p>
        </w:tc>
        <w:tc>
          <w:tcPr>
            <w:tcW w:w="0" w:type="auto"/>
          </w:tcPr>
          <w:p w14:paraId="54AD1BA1"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b/>
                <w:bCs/>
                <w:sz w:val="20"/>
                <w:szCs w:val="20"/>
              </w:rPr>
              <w:t>Kriteri</w:t>
            </w:r>
          </w:p>
        </w:tc>
        <w:tc>
          <w:tcPr>
            <w:tcW w:w="0" w:type="auto"/>
          </w:tcPr>
          <w:p w14:paraId="1009DBC3"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b/>
                <w:bCs/>
                <w:sz w:val="20"/>
                <w:szCs w:val="20"/>
              </w:rPr>
              <w:t>Përshkrimi</w:t>
            </w:r>
          </w:p>
        </w:tc>
        <w:tc>
          <w:tcPr>
            <w:tcW w:w="0" w:type="auto"/>
          </w:tcPr>
          <w:p w14:paraId="65408D5F" w14:textId="77777777" w:rsidR="00DA04F5" w:rsidRPr="00327510" w:rsidRDefault="00CF1EC4" w:rsidP="00A57811">
            <w:pPr>
              <w:spacing w:after="0" w:line="240" w:lineRule="auto"/>
              <w:rPr>
                <w:rFonts w:ascii="Garamond" w:hAnsi="Garamond"/>
                <w:sz w:val="20"/>
                <w:szCs w:val="20"/>
              </w:rPr>
            </w:pPr>
            <w:r w:rsidRPr="00327510">
              <w:rPr>
                <w:rFonts w:ascii="Garamond" w:eastAsia="Times New Roman" w:hAnsi="Garamond"/>
                <w:b/>
                <w:bCs/>
                <w:sz w:val="20"/>
                <w:szCs w:val="20"/>
              </w:rPr>
              <w:t>Pikët m</w:t>
            </w:r>
            <w:r w:rsidR="00DA04F5" w:rsidRPr="00327510">
              <w:rPr>
                <w:rFonts w:ascii="Garamond" w:eastAsia="Times New Roman" w:hAnsi="Garamond"/>
                <w:b/>
                <w:bCs/>
                <w:sz w:val="20"/>
                <w:szCs w:val="20"/>
              </w:rPr>
              <w:t>aksimale</w:t>
            </w:r>
          </w:p>
        </w:tc>
      </w:tr>
      <w:tr w:rsidR="00DA04F5" w:rsidRPr="00327510" w14:paraId="758768C8" w14:textId="77777777" w:rsidTr="00327510">
        <w:trPr>
          <w:trHeight w:val="170"/>
        </w:trPr>
        <w:tc>
          <w:tcPr>
            <w:tcW w:w="0" w:type="auto"/>
          </w:tcPr>
          <w:p w14:paraId="5738DC1F"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w:t>
            </w:r>
          </w:p>
        </w:tc>
        <w:tc>
          <w:tcPr>
            <w:tcW w:w="0" w:type="auto"/>
          </w:tcPr>
          <w:p w14:paraId="3B616D33"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Përputhshmëria me qëllimet e fondeve</w:t>
            </w:r>
          </w:p>
        </w:tc>
        <w:tc>
          <w:tcPr>
            <w:tcW w:w="0" w:type="auto"/>
          </w:tcPr>
          <w:p w14:paraId="23A71280"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Projekti i përgjigjet objektivave social, kulturor, sportiv dhe inovacion</w:t>
            </w:r>
          </w:p>
        </w:tc>
        <w:tc>
          <w:tcPr>
            <w:tcW w:w="0" w:type="auto"/>
          </w:tcPr>
          <w:p w14:paraId="5B7D6B3A"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10</w:t>
            </w:r>
          </w:p>
        </w:tc>
      </w:tr>
      <w:tr w:rsidR="00DA04F5" w:rsidRPr="00327510" w14:paraId="082C8265" w14:textId="77777777" w:rsidTr="00327510">
        <w:trPr>
          <w:trHeight w:val="170"/>
        </w:trPr>
        <w:tc>
          <w:tcPr>
            <w:tcW w:w="0" w:type="auto"/>
          </w:tcPr>
          <w:p w14:paraId="66CBC341"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2.</w:t>
            </w:r>
          </w:p>
        </w:tc>
        <w:tc>
          <w:tcPr>
            <w:tcW w:w="0" w:type="auto"/>
          </w:tcPr>
          <w:p w14:paraId="320E8588"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Ndik</w:t>
            </w:r>
            <w:r w:rsidR="00CF1EC4" w:rsidRPr="00327510">
              <w:rPr>
                <w:rFonts w:ascii="Garamond" w:eastAsia="Times New Roman" w:hAnsi="Garamond"/>
                <w:sz w:val="20"/>
                <w:szCs w:val="20"/>
              </w:rPr>
              <w:t>imi në komunitet dhe grupe të ce</w:t>
            </w:r>
            <w:r w:rsidRPr="00327510">
              <w:rPr>
                <w:rFonts w:ascii="Garamond" w:eastAsia="Times New Roman" w:hAnsi="Garamond"/>
                <w:sz w:val="20"/>
                <w:szCs w:val="20"/>
              </w:rPr>
              <w:t>nueshme</w:t>
            </w:r>
          </w:p>
        </w:tc>
        <w:tc>
          <w:tcPr>
            <w:tcW w:w="0" w:type="auto"/>
          </w:tcPr>
          <w:p w14:paraId="722581FA"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 xml:space="preserve">Përfitimi konkret për fëmijë, të moshuar, persona me aftësi të kufizuara, të papunë, shtresa të </w:t>
            </w:r>
            <w:proofErr w:type="spellStart"/>
            <w:r w:rsidRPr="00327510">
              <w:rPr>
                <w:rFonts w:ascii="Garamond" w:eastAsia="Times New Roman" w:hAnsi="Garamond"/>
                <w:sz w:val="20"/>
                <w:szCs w:val="20"/>
              </w:rPr>
              <w:t>margjinalizuara</w:t>
            </w:r>
            <w:proofErr w:type="spellEnd"/>
          </w:p>
        </w:tc>
        <w:tc>
          <w:tcPr>
            <w:tcW w:w="0" w:type="auto"/>
          </w:tcPr>
          <w:p w14:paraId="23F85047"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10</w:t>
            </w:r>
          </w:p>
        </w:tc>
      </w:tr>
      <w:tr w:rsidR="00DA04F5" w:rsidRPr="00327510" w14:paraId="20CED804" w14:textId="77777777" w:rsidTr="00327510">
        <w:trPr>
          <w:trHeight w:val="170"/>
        </w:trPr>
        <w:tc>
          <w:tcPr>
            <w:tcW w:w="0" w:type="auto"/>
          </w:tcPr>
          <w:p w14:paraId="2E9324EC"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3</w:t>
            </w:r>
          </w:p>
        </w:tc>
        <w:tc>
          <w:tcPr>
            <w:tcW w:w="0" w:type="auto"/>
          </w:tcPr>
          <w:p w14:paraId="5DFC4F78" w14:textId="77777777" w:rsidR="00DA04F5" w:rsidRPr="00327510" w:rsidRDefault="00CF1EC4" w:rsidP="00A57811">
            <w:pPr>
              <w:spacing w:after="0" w:line="240" w:lineRule="auto"/>
              <w:rPr>
                <w:rFonts w:ascii="Garamond" w:hAnsi="Garamond"/>
                <w:sz w:val="20"/>
                <w:szCs w:val="20"/>
              </w:rPr>
            </w:pPr>
            <w:r w:rsidRPr="00327510">
              <w:rPr>
                <w:rFonts w:ascii="Garamond" w:eastAsia="Times New Roman" w:hAnsi="Garamond"/>
                <w:sz w:val="20"/>
                <w:szCs w:val="20"/>
              </w:rPr>
              <w:t xml:space="preserve">Karakteri </w:t>
            </w:r>
            <w:proofErr w:type="spellStart"/>
            <w:r w:rsidRPr="00327510">
              <w:rPr>
                <w:rFonts w:ascii="Garamond" w:eastAsia="Times New Roman" w:hAnsi="Garamond"/>
                <w:sz w:val="20"/>
                <w:szCs w:val="20"/>
              </w:rPr>
              <w:t>jo</w:t>
            </w:r>
            <w:r w:rsidR="00DA04F5" w:rsidRPr="00327510">
              <w:rPr>
                <w:rFonts w:ascii="Garamond" w:eastAsia="Times New Roman" w:hAnsi="Garamond"/>
                <w:sz w:val="20"/>
                <w:szCs w:val="20"/>
              </w:rPr>
              <w:t>komercial</w:t>
            </w:r>
            <w:proofErr w:type="spellEnd"/>
          </w:p>
        </w:tc>
        <w:tc>
          <w:tcPr>
            <w:tcW w:w="0" w:type="auto"/>
          </w:tcPr>
          <w:p w14:paraId="3381915A"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Projekti ka qëllime të qarta publike dhe jofitimprurëse</w:t>
            </w:r>
          </w:p>
        </w:tc>
        <w:tc>
          <w:tcPr>
            <w:tcW w:w="0" w:type="auto"/>
          </w:tcPr>
          <w:p w14:paraId="0CB1EC9C"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10</w:t>
            </w:r>
          </w:p>
        </w:tc>
      </w:tr>
      <w:tr w:rsidR="00DA04F5" w:rsidRPr="00327510" w14:paraId="6F74015C" w14:textId="77777777" w:rsidTr="00327510">
        <w:trPr>
          <w:trHeight w:val="170"/>
        </w:trPr>
        <w:tc>
          <w:tcPr>
            <w:tcW w:w="0" w:type="auto"/>
          </w:tcPr>
          <w:p w14:paraId="3A41E5E6"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4</w:t>
            </w:r>
          </w:p>
        </w:tc>
        <w:tc>
          <w:tcPr>
            <w:tcW w:w="0" w:type="auto"/>
          </w:tcPr>
          <w:p w14:paraId="0D1D773C"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Rezultatet e pritshme dhe indikatorët</w:t>
            </w:r>
          </w:p>
        </w:tc>
        <w:tc>
          <w:tcPr>
            <w:tcW w:w="0" w:type="auto"/>
          </w:tcPr>
          <w:p w14:paraId="3E73E1A2"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Tregues të matshëm të suksesit dhe rezultateve të pritshme</w:t>
            </w:r>
          </w:p>
        </w:tc>
        <w:tc>
          <w:tcPr>
            <w:tcW w:w="0" w:type="auto"/>
          </w:tcPr>
          <w:p w14:paraId="7EA3DD76"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10</w:t>
            </w:r>
          </w:p>
        </w:tc>
      </w:tr>
      <w:tr w:rsidR="00DA04F5" w:rsidRPr="00327510" w14:paraId="7F9765B6" w14:textId="77777777" w:rsidTr="00327510">
        <w:trPr>
          <w:trHeight w:val="170"/>
        </w:trPr>
        <w:tc>
          <w:tcPr>
            <w:tcW w:w="0" w:type="auto"/>
          </w:tcPr>
          <w:p w14:paraId="50650C40"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5</w:t>
            </w:r>
          </w:p>
        </w:tc>
        <w:tc>
          <w:tcPr>
            <w:tcW w:w="0" w:type="auto"/>
          </w:tcPr>
          <w:p w14:paraId="4F93C765"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Përputhshmëria me dokumentet strategjike lokale/kombëtare</w:t>
            </w:r>
          </w:p>
        </w:tc>
        <w:tc>
          <w:tcPr>
            <w:tcW w:w="0" w:type="auto"/>
          </w:tcPr>
          <w:p w14:paraId="735546DA"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Harmonizimi me strategjitë lokale dhe kombëtare</w:t>
            </w:r>
          </w:p>
        </w:tc>
        <w:tc>
          <w:tcPr>
            <w:tcW w:w="0" w:type="auto"/>
          </w:tcPr>
          <w:p w14:paraId="298C1F3E"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10</w:t>
            </w:r>
          </w:p>
        </w:tc>
      </w:tr>
      <w:tr w:rsidR="00DA04F5" w:rsidRPr="00327510" w14:paraId="40219C0D" w14:textId="77777777" w:rsidTr="00327510">
        <w:trPr>
          <w:trHeight w:val="170"/>
        </w:trPr>
        <w:tc>
          <w:tcPr>
            <w:tcW w:w="0" w:type="auto"/>
          </w:tcPr>
          <w:p w14:paraId="6E25EF4D"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6</w:t>
            </w:r>
          </w:p>
        </w:tc>
        <w:tc>
          <w:tcPr>
            <w:tcW w:w="0" w:type="auto"/>
            <w:vAlign w:val="center"/>
          </w:tcPr>
          <w:p w14:paraId="405A444D"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Kapacitetet e stafit</w:t>
            </w:r>
          </w:p>
        </w:tc>
        <w:tc>
          <w:tcPr>
            <w:tcW w:w="0" w:type="auto"/>
          </w:tcPr>
          <w:p w14:paraId="61FB0407"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Eksperienca dhe njohuritë e stafit për zbatimin e projektit</w:t>
            </w:r>
          </w:p>
        </w:tc>
        <w:tc>
          <w:tcPr>
            <w:tcW w:w="0" w:type="auto"/>
          </w:tcPr>
          <w:p w14:paraId="75D67A60"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10</w:t>
            </w:r>
          </w:p>
        </w:tc>
      </w:tr>
      <w:tr w:rsidR="00DA04F5" w:rsidRPr="00327510" w14:paraId="3658D524" w14:textId="77777777" w:rsidTr="00327510">
        <w:trPr>
          <w:trHeight w:val="170"/>
        </w:trPr>
        <w:tc>
          <w:tcPr>
            <w:tcW w:w="0" w:type="auto"/>
          </w:tcPr>
          <w:p w14:paraId="646C7D35"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7</w:t>
            </w:r>
          </w:p>
        </w:tc>
        <w:tc>
          <w:tcPr>
            <w:tcW w:w="0" w:type="auto"/>
          </w:tcPr>
          <w:p w14:paraId="310C35F8"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Bashkëpunimi me organizata/institucione të tjera</w:t>
            </w:r>
          </w:p>
        </w:tc>
        <w:tc>
          <w:tcPr>
            <w:tcW w:w="0" w:type="auto"/>
          </w:tcPr>
          <w:p w14:paraId="3C7F2B28"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Marrëveshje bashkëpunimi dhe referenca të dokumentuara</w:t>
            </w:r>
          </w:p>
        </w:tc>
        <w:tc>
          <w:tcPr>
            <w:tcW w:w="0" w:type="auto"/>
          </w:tcPr>
          <w:p w14:paraId="75A782FB"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5</w:t>
            </w:r>
          </w:p>
        </w:tc>
      </w:tr>
      <w:tr w:rsidR="00DA04F5" w:rsidRPr="00327510" w14:paraId="7EB70FD4" w14:textId="77777777" w:rsidTr="00327510">
        <w:trPr>
          <w:trHeight w:val="170"/>
        </w:trPr>
        <w:tc>
          <w:tcPr>
            <w:tcW w:w="0" w:type="auto"/>
          </w:tcPr>
          <w:p w14:paraId="08F58698"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8</w:t>
            </w:r>
          </w:p>
        </w:tc>
        <w:tc>
          <w:tcPr>
            <w:tcW w:w="0" w:type="auto"/>
          </w:tcPr>
          <w:p w14:paraId="4E3937C1"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Inovacioni dhe qasja krijuese</w:t>
            </w:r>
          </w:p>
        </w:tc>
        <w:tc>
          <w:tcPr>
            <w:tcW w:w="0" w:type="auto"/>
          </w:tcPr>
          <w:p w14:paraId="041CCC58"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 xml:space="preserve">Zgjidhje kreative ose </w:t>
            </w:r>
            <w:proofErr w:type="spellStart"/>
            <w:r w:rsidRPr="00327510">
              <w:rPr>
                <w:rFonts w:ascii="Garamond" w:eastAsia="Times New Roman" w:hAnsi="Garamond"/>
                <w:sz w:val="20"/>
                <w:szCs w:val="20"/>
              </w:rPr>
              <w:t>inovative</w:t>
            </w:r>
            <w:proofErr w:type="spellEnd"/>
            <w:r w:rsidRPr="00327510">
              <w:rPr>
                <w:rFonts w:ascii="Garamond" w:eastAsia="Times New Roman" w:hAnsi="Garamond"/>
                <w:sz w:val="20"/>
                <w:szCs w:val="20"/>
              </w:rPr>
              <w:t xml:space="preserve"> të propozuara</w:t>
            </w:r>
          </w:p>
        </w:tc>
        <w:tc>
          <w:tcPr>
            <w:tcW w:w="0" w:type="auto"/>
          </w:tcPr>
          <w:p w14:paraId="5FD80EA7"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10</w:t>
            </w:r>
          </w:p>
        </w:tc>
      </w:tr>
      <w:tr w:rsidR="00DA04F5" w:rsidRPr="00327510" w14:paraId="2F2BB97A" w14:textId="77777777" w:rsidTr="00327510">
        <w:trPr>
          <w:trHeight w:val="170"/>
        </w:trPr>
        <w:tc>
          <w:tcPr>
            <w:tcW w:w="0" w:type="auto"/>
          </w:tcPr>
          <w:p w14:paraId="4FE73F30"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9</w:t>
            </w:r>
          </w:p>
        </w:tc>
        <w:tc>
          <w:tcPr>
            <w:tcW w:w="0" w:type="auto"/>
          </w:tcPr>
          <w:p w14:paraId="756FE1FC"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Efikasiteti financiar</w:t>
            </w:r>
          </w:p>
        </w:tc>
        <w:tc>
          <w:tcPr>
            <w:tcW w:w="0" w:type="auto"/>
            <w:vAlign w:val="center"/>
          </w:tcPr>
          <w:p w14:paraId="603D80AC"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Buxheti i arsyeshëm dhe i dokumentuar</w:t>
            </w:r>
          </w:p>
        </w:tc>
        <w:tc>
          <w:tcPr>
            <w:tcW w:w="0" w:type="auto"/>
          </w:tcPr>
          <w:p w14:paraId="327E37B4"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10</w:t>
            </w:r>
          </w:p>
        </w:tc>
      </w:tr>
      <w:tr w:rsidR="00DA04F5" w:rsidRPr="00327510" w14:paraId="09979989" w14:textId="77777777" w:rsidTr="00327510">
        <w:trPr>
          <w:trHeight w:val="170"/>
        </w:trPr>
        <w:tc>
          <w:tcPr>
            <w:tcW w:w="0" w:type="auto"/>
          </w:tcPr>
          <w:p w14:paraId="3B7742EE"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10</w:t>
            </w:r>
          </w:p>
        </w:tc>
        <w:tc>
          <w:tcPr>
            <w:tcW w:w="0" w:type="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2"/>
              <w:gridCol w:w="939"/>
            </w:tblGrid>
            <w:tr w:rsidR="00DA04F5" w:rsidRPr="00327510" w14:paraId="03E860A8" w14:textId="77777777" w:rsidTr="00D54F8F">
              <w:trPr>
                <w:tblCellSpacing w:w="15" w:type="dxa"/>
              </w:trPr>
              <w:tc>
                <w:tcPr>
                  <w:tcW w:w="2279" w:type="dxa"/>
                  <w:vAlign w:val="center"/>
                  <w:hideMark/>
                </w:tcPr>
                <w:p w14:paraId="694F747B" w14:textId="77777777" w:rsidR="00DA04F5" w:rsidRPr="00327510" w:rsidRDefault="00DA04F5" w:rsidP="00A57811">
                  <w:pPr>
                    <w:spacing w:after="0" w:line="240" w:lineRule="auto"/>
                    <w:rPr>
                      <w:rFonts w:ascii="Garamond" w:eastAsia="Times New Roman" w:hAnsi="Garamond"/>
                      <w:sz w:val="20"/>
                      <w:szCs w:val="20"/>
                    </w:rPr>
                  </w:pPr>
                  <w:r w:rsidRPr="00327510">
                    <w:rPr>
                      <w:rFonts w:ascii="Garamond" w:eastAsia="Times New Roman" w:hAnsi="Garamond"/>
                      <w:sz w:val="20"/>
                      <w:szCs w:val="20"/>
                    </w:rPr>
                    <w:t>Qëndrueshmëria e rezultateve</w:t>
                  </w:r>
                </w:p>
              </w:tc>
              <w:tc>
                <w:tcPr>
                  <w:tcW w:w="1374" w:type="dxa"/>
                  <w:vAlign w:val="center"/>
                  <w:hideMark/>
                </w:tcPr>
                <w:p w14:paraId="28349297" w14:textId="77777777" w:rsidR="00DA04F5" w:rsidRPr="00327510" w:rsidRDefault="00DA04F5" w:rsidP="00A57811">
                  <w:pPr>
                    <w:spacing w:after="0" w:line="240" w:lineRule="auto"/>
                    <w:rPr>
                      <w:rFonts w:ascii="Garamond" w:eastAsia="Times New Roman" w:hAnsi="Garamond"/>
                      <w:sz w:val="20"/>
                      <w:szCs w:val="20"/>
                    </w:rPr>
                  </w:pPr>
                </w:p>
              </w:tc>
            </w:tr>
          </w:tbl>
          <w:p w14:paraId="04D0D08C" w14:textId="77777777" w:rsidR="00DA04F5" w:rsidRPr="00327510" w:rsidRDefault="00DA04F5" w:rsidP="00A57811">
            <w:pPr>
              <w:spacing w:after="0" w:line="240" w:lineRule="auto"/>
              <w:rPr>
                <w:rFonts w:ascii="Garamond" w:hAnsi="Garamond"/>
                <w:sz w:val="20"/>
                <w:szCs w:val="20"/>
              </w:rPr>
            </w:pPr>
          </w:p>
        </w:tc>
        <w:tc>
          <w:tcPr>
            <w:tcW w:w="0" w:type="auto"/>
          </w:tcPr>
          <w:p w14:paraId="59DD3139" w14:textId="77777777" w:rsidR="00DA04F5" w:rsidRPr="00327510" w:rsidRDefault="00DA04F5" w:rsidP="00A57811">
            <w:pPr>
              <w:spacing w:after="0" w:line="240" w:lineRule="auto"/>
              <w:rPr>
                <w:rFonts w:ascii="Garamond" w:hAnsi="Garamond"/>
                <w:sz w:val="20"/>
                <w:szCs w:val="20"/>
              </w:rPr>
            </w:pPr>
            <w:r w:rsidRPr="00327510">
              <w:rPr>
                <w:rFonts w:ascii="Garamond" w:eastAsia="Times New Roman" w:hAnsi="Garamond"/>
                <w:sz w:val="20"/>
                <w:szCs w:val="20"/>
              </w:rPr>
              <w:t>Si do të mbeten rezultatet pas përfundimit të projektit</w:t>
            </w:r>
          </w:p>
        </w:tc>
        <w:tc>
          <w:tcPr>
            <w:tcW w:w="0" w:type="auto"/>
          </w:tcPr>
          <w:p w14:paraId="15B6318D"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10</w:t>
            </w:r>
          </w:p>
        </w:tc>
      </w:tr>
      <w:tr w:rsidR="00DA04F5" w:rsidRPr="00327510" w14:paraId="209E7ECA" w14:textId="77777777" w:rsidTr="00327510">
        <w:trPr>
          <w:trHeight w:val="170"/>
        </w:trPr>
        <w:tc>
          <w:tcPr>
            <w:tcW w:w="0" w:type="auto"/>
          </w:tcPr>
          <w:p w14:paraId="17E9CFCC"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11</w:t>
            </w:r>
          </w:p>
        </w:tc>
        <w:tc>
          <w:tcPr>
            <w:tcW w:w="0" w:type="auto"/>
          </w:tcPr>
          <w:p w14:paraId="7FD59355" w14:textId="77777777" w:rsidR="00DA04F5" w:rsidRPr="00327510" w:rsidRDefault="00DA04F5" w:rsidP="00A57811">
            <w:pPr>
              <w:spacing w:after="0" w:line="240" w:lineRule="auto"/>
              <w:rPr>
                <w:rFonts w:ascii="Garamond" w:eastAsia="Times New Roman" w:hAnsi="Garamond"/>
                <w:sz w:val="20"/>
                <w:szCs w:val="20"/>
              </w:rPr>
            </w:pPr>
            <w:r w:rsidRPr="00327510">
              <w:rPr>
                <w:rFonts w:ascii="Garamond" w:eastAsia="Times New Roman" w:hAnsi="Garamond"/>
                <w:sz w:val="20"/>
                <w:szCs w:val="20"/>
              </w:rPr>
              <w:t xml:space="preserve">Përfshirja e barazisë gjinore dhe </w:t>
            </w:r>
            <w:proofErr w:type="spellStart"/>
            <w:r w:rsidRPr="00327510">
              <w:rPr>
                <w:rFonts w:ascii="Garamond" w:eastAsia="Times New Roman" w:hAnsi="Garamond"/>
                <w:sz w:val="20"/>
                <w:szCs w:val="20"/>
              </w:rPr>
              <w:t>diversitetit</w:t>
            </w:r>
            <w:proofErr w:type="spellEnd"/>
          </w:p>
        </w:tc>
        <w:tc>
          <w:tcPr>
            <w:tcW w:w="0" w:type="auto"/>
          </w:tcPr>
          <w:p w14:paraId="3F8215FF" w14:textId="77777777" w:rsidR="00DA04F5" w:rsidRPr="00327510" w:rsidRDefault="00DA04F5" w:rsidP="00A57811">
            <w:pPr>
              <w:spacing w:after="0" w:line="240" w:lineRule="auto"/>
              <w:rPr>
                <w:rFonts w:ascii="Garamond" w:eastAsia="Times New Roman" w:hAnsi="Garamond"/>
                <w:sz w:val="20"/>
                <w:szCs w:val="20"/>
              </w:rPr>
            </w:pPr>
            <w:r w:rsidRPr="00327510">
              <w:rPr>
                <w:rFonts w:ascii="Garamond" w:eastAsia="Times New Roman" w:hAnsi="Garamond"/>
                <w:sz w:val="20"/>
                <w:szCs w:val="20"/>
              </w:rPr>
              <w:t xml:space="preserve">Aktivitetet që përfshijnë grupe të </w:t>
            </w:r>
            <w:proofErr w:type="spellStart"/>
            <w:r w:rsidRPr="00327510">
              <w:rPr>
                <w:rFonts w:ascii="Garamond" w:eastAsia="Times New Roman" w:hAnsi="Garamond"/>
                <w:sz w:val="20"/>
                <w:szCs w:val="20"/>
              </w:rPr>
              <w:t>margjinalizuara</w:t>
            </w:r>
            <w:proofErr w:type="spellEnd"/>
            <w:r w:rsidRPr="00327510">
              <w:rPr>
                <w:rFonts w:ascii="Garamond" w:eastAsia="Times New Roman" w:hAnsi="Garamond"/>
                <w:sz w:val="20"/>
                <w:szCs w:val="20"/>
              </w:rPr>
              <w:t xml:space="preserve"> dhe promovojnë </w:t>
            </w:r>
            <w:proofErr w:type="spellStart"/>
            <w:r w:rsidRPr="00327510">
              <w:rPr>
                <w:rFonts w:ascii="Garamond" w:eastAsia="Times New Roman" w:hAnsi="Garamond"/>
                <w:sz w:val="20"/>
                <w:szCs w:val="20"/>
              </w:rPr>
              <w:t>diversitet</w:t>
            </w:r>
            <w:proofErr w:type="spellEnd"/>
          </w:p>
        </w:tc>
        <w:tc>
          <w:tcPr>
            <w:tcW w:w="0" w:type="auto"/>
          </w:tcPr>
          <w:p w14:paraId="7C92A3B0" w14:textId="77777777" w:rsidR="00DA04F5" w:rsidRPr="00327510" w:rsidRDefault="00DA04F5" w:rsidP="00A57811">
            <w:pPr>
              <w:spacing w:after="0" w:line="240" w:lineRule="auto"/>
              <w:rPr>
                <w:rFonts w:ascii="Garamond" w:hAnsi="Garamond"/>
                <w:sz w:val="20"/>
                <w:szCs w:val="20"/>
              </w:rPr>
            </w:pPr>
            <w:r w:rsidRPr="00327510">
              <w:rPr>
                <w:rFonts w:ascii="Garamond" w:hAnsi="Garamond"/>
                <w:sz w:val="20"/>
                <w:szCs w:val="20"/>
              </w:rPr>
              <w:t>5</w:t>
            </w:r>
          </w:p>
        </w:tc>
      </w:tr>
    </w:tbl>
    <w:p w14:paraId="7B72DBED" w14:textId="77777777" w:rsidR="00DA04F5" w:rsidRPr="00D54F8F" w:rsidRDefault="00DA04F5" w:rsidP="00A57811">
      <w:pPr>
        <w:spacing w:after="0" w:line="240" w:lineRule="auto"/>
        <w:ind w:firstLine="284"/>
        <w:rPr>
          <w:rFonts w:ascii="Garamond" w:hAnsi="Garamond"/>
          <w:sz w:val="24"/>
          <w:szCs w:val="24"/>
        </w:rPr>
      </w:pPr>
    </w:p>
    <w:p w14:paraId="006C1D6B" w14:textId="77777777" w:rsidR="00DA04F5" w:rsidRPr="00D54F8F" w:rsidRDefault="00DA04F5" w:rsidP="00A57811">
      <w:pPr>
        <w:spacing w:after="0" w:line="240" w:lineRule="auto"/>
        <w:ind w:firstLine="284"/>
        <w:rPr>
          <w:rFonts w:ascii="Garamond" w:hAnsi="Garamond"/>
          <w:b/>
          <w:bCs/>
          <w:sz w:val="24"/>
          <w:szCs w:val="24"/>
        </w:rPr>
      </w:pPr>
      <w:r w:rsidRPr="00D54F8F">
        <w:rPr>
          <w:rFonts w:ascii="Garamond" w:hAnsi="Garamond"/>
          <w:b/>
          <w:bCs/>
          <w:sz w:val="24"/>
          <w:szCs w:val="24"/>
        </w:rPr>
        <w:t xml:space="preserve">Totali 100 pikë </w:t>
      </w:r>
    </w:p>
    <w:sectPr w:rsidR="00DA04F5" w:rsidRPr="00D54F8F" w:rsidSect="003E5A59">
      <w:pgSz w:w="11907" w:h="16839" w:code="9"/>
      <w:pgMar w:top="1440" w:right="1440" w:bottom="810" w:left="1440"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A44F1A" w14:textId="77777777" w:rsidR="009A1262" w:rsidRDefault="009A1262" w:rsidP="00FA12F5">
      <w:pPr>
        <w:spacing w:after="0" w:line="240" w:lineRule="auto"/>
      </w:pPr>
      <w:r>
        <w:separator/>
      </w:r>
    </w:p>
  </w:endnote>
  <w:endnote w:type="continuationSeparator" w:id="0">
    <w:p w14:paraId="5C1AE6D1" w14:textId="77777777" w:rsidR="009A1262" w:rsidRDefault="009A1262" w:rsidP="00FA12F5">
      <w:pPr>
        <w:spacing w:after="0" w:line="240" w:lineRule="auto"/>
      </w:pPr>
      <w:r>
        <w:continuationSeparator/>
      </w:r>
    </w:p>
  </w:endnote>
  <w:endnote w:type="continuationNotice" w:id="1">
    <w:p w14:paraId="4F3109A0" w14:textId="77777777" w:rsidR="009A1262" w:rsidRDefault="009A12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2CF9F" w14:textId="77777777" w:rsidR="009A1262" w:rsidRDefault="009A1262" w:rsidP="00FA12F5">
      <w:pPr>
        <w:spacing w:after="0" w:line="240" w:lineRule="auto"/>
      </w:pPr>
      <w:r>
        <w:separator/>
      </w:r>
    </w:p>
  </w:footnote>
  <w:footnote w:type="continuationSeparator" w:id="0">
    <w:p w14:paraId="1995BCE2" w14:textId="77777777" w:rsidR="009A1262" w:rsidRDefault="009A1262" w:rsidP="00FA12F5">
      <w:pPr>
        <w:spacing w:after="0" w:line="240" w:lineRule="auto"/>
      </w:pPr>
      <w:r>
        <w:continuationSeparator/>
      </w:r>
    </w:p>
  </w:footnote>
  <w:footnote w:type="continuationNotice" w:id="1">
    <w:p w14:paraId="4BCD9E7B" w14:textId="77777777" w:rsidR="009A1262" w:rsidRDefault="009A12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8039D"/>
    <w:multiLevelType w:val="hybridMultilevel"/>
    <w:tmpl w:val="B980D2C2"/>
    <w:lvl w:ilvl="0" w:tplc="AAC02822">
      <w:start w:val="1"/>
      <w:numFmt w:val="decimal"/>
      <w:lvlText w:val="%1."/>
      <w:lvlJc w:val="left"/>
      <w:pPr>
        <w:ind w:left="720" w:hanging="360"/>
      </w:pPr>
      <w:rPr>
        <w:rFonts w:hint="default"/>
        <w:b w:val="0"/>
        <w:bCs w:val="0"/>
      </w:rPr>
    </w:lvl>
    <w:lvl w:ilvl="1" w:tplc="FAD2111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861CBA"/>
    <w:multiLevelType w:val="multilevel"/>
    <w:tmpl w:val="695E9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910D9E"/>
    <w:multiLevelType w:val="hybridMultilevel"/>
    <w:tmpl w:val="3FAAC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0133E"/>
    <w:multiLevelType w:val="multilevel"/>
    <w:tmpl w:val="B3263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857B8E"/>
    <w:multiLevelType w:val="hybridMultilevel"/>
    <w:tmpl w:val="6B66C5E0"/>
    <w:lvl w:ilvl="0" w:tplc="FFFFFFFF">
      <w:start w:val="1"/>
      <w:numFmt w:val="lowerLetter"/>
      <w:lvlText w:val="%1)"/>
      <w:lvlJc w:val="left"/>
      <w:pPr>
        <w:ind w:left="720" w:hanging="360"/>
      </w:pPr>
    </w:lvl>
    <w:lvl w:ilvl="1" w:tplc="04090017">
      <w:start w:val="1"/>
      <w:numFmt w:val="lowerLetter"/>
      <w:lvlText w:val="%2)"/>
      <w:lvlJc w:val="left"/>
      <w:pPr>
        <w:ind w:left="5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B2C7CB0"/>
    <w:multiLevelType w:val="hybridMultilevel"/>
    <w:tmpl w:val="20A25698"/>
    <w:lvl w:ilvl="0" w:tplc="FFFFFFFF">
      <w:start w:val="1"/>
      <w:numFmt w:val="lowerLetter"/>
      <w:lvlText w:val="%1."/>
      <w:lvlJc w:val="left"/>
      <w:pPr>
        <w:ind w:left="1080" w:hanging="360"/>
      </w:pPr>
    </w:lvl>
    <w:lvl w:ilvl="1" w:tplc="04090017">
      <w:start w:val="1"/>
      <w:numFmt w:val="lowerLetter"/>
      <w:lvlText w:val="%2)"/>
      <w:lvlJc w:val="left"/>
      <w:pPr>
        <w:ind w:left="5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5D4D26B1"/>
    <w:multiLevelType w:val="hybridMultilevel"/>
    <w:tmpl w:val="498AC608"/>
    <w:lvl w:ilvl="0" w:tplc="FFFFFFFF">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60834A3B"/>
    <w:multiLevelType w:val="multilevel"/>
    <w:tmpl w:val="FC9C9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F05C36"/>
    <w:multiLevelType w:val="hybridMultilevel"/>
    <w:tmpl w:val="C372670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7847453"/>
    <w:multiLevelType w:val="hybridMultilevel"/>
    <w:tmpl w:val="E31C4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3C00CE"/>
    <w:multiLevelType w:val="hybridMultilevel"/>
    <w:tmpl w:val="0EF2CD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54940A7"/>
    <w:multiLevelType w:val="hybridMultilevel"/>
    <w:tmpl w:val="D8549EE2"/>
    <w:lvl w:ilvl="0" w:tplc="DD98A47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9"/>
  </w:num>
  <w:num w:numId="4">
    <w:abstractNumId w:val="2"/>
  </w:num>
  <w:num w:numId="5">
    <w:abstractNumId w:val="11"/>
  </w:num>
  <w:num w:numId="6">
    <w:abstractNumId w:val="6"/>
  </w:num>
  <w:num w:numId="7">
    <w:abstractNumId w:val="4"/>
  </w:num>
  <w:num w:numId="8">
    <w:abstractNumId w:val="5"/>
  </w:num>
  <w:num w:numId="9">
    <w:abstractNumId w:val="1"/>
  </w:num>
  <w:num w:numId="10">
    <w:abstractNumId w:val="3"/>
  </w:num>
  <w:num w:numId="11">
    <w:abstractNumId w:val="10"/>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B9E"/>
    <w:rsid w:val="00007C9C"/>
    <w:rsid w:val="00011C19"/>
    <w:rsid w:val="00016ACA"/>
    <w:rsid w:val="00035387"/>
    <w:rsid w:val="000512B2"/>
    <w:rsid w:val="0005580A"/>
    <w:rsid w:val="000563AF"/>
    <w:rsid w:val="000616D5"/>
    <w:rsid w:val="0007129D"/>
    <w:rsid w:val="000812CE"/>
    <w:rsid w:val="000819AB"/>
    <w:rsid w:val="0008458A"/>
    <w:rsid w:val="00094C80"/>
    <w:rsid w:val="00097AF3"/>
    <w:rsid w:val="000B0D9F"/>
    <w:rsid w:val="000B7A73"/>
    <w:rsid w:val="000C1873"/>
    <w:rsid w:val="000E3BE1"/>
    <w:rsid w:val="000F3F45"/>
    <w:rsid w:val="000F7DFE"/>
    <w:rsid w:val="00112C1B"/>
    <w:rsid w:val="00124A44"/>
    <w:rsid w:val="00133B89"/>
    <w:rsid w:val="00140A4B"/>
    <w:rsid w:val="00145544"/>
    <w:rsid w:val="001555FC"/>
    <w:rsid w:val="00161DAB"/>
    <w:rsid w:val="00164F2A"/>
    <w:rsid w:val="0017250F"/>
    <w:rsid w:val="00172A4D"/>
    <w:rsid w:val="00182E7B"/>
    <w:rsid w:val="0018403F"/>
    <w:rsid w:val="001903C9"/>
    <w:rsid w:val="00195F16"/>
    <w:rsid w:val="001973BC"/>
    <w:rsid w:val="001C6BE3"/>
    <w:rsid w:val="001C7E20"/>
    <w:rsid w:val="001D5045"/>
    <w:rsid w:val="001F4025"/>
    <w:rsid w:val="001F5218"/>
    <w:rsid w:val="0021409B"/>
    <w:rsid w:val="00224A13"/>
    <w:rsid w:val="002462FE"/>
    <w:rsid w:val="00250B09"/>
    <w:rsid w:val="002530ED"/>
    <w:rsid w:val="00254E66"/>
    <w:rsid w:val="0026734E"/>
    <w:rsid w:val="002754DF"/>
    <w:rsid w:val="00284D5E"/>
    <w:rsid w:val="00284F64"/>
    <w:rsid w:val="002A38EA"/>
    <w:rsid w:val="002B41F6"/>
    <w:rsid w:val="002B4741"/>
    <w:rsid w:val="002B7431"/>
    <w:rsid w:val="002C7A68"/>
    <w:rsid w:val="002D3D87"/>
    <w:rsid w:val="002D5B66"/>
    <w:rsid w:val="002F6C2E"/>
    <w:rsid w:val="00303458"/>
    <w:rsid w:val="003037E6"/>
    <w:rsid w:val="0030735E"/>
    <w:rsid w:val="003137B9"/>
    <w:rsid w:val="003168E3"/>
    <w:rsid w:val="00321803"/>
    <w:rsid w:val="00327510"/>
    <w:rsid w:val="00337006"/>
    <w:rsid w:val="003407FB"/>
    <w:rsid w:val="003446E6"/>
    <w:rsid w:val="00345E81"/>
    <w:rsid w:val="00350835"/>
    <w:rsid w:val="00351A62"/>
    <w:rsid w:val="003623D3"/>
    <w:rsid w:val="00364DB8"/>
    <w:rsid w:val="0038006B"/>
    <w:rsid w:val="00380C2F"/>
    <w:rsid w:val="003972CA"/>
    <w:rsid w:val="003A034A"/>
    <w:rsid w:val="003E5A59"/>
    <w:rsid w:val="003F3B23"/>
    <w:rsid w:val="003F7CE4"/>
    <w:rsid w:val="00405413"/>
    <w:rsid w:val="0041051E"/>
    <w:rsid w:val="00416E1F"/>
    <w:rsid w:val="00423316"/>
    <w:rsid w:val="00440A38"/>
    <w:rsid w:val="0044504E"/>
    <w:rsid w:val="00453646"/>
    <w:rsid w:val="00463189"/>
    <w:rsid w:val="0046320B"/>
    <w:rsid w:val="00466819"/>
    <w:rsid w:val="0049752E"/>
    <w:rsid w:val="004A07A1"/>
    <w:rsid w:val="004A34A7"/>
    <w:rsid w:val="004F64C2"/>
    <w:rsid w:val="004F686E"/>
    <w:rsid w:val="00500D5C"/>
    <w:rsid w:val="00533EAD"/>
    <w:rsid w:val="00564AF1"/>
    <w:rsid w:val="00590F4F"/>
    <w:rsid w:val="005931F1"/>
    <w:rsid w:val="00594842"/>
    <w:rsid w:val="00597FB4"/>
    <w:rsid w:val="005A21DE"/>
    <w:rsid w:val="005A49B7"/>
    <w:rsid w:val="005B7745"/>
    <w:rsid w:val="005C21C1"/>
    <w:rsid w:val="005D15E1"/>
    <w:rsid w:val="005D4030"/>
    <w:rsid w:val="005D770A"/>
    <w:rsid w:val="006126E7"/>
    <w:rsid w:val="00632923"/>
    <w:rsid w:val="006427D3"/>
    <w:rsid w:val="006462D9"/>
    <w:rsid w:val="00656542"/>
    <w:rsid w:val="00667C78"/>
    <w:rsid w:val="00681515"/>
    <w:rsid w:val="00695381"/>
    <w:rsid w:val="006B2CFB"/>
    <w:rsid w:val="006B6D9F"/>
    <w:rsid w:val="006B7246"/>
    <w:rsid w:val="006D6CE9"/>
    <w:rsid w:val="006D7524"/>
    <w:rsid w:val="006F4328"/>
    <w:rsid w:val="007022B0"/>
    <w:rsid w:val="00703030"/>
    <w:rsid w:val="00716B67"/>
    <w:rsid w:val="00717CC2"/>
    <w:rsid w:val="00737EDA"/>
    <w:rsid w:val="00741F58"/>
    <w:rsid w:val="00742B7C"/>
    <w:rsid w:val="00747616"/>
    <w:rsid w:val="00750ED3"/>
    <w:rsid w:val="00754305"/>
    <w:rsid w:val="00770B7D"/>
    <w:rsid w:val="00784B42"/>
    <w:rsid w:val="007946CD"/>
    <w:rsid w:val="007B393D"/>
    <w:rsid w:val="007C3876"/>
    <w:rsid w:val="007D5A3A"/>
    <w:rsid w:val="007E4B93"/>
    <w:rsid w:val="00801935"/>
    <w:rsid w:val="008038CA"/>
    <w:rsid w:val="00807B9E"/>
    <w:rsid w:val="00810DB7"/>
    <w:rsid w:val="00812BC6"/>
    <w:rsid w:val="00847B32"/>
    <w:rsid w:val="0085254D"/>
    <w:rsid w:val="0085569D"/>
    <w:rsid w:val="008564CE"/>
    <w:rsid w:val="00864990"/>
    <w:rsid w:val="00865FA5"/>
    <w:rsid w:val="00880AA4"/>
    <w:rsid w:val="00882828"/>
    <w:rsid w:val="00890E30"/>
    <w:rsid w:val="00892AE0"/>
    <w:rsid w:val="00896F1C"/>
    <w:rsid w:val="008A4DD6"/>
    <w:rsid w:val="008B711C"/>
    <w:rsid w:val="008B772B"/>
    <w:rsid w:val="008C32CA"/>
    <w:rsid w:val="008C4B2E"/>
    <w:rsid w:val="008D0682"/>
    <w:rsid w:val="008E5998"/>
    <w:rsid w:val="008F16B2"/>
    <w:rsid w:val="008F1855"/>
    <w:rsid w:val="00905D38"/>
    <w:rsid w:val="00921E02"/>
    <w:rsid w:val="00922E7D"/>
    <w:rsid w:val="00941A32"/>
    <w:rsid w:val="00953201"/>
    <w:rsid w:val="0095746B"/>
    <w:rsid w:val="009578C1"/>
    <w:rsid w:val="00967567"/>
    <w:rsid w:val="0097010A"/>
    <w:rsid w:val="00970A91"/>
    <w:rsid w:val="00977BB9"/>
    <w:rsid w:val="00982BDF"/>
    <w:rsid w:val="009A01D9"/>
    <w:rsid w:val="009A1262"/>
    <w:rsid w:val="009B20FF"/>
    <w:rsid w:val="009C5872"/>
    <w:rsid w:val="009C712E"/>
    <w:rsid w:val="009D0514"/>
    <w:rsid w:val="009D4825"/>
    <w:rsid w:val="009D549D"/>
    <w:rsid w:val="00A00050"/>
    <w:rsid w:val="00A00FD5"/>
    <w:rsid w:val="00A15BBF"/>
    <w:rsid w:val="00A25E9B"/>
    <w:rsid w:val="00A5333F"/>
    <w:rsid w:val="00A57811"/>
    <w:rsid w:val="00A65037"/>
    <w:rsid w:val="00A93BC5"/>
    <w:rsid w:val="00AA597F"/>
    <w:rsid w:val="00AA5D7A"/>
    <w:rsid w:val="00AC54B2"/>
    <w:rsid w:val="00AF094B"/>
    <w:rsid w:val="00AF0F7A"/>
    <w:rsid w:val="00B01E77"/>
    <w:rsid w:val="00B15580"/>
    <w:rsid w:val="00B22FAE"/>
    <w:rsid w:val="00B31856"/>
    <w:rsid w:val="00B41EEF"/>
    <w:rsid w:val="00B47333"/>
    <w:rsid w:val="00B51FCE"/>
    <w:rsid w:val="00B60AB6"/>
    <w:rsid w:val="00B6152B"/>
    <w:rsid w:val="00B62FE5"/>
    <w:rsid w:val="00B8268B"/>
    <w:rsid w:val="00B851F2"/>
    <w:rsid w:val="00B87376"/>
    <w:rsid w:val="00B9692E"/>
    <w:rsid w:val="00BA3499"/>
    <w:rsid w:val="00BB282D"/>
    <w:rsid w:val="00BB7582"/>
    <w:rsid w:val="00BC3EB0"/>
    <w:rsid w:val="00BD038D"/>
    <w:rsid w:val="00BD219B"/>
    <w:rsid w:val="00BF6E66"/>
    <w:rsid w:val="00C005A1"/>
    <w:rsid w:val="00C03EB0"/>
    <w:rsid w:val="00C05C9F"/>
    <w:rsid w:val="00C16C5B"/>
    <w:rsid w:val="00C21764"/>
    <w:rsid w:val="00C432AC"/>
    <w:rsid w:val="00C44E67"/>
    <w:rsid w:val="00C8519F"/>
    <w:rsid w:val="00C97220"/>
    <w:rsid w:val="00CA07F9"/>
    <w:rsid w:val="00CA5ED1"/>
    <w:rsid w:val="00CB2F62"/>
    <w:rsid w:val="00CB50D9"/>
    <w:rsid w:val="00CD1458"/>
    <w:rsid w:val="00CE011D"/>
    <w:rsid w:val="00CF1EC4"/>
    <w:rsid w:val="00CF6C7B"/>
    <w:rsid w:val="00D0438C"/>
    <w:rsid w:val="00D11BC5"/>
    <w:rsid w:val="00D12766"/>
    <w:rsid w:val="00D277E7"/>
    <w:rsid w:val="00D33915"/>
    <w:rsid w:val="00D4296A"/>
    <w:rsid w:val="00D44344"/>
    <w:rsid w:val="00D54D79"/>
    <w:rsid w:val="00D54F8F"/>
    <w:rsid w:val="00D659A3"/>
    <w:rsid w:val="00D6752F"/>
    <w:rsid w:val="00D80E71"/>
    <w:rsid w:val="00DA04F5"/>
    <w:rsid w:val="00DA52C6"/>
    <w:rsid w:val="00DB0089"/>
    <w:rsid w:val="00DB13D1"/>
    <w:rsid w:val="00DD1F75"/>
    <w:rsid w:val="00DE45F1"/>
    <w:rsid w:val="00DE64A2"/>
    <w:rsid w:val="00E14621"/>
    <w:rsid w:val="00E14AEB"/>
    <w:rsid w:val="00E32343"/>
    <w:rsid w:val="00E5169B"/>
    <w:rsid w:val="00E52298"/>
    <w:rsid w:val="00E57FD5"/>
    <w:rsid w:val="00E65024"/>
    <w:rsid w:val="00E65137"/>
    <w:rsid w:val="00E80AF7"/>
    <w:rsid w:val="00E810E2"/>
    <w:rsid w:val="00E81264"/>
    <w:rsid w:val="00E81458"/>
    <w:rsid w:val="00E84C52"/>
    <w:rsid w:val="00E96ED6"/>
    <w:rsid w:val="00E970B3"/>
    <w:rsid w:val="00EA101F"/>
    <w:rsid w:val="00EA1906"/>
    <w:rsid w:val="00EA729A"/>
    <w:rsid w:val="00EA793D"/>
    <w:rsid w:val="00EC65A7"/>
    <w:rsid w:val="00ED2405"/>
    <w:rsid w:val="00EE7854"/>
    <w:rsid w:val="00EF0DC1"/>
    <w:rsid w:val="00F1363A"/>
    <w:rsid w:val="00F220D3"/>
    <w:rsid w:val="00F26438"/>
    <w:rsid w:val="00F33DB8"/>
    <w:rsid w:val="00F3416E"/>
    <w:rsid w:val="00F50F0D"/>
    <w:rsid w:val="00F53392"/>
    <w:rsid w:val="00F57C1E"/>
    <w:rsid w:val="00F626CE"/>
    <w:rsid w:val="00F63FF6"/>
    <w:rsid w:val="00F6554C"/>
    <w:rsid w:val="00F656FE"/>
    <w:rsid w:val="00F725E1"/>
    <w:rsid w:val="00F776D0"/>
    <w:rsid w:val="00F94673"/>
    <w:rsid w:val="00FA12F5"/>
    <w:rsid w:val="00FA345D"/>
    <w:rsid w:val="00FB7FB9"/>
    <w:rsid w:val="00FC0255"/>
    <w:rsid w:val="00FC2533"/>
    <w:rsid w:val="00FE4991"/>
    <w:rsid w:val="00FF0D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B4676D"/>
  <w15:chartTrackingRefBased/>
  <w15:docId w15:val="{ADB453B5-3000-43BB-8A8C-44B6E4B4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7B9E"/>
    <w:pPr>
      <w:spacing w:after="200" w:line="276" w:lineRule="auto"/>
    </w:pPr>
    <w:rPr>
      <w:rFonts w:ascii="Calibri" w:eastAsia="Calibri" w:hAnsi="Calibri" w:cs="Times New Roman"/>
      <w:kern w:val="0"/>
      <w:lang w:val="sq-AL"/>
      <w14:ligatures w14:val="none"/>
    </w:rPr>
  </w:style>
  <w:style w:type="paragraph" w:styleId="Heading1">
    <w:name w:val="heading 1"/>
    <w:basedOn w:val="Normal"/>
    <w:next w:val="Normal"/>
    <w:link w:val="Heading1Char"/>
    <w:uiPriority w:val="9"/>
    <w:qFormat/>
    <w:rsid w:val="00807B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7B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B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B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B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B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B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B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B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B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7B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B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B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B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B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B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B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B9E"/>
    <w:rPr>
      <w:rFonts w:eastAsiaTheme="majorEastAsia" w:cstheme="majorBidi"/>
      <w:color w:val="272727" w:themeColor="text1" w:themeTint="D8"/>
    </w:rPr>
  </w:style>
  <w:style w:type="paragraph" w:styleId="Title">
    <w:name w:val="Title"/>
    <w:basedOn w:val="Normal"/>
    <w:next w:val="Normal"/>
    <w:link w:val="TitleChar"/>
    <w:uiPriority w:val="10"/>
    <w:qFormat/>
    <w:rsid w:val="00807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B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B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B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B9E"/>
    <w:pPr>
      <w:spacing w:before="160"/>
      <w:jc w:val="center"/>
    </w:pPr>
    <w:rPr>
      <w:i/>
      <w:iCs/>
      <w:color w:val="404040" w:themeColor="text1" w:themeTint="BF"/>
    </w:rPr>
  </w:style>
  <w:style w:type="character" w:customStyle="1" w:styleId="QuoteChar">
    <w:name w:val="Quote Char"/>
    <w:basedOn w:val="DefaultParagraphFont"/>
    <w:link w:val="Quote"/>
    <w:uiPriority w:val="29"/>
    <w:rsid w:val="00807B9E"/>
    <w:rPr>
      <w:i/>
      <w:iCs/>
      <w:color w:val="404040" w:themeColor="text1" w:themeTint="BF"/>
    </w:rPr>
  </w:style>
  <w:style w:type="paragraph" w:styleId="ListParagraph">
    <w:name w:val="List Paragraph"/>
    <w:basedOn w:val="Normal"/>
    <w:uiPriority w:val="34"/>
    <w:qFormat/>
    <w:rsid w:val="00807B9E"/>
    <w:pPr>
      <w:ind w:left="720"/>
      <w:contextualSpacing/>
    </w:pPr>
  </w:style>
  <w:style w:type="character" w:styleId="IntenseEmphasis">
    <w:name w:val="Intense Emphasis"/>
    <w:basedOn w:val="DefaultParagraphFont"/>
    <w:uiPriority w:val="21"/>
    <w:qFormat/>
    <w:rsid w:val="00807B9E"/>
    <w:rPr>
      <w:i/>
      <w:iCs/>
      <w:color w:val="0F4761" w:themeColor="accent1" w:themeShade="BF"/>
    </w:rPr>
  </w:style>
  <w:style w:type="paragraph" w:styleId="IntenseQuote">
    <w:name w:val="Intense Quote"/>
    <w:basedOn w:val="Normal"/>
    <w:next w:val="Normal"/>
    <w:link w:val="IntenseQuoteChar"/>
    <w:uiPriority w:val="30"/>
    <w:qFormat/>
    <w:rsid w:val="00807B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B9E"/>
    <w:rPr>
      <w:i/>
      <w:iCs/>
      <w:color w:val="0F4761" w:themeColor="accent1" w:themeShade="BF"/>
    </w:rPr>
  </w:style>
  <w:style w:type="character" w:styleId="IntenseReference">
    <w:name w:val="Intense Reference"/>
    <w:basedOn w:val="DefaultParagraphFont"/>
    <w:uiPriority w:val="32"/>
    <w:qFormat/>
    <w:rsid w:val="00807B9E"/>
    <w:rPr>
      <w:b/>
      <w:bCs/>
      <w:smallCaps/>
      <w:color w:val="0F4761" w:themeColor="accent1" w:themeShade="BF"/>
      <w:spacing w:val="5"/>
    </w:rPr>
  </w:style>
  <w:style w:type="paragraph" w:styleId="NoSpacing">
    <w:name w:val="No Spacing"/>
    <w:uiPriority w:val="1"/>
    <w:qFormat/>
    <w:rsid w:val="00AA597F"/>
    <w:pPr>
      <w:spacing w:after="0" w:line="240" w:lineRule="auto"/>
    </w:pPr>
    <w:rPr>
      <w:rFonts w:ascii="Calibri" w:eastAsia="Calibri" w:hAnsi="Calibri" w:cs="Times New Roman"/>
      <w:kern w:val="0"/>
      <w14:ligatures w14:val="none"/>
    </w:rPr>
  </w:style>
  <w:style w:type="character" w:customStyle="1" w:styleId="markedcontent">
    <w:name w:val="markedcontent"/>
    <w:basedOn w:val="DefaultParagraphFont"/>
    <w:rsid w:val="00AA597F"/>
  </w:style>
  <w:style w:type="paragraph" w:styleId="Header">
    <w:name w:val="header"/>
    <w:basedOn w:val="Normal"/>
    <w:link w:val="HeaderChar"/>
    <w:uiPriority w:val="99"/>
    <w:unhideWhenUsed/>
    <w:rsid w:val="00FA1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2F5"/>
    <w:rPr>
      <w:rFonts w:ascii="Calibri" w:eastAsia="Calibri" w:hAnsi="Calibri" w:cs="Times New Roman"/>
      <w:kern w:val="0"/>
      <w14:ligatures w14:val="none"/>
    </w:rPr>
  </w:style>
  <w:style w:type="paragraph" w:styleId="Footer">
    <w:name w:val="footer"/>
    <w:basedOn w:val="Normal"/>
    <w:link w:val="FooterChar"/>
    <w:uiPriority w:val="99"/>
    <w:unhideWhenUsed/>
    <w:rsid w:val="00FA1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2F5"/>
    <w:rPr>
      <w:rFonts w:ascii="Calibri" w:eastAsia="Calibri" w:hAnsi="Calibri" w:cs="Times New Roman"/>
      <w:kern w:val="0"/>
      <w14:ligatures w14:val="none"/>
    </w:rPr>
  </w:style>
  <w:style w:type="paragraph" w:customStyle="1" w:styleId="Paragrafi">
    <w:name w:val="Paragrafi"/>
    <w:link w:val="ParagrafiChar"/>
    <w:qFormat/>
    <w:rsid w:val="00140A4B"/>
    <w:pPr>
      <w:widowControl w:val="0"/>
      <w:spacing w:after="0" w:line="240" w:lineRule="auto"/>
      <w:ind w:firstLine="284"/>
      <w:jc w:val="both"/>
    </w:pPr>
    <w:rPr>
      <w:rFonts w:ascii="Garamond" w:eastAsia="MS Mincho" w:hAnsi="Garamond" w:cs="CG Times"/>
      <w:kern w:val="0"/>
      <w:sz w:val="24"/>
      <w14:ligatures w14:val="none"/>
    </w:rPr>
  </w:style>
  <w:style w:type="character" w:customStyle="1" w:styleId="ParagrafiChar">
    <w:name w:val="Paragrafi Char"/>
    <w:link w:val="Paragrafi"/>
    <w:uiPriority w:val="99"/>
    <w:locked/>
    <w:rsid w:val="00140A4B"/>
    <w:rPr>
      <w:rFonts w:ascii="Garamond" w:eastAsia="MS Mincho" w:hAnsi="Garamond" w:cs="CG Times"/>
      <w:kern w:val="0"/>
      <w:sz w:val="24"/>
      <w14:ligatures w14:val="none"/>
    </w:rPr>
  </w:style>
  <w:style w:type="character" w:styleId="CommentReference">
    <w:name w:val="annotation reference"/>
    <w:basedOn w:val="DefaultParagraphFont"/>
    <w:uiPriority w:val="99"/>
    <w:semiHidden/>
    <w:unhideWhenUsed/>
    <w:rsid w:val="00B8268B"/>
    <w:rPr>
      <w:sz w:val="16"/>
      <w:szCs w:val="16"/>
    </w:rPr>
  </w:style>
  <w:style w:type="paragraph" w:styleId="CommentText">
    <w:name w:val="annotation text"/>
    <w:basedOn w:val="Normal"/>
    <w:link w:val="CommentTextChar"/>
    <w:uiPriority w:val="99"/>
    <w:unhideWhenUsed/>
    <w:rsid w:val="00B8268B"/>
    <w:pPr>
      <w:spacing w:line="240" w:lineRule="auto"/>
    </w:pPr>
    <w:rPr>
      <w:sz w:val="20"/>
      <w:szCs w:val="20"/>
    </w:rPr>
  </w:style>
  <w:style w:type="character" w:customStyle="1" w:styleId="CommentTextChar">
    <w:name w:val="Comment Text Char"/>
    <w:basedOn w:val="DefaultParagraphFont"/>
    <w:link w:val="CommentText"/>
    <w:uiPriority w:val="99"/>
    <w:rsid w:val="00B8268B"/>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8268B"/>
    <w:rPr>
      <w:b/>
      <w:bCs/>
    </w:rPr>
  </w:style>
  <w:style w:type="character" w:customStyle="1" w:styleId="CommentSubjectChar">
    <w:name w:val="Comment Subject Char"/>
    <w:basedOn w:val="CommentTextChar"/>
    <w:link w:val="CommentSubject"/>
    <w:uiPriority w:val="99"/>
    <w:semiHidden/>
    <w:rsid w:val="00B8268B"/>
    <w:rPr>
      <w:rFonts w:ascii="Calibri" w:eastAsia="Calibri" w:hAnsi="Calibri" w:cs="Times New Roman"/>
      <w:b/>
      <w:bCs/>
      <w:kern w:val="0"/>
      <w:sz w:val="20"/>
      <w:szCs w:val="20"/>
      <w14:ligatures w14:val="none"/>
    </w:rPr>
  </w:style>
  <w:style w:type="paragraph" w:styleId="Revision">
    <w:name w:val="Revision"/>
    <w:hidden/>
    <w:uiPriority w:val="99"/>
    <w:semiHidden/>
    <w:rsid w:val="00E96ED6"/>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C432AC"/>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C03EB0"/>
    <w:rPr>
      <w:b/>
      <w:bCs/>
    </w:rPr>
  </w:style>
  <w:style w:type="table" w:styleId="TableGrid">
    <w:name w:val="Table Grid"/>
    <w:basedOn w:val="TableNormal"/>
    <w:uiPriority w:val="39"/>
    <w:rsid w:val="00F33DB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76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6D0"/>
    <w:rPr>
      <w:rFonts w:ascii="Segoe UI" w:eastAsia="Calibr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38022">
      <w:bodyDiv w:val="1"/>
      <w:marLeft w:val="0"/>
      <w:marRight w:val="0"/>
      <w:marTop w:val="0"/>
      <w:marBottom w:val="0"/>
      <w:divBdr>
        <w:top w:val="none" w:sz="0" w:space="0" w:color="auto"/>
        <w:left w:val="none" w:sz="0" w:space="0" w:color="auto"/>
        <w:bottom w:val="none" w:sz="0" w:space="0" w:color="auto"/>
        <w:right w:val="none" w:sz="0" w:space="0" w:color="auto"/>
      </w:divBdr>
    </w:div>
    <w:div w:id="91707439">
      <w:bodyDiv w:val="1"/>
      <w:marLeft w:val="0"/>
      <w:marRight w:val="0"/>
      <w:marTop w:val="0"/>
      <w:marBottom w:val="0"/>
      <w:divBdr>
        <w:top w:val="none" w:sz="0" w:space="0" w:color="auto"/>
        <w:left w:val="none" w:sz="0" w:space="0" w:color="auto"/>
        <w:bottom w:val="none" w:sz="0" w:space="0" w:color="auto"/>
        <w:right w:val="none" w:sz="0" w:space="0" w:color="auto"/>
      </w:divBdr>
    </w:div>
    <w:div w:id="111216281">
      <w:bodyDiv w:val="1"/>
      <w:marLeft w:val="0"/>
      <w:marRight w:val="0"/>
      <w:marTop w:val="0"/>
      <w:marBottom w:val="0"/>
      <w:divBdr>
        <w:top w:val="none" w:sz="0" w:space="0" w:color="auto"/>
        <w:left w:val="none" w:sz="0" w:space="0" w:color="auto"/>
        <w:bottom w:val="none" w:sz="0" w:space="0" w:color="auto"/>
        <w:right w:val="none" w:sz="0" w:space="0" w:color="auto"/>
      </w:divBdr>
    </w:div>
    <w:div w:id="137384207">
      <w:bodyDiv w:val="1"/>
      <w:marLeft w:val="0"/>
      <w:marRight w:val="0"/>
      <w:marTop w:val="0"/>
      <w:marBottom w:val="0"/>
      <w:divBdr>
        <w:top w:val="none" w:sz="0" w:space="0" w:color="auto"/>
        <w:left w:val="none" w:sz="0" w:space="0" w:color="auto"/>
        <w:bottom w:val="none" w:sz="0" w:space="0" w:color="auto"/>
        <w:right w:val="none" w:sz="0" w:space="0" w:color="auto"/>
      </w:divBdr>
    </w:div>
    <w:div w:id="192966752">
      <w:bodyDiv w:val="1"/>
      <w:marLeft w:val="0"/>
      <w:marRight w:val="0"/>
      <w:marTop w:val="0"/>
      <w:marBottom w:val="0"/>
      <w:divBdr>
        <w:top w:val="none" w:sz="0" w:space="0" w:color="auto"/>
        <w:left w:val="none" w:sz="0" w:space="0" w:color="auto"/>
        <w:bottom w:val="none" w:sz="0" w:space="0" w:color="auto"/>
        <w:right w:val="none" w:sz="0" w:space="0" w:color="auto"/>
      </w:divBdr>
    </w:div>
    <w:div w:id="196889395">
      <w:bodyDiv w:val="1"/>
      <w:marLeft w:val="0"/>
      <w:marRight w:val="0"/>
      <w:marTop w:val="0"/>
      <w:marBottom w:val="0"/>
      <w:divBdr>
        <w:top w:val="none" w:sz="0" w:space="0" w:color="auto"/>
        <w:left w:val="none" w:sz="0" w:space="0" w:color="auto"/>
        <w:bottom w:val="none" w:sz="0" w:space="0" w:color="auto"/>
        <w:right w:val="none" w:sz="0" w:space="0" w:color="auto"/>
      </w:divBdr>
    </w:div>
    <w:div w:id="353387739">
      <w:bodyDiv w:val="1"/>
      <w:marLeft w:val="0"/>
      <w:marRight w:val="0"/>
      <w:marTop w:val="0"/>
      <w:marBottom w:val="0"/>
      <w:divBdr>
        <w:top w:val="none" w:sz="0" w:space="0" w:color="auto"/>
        <w:left w:val="none" w:sz="0" w:space="0" w:color="auto"/>
        <w:bottom w:val="none" w:sz="0" w:space="0" w:color="auto"/>
        <w:right w:val="none" w:sz="0" w:space="0" w:color="auto"/>
      </w:divBdr>
    </w:div>
    <w:div w:id="688456055">
      <w:bodyDiv w:val="1"/>
      <w:marLeft w:val="0"/>
      <w:marRight w:val="0"/>
      <w:marTop w:val="0"/>
      <w:marBottom w:val="0"/>
      <w:divBdr>
        <w:top w:val="none" w:sz="0" w:space="0" w:color="auto"/>
        <w:left w:val="none" w:sz="0" w:space="0" w:color="auto"/>
        <w:bottom w:val="none" w:sz="0" w:space="0" w:color="auto"/>
        <w:right w:val="none" w:sz="0" w:space="0" w:color="auto"/>
      </w:divBdr>
    </w:div>
    <w:div w:id="740057073">
      <w:bodyDiv w:val="1"/>
      <w:marLeft w:val="0"/>
      <w:marRight w:val="0"/>
      <w:marTop w:val="0"/>
      <w:marBottom w:val="0"/>
      <w:divBdr>
        <w:top w:val="none" w:sz="0" w:space="0" w:color="auto"/>
        <w:left w:val="none" w:sz="0" w:space="0" w:color="auto"/>
        <w:bottom w:val="none" w:sz="0" w:space="0" w:color="auto"/>
        <w:right w:val="none" w:sz="0" w:space="0" w:color="auto"/>
      </w:divBdr>
    </w:div>
    <w:div w:id="770511065">
      <w:bodyDiv w:val="1"/>
      <w:marLeft w:val="0"/>
      <w:marRight w:val="0"/>
      <w:marTop w:val="0"/>
      <w:marBottom w:val="0"/>
      <w:divBdr>
        <w:top w:val="none" w:sz="0" w:space="0" w:color="auto"/>
        <w:left w:val="none" w:sz="0" w:space="0" w:color="auto"/>
        <w:bottom w:val="none" w:sz="0" w:space="0" w:color="auto"/>
        <w:right w:val="none" w:sz="0" w:space="0" w:color="auto"/>
      </w:divBdr>
    </w:div>
    <w:div w:id="929778557">
      <w:bodyDiv w:val="1"/>
      <w:marLeft w:val="0"/>
      <w:marRight w:val="0"/>
      <w:marTop w:val="0"/>
      <w:marBottom w:val="0"/>
      <w:divBdr>
        <w:top w:val="none" w:sz="0" w:space="0" w:color="auto"/>
        <w:left w:val="none" w:sz="0" w:space="0" w:color="auto"/>
        <w:bottom w:val="none" w:sz="0" w:space="0" w:color="auto"/>
        <w:right w:val="none" w:sz="0" w:space="0" w:color="auto"/>
      </w:divBdr>
    </w:div>
    <w:div w:id="1009916123">
      <w:bodyDiv w:val="1"/>
      <w:marLeft w:val="0"/>
      <w:marRight w:val="0"/>
      <w:marTop w:val="0"/>
      <w:marBottom w:val="0"/>
      <w:divBdr>
        <w:top w:val="none" w:sz="0" w:space="0" w:color="auto"/>
        <w:left w:val="none" w:sz="0" w:space="0" w:color="auto"/>
        <w:bottom w:val="none" w:sz="0" w:space="0" w:color="auto"/>
        <w:right w:val="none" w:sz="0" w:space="0" w:color="auto"/>
      </w:divBdr>
    </w:div>
    <w:div w:id="1069963714">
      <w:bodyDiv w:val="1"/>
      <w:marLeft w:val="0"/>
      <w:marRight w:val="0"/>
      <w:marTop w:val="0"/>
      <w:marBottom w:val="0"/>
      <w:divBdr>
        <w:top w:val="none" w:sz="0" w:space="0" w:color="auto"/>
        <w:left w:val="none" w:sz="0" w:space="0" w:color="auto"/>
        <w:bottom w:val="none" w:sz="0" w:space="0" w:color="auto"/>
        <w:right w:val="none" w:sz="0" w:space="0" w:color="auto"/>
      </w:divBdr>
    </w:div>
    <w:div w:id="1225221982">
      <w:bodyDiv w:val="1"/>
      <w:marLeft w:val="0"/>
      <w:marRight w:val="0"/>
      <w:marTop w:val="0"/>
      <w:marBottom w:val="0"/>
      <w:divBdr>
        <w:top w:val="none" w:sz="0" w:space="0" w:color="auto"/>
        <w:left w:val="none" w:sz="0" w:space="0" w:color="auto"/>
        <w:bottom w:val="none" w:sz="0" w:space="0" w:color="auto"/>
        <w:right w:val="none" w:sz="0" w:space="0" w:color="auto"/>
      </w:divBdr>
    </w:div>
    <w:div w:id="1341811712">
      <w:bodyDiv w:val="1"/>
      <w:marLeft w:val="0"/>
      <w:marRight w:val="0"/>
      <w:marTop w:val="0"/>
      <w:marBottom w:val="0"/>
      <w:divBdr>
        <w:top w:val="none" w:sz="0" w:space="0" w:color="auto"/>
        <w:left w:val="none" w:sz="0" w:space="0" w:color="auto"/>
        <w:bottom w:val="none" w:sz="0" w:space="0" w:color="auto"/>
        <w:right w:val="none" w:sz="0" w:space="0" w:color="auto"/>
      </w:divBdr>
    </w:div>
    <w:div w:id="1454250434">
      <w:bodyDiv w:val="1"/>
      <w:marLeft w:val="0"/>
      <w:marRight w:val="0"/>
      <w:marTop w:val="0"/>
      <w:marBottom w:val="0"/>
      <w:divBdr>
        <w:top w:val="none" w:sz="0" w:space="0" w:color="auto"/>
        <w:left w:val="none" w:sz="0" w:space="0" w:color="auto"/>
        <w:bottom w:val="none" w:sz="0" w:space="0" w:color="auto"/>
        <w:right w:val="none" w:sz="0" w:space="0" w:color="auto"/>
      </w:divBdr>
    </w:div>
    <w:div w:id="1669597712">
      <w:bodyDiv w:val="1"/>
      <w:marLeft w:val="0"/>
      <w:marRight w:val="0"/>
      <w:marTop w:val="0"/>
      <w:marBottom w:val="0"/>
      <w:divBdr>
        <w:top w:val="none" w:sz="0" w:space="0" w:color="auto"/>
        <w:left w:val="none" w:sz="0" w:space="0" w:color="auto"/>
        <w:bottom w:val="none" w:sz="0" w:space="0" w:color="auto"/>
        <w:right w:val="none" w:sz="0" w:space="0" w:color="auto"/>
      </w:divBdr>
    </w:div>
    <w:div w:id="1679967669">
      <w:bodyDiv w:val="1"/>
      <w:marLeft w:val="0"/>
      <w:marRight w:val="0"/>
      <w:marTop w:val="0"/>
      <w:marBottom w:val="0"/>
      <w:divBdr>
        <w:top w:val="none" w:sz="0" w:space="0" w:color="auto"/>
        <w:left w:val="none" w:sz="0" w:space="0" w:color="auto"/>
        <w:bottom w:val="none" w:sz="0" w:space="0" w:color="auto"/>
        <w:right w:val="none" w:sz="0" w:space="0" w:color="auto"/>
      </w:divBdr>
    </w:div>
    <w:div w:id="1738438627">
      <w:bodyDiv w:val="1"/>
      <w:marLeft w:val="0"/>
      <w:marRight w:val="0"/>
      <w:marTop w:val="0"/>
      <w:marBottom w:val="0"/>
      <w:divBdr>
        <w:top w:val="none" w:sz="0" w:space="0" w:color="auto"/>
        <w:left w:val="none" w:sz="0" w:space="0" w:color="auto"/>
        <w:bottom w:val="none" w:sz="0" w:space="0" w:color="auto"/>
        <w:right w:val="none" w:sz="0" w:space="0" w:color="auto"/>
      </w:divBdr>
    </w:div>
    <w:div w:id="1766880818">
      <w:bodyDiv w:val="1"/>
      <w:marLeft w:val="0"/>
      <w:marRight w:val="0"/>
      <w:marTop w:val="0"/>
      <w:marBottom w:val="0"/>
      <w:divBdr>
        <w:top w:val="none" w:sz="0" w:space="0" w:color="auto"/>
        <w:left w:val="none" w:sz="0" w:space="0" w:color="auto"/>
        <w:bottom w:val="none" w:sz="0" w:space="0" w:color="auto"/>
        <w:right w:val="none" w:sz="0" w:space="0" w:color="auto"/>
      </w:divBdr>
    </w:div>
    <w:div w:id="1848668954">
      <w:bodyDiv w:val="1"/>
      <w:marLeft w:val="0"/>
      <w:marRight w:val="0"/>
      <w:marTop w:val="0"/>
      <w:marBottom w:val="0"/>
      <w:divBdr>
        <w:top w:val="none" w:sz="0" w:space="0" w:color="auto"/>
        <w:left w:val="none" w:sz="0" w:space="0" w:color="auto"/>
        <w:bottom w:val="none" w:sz="0" w:space="0" w:color="auto"/>
        <w:right w:val="none" w:sz="0" w:space="0" w:color="auto"/>
      </w:divBdr>
    </w:div>
    <w:div w:id="1856730668">
      <w:bodyDiv w:val="1"/>
      <w:marLeft w:val="0"/>
      <w:marRight w:val="0"/>
      <w:marTop w:val="0"/>
      <w:marBottom w:val="0"/>
      <w:divBdr>
        <w:top w:val="none" w:sz="0" w:space="0" w:color="auto"/>
        <w:left w:val="none" w:sz="0" w:space="0" w:color="auto"/>
        <w:bottom w:val="none" w:sz="0" w:space="0" w:color="auto"/>
        <w:right w:val="none" w:sz="0" w:space="0" w:color="auto"/>
      </w:divBdr>
    </w:div>
    <w:div w:id="192009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264</Nr_x002e__x0020_akti>
    <Data_x0020_e_x0020_Krijimit xmlns="0e656187-b300-4fb0-8bf4-3a50f872073c">2026-04-15T09:54:14Z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2026-04-14T00:00:00Z</Date_x0020_protokolli>
    <Titulli xmlns="0e656187-b300-4fb0-8bf4-3a50f872073c">Për miratimin e rregullave për organizimin  dhe funksionimin e Këshillit të Mbështetjes  së Projekteve të ngritur pranë Autoritetit të Mbikëqyrjes së Lojërave të Fatit</Titulli>
    <Modifikuesi xmlns="0e656187-b300-4fb0-8bf4-3a50f872073c">Fjora.Cahani</Modifikuesi>
    <Nr_x002e__x0020_prot_x0020_QBZ xmlns="0e656187-b300-4fb0-8bf4-3a50f872073c">816</Nr_x002e__x0020_prot_x0020_QBZ>
    <Data_x0020_e_x0020_Modifikimit xmlns="0e656187-b300-4fb0-8bf4-3a50f872073c">2026-04-16T09:31:21Z</Data_x0020_e_x0020_Modifikimit>
    <Dekretuar xmlns="0e656187-b300-4fb0-8bf4-3a50f872073c">false</Dekretuar>
    <Data xmlns="0e656187-b300-4fb0-8bf4-3a50f872073c">2026-04-10T00:00:00Z</Data>
    <Nr_x002e__x0020_protokolli_x0020_i_x0020_aktit xmlns="0e656187-b300-4fb0-8bf4-3a50f872073c">1361/4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3710F87FF414FC6811650C0C37669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710F87FF414FC6811650C0C37669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7889D-1478-4EE7-AA58-C34B0D4C9F88}">
  <ds:schemaRefs>
    <ds:schemaRef ds:uri="0e656187-b300-4fb0-8bf4-3a50f872073c"/>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A0A228D3-9FC8-4265-B9AE-94D98E3D61D6}">
  <ds:schemaRefs>
    <ds:schemaRef ds:uri="http://schemas.microsoft.com/sharepoint/v3/contenttype/forms"/>
  </ds:schemaRefs>
</ds:datastoreItem>
</file>

<file path=customXml/itemProps3.xml><?xml version="1.0" encoding="utf-8"?>
<ds:datastoreItem xmlns:ds="http://schemas.openxmlformats.org/officeDocument/2006/customXml" ds:itemID="{BD1DD16E-6408-4CA3-89FB-094F1E72D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6CC2FC4-7937-4CC5-9775-ED9FB4FF7275}">
  <ds:schemaRefs>
    <ds:schemaRef ds:uri="http://schemas.microsoft.com/sharepoint/v3/contenttype/forms"/>
  </ds:schemaRefs>
</ds:datastoreItem>
</file>

<file path=customXml/itemProps5.xml><?xml version="1.0" encoding="utf-8"?>
<ds:datastoreItem xmlns:ds="http://schemas.openxmlformats.org/officeDocument/2006/customXml" ds:itemID="{CCC1BA7C-1724-43ED-BAA0-0CC3F229E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A9BBA2A-7E23-4171-B834-8A53EE2C427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67</TotalTime>
  <Pages>7</Pages>
  <Words>2686</Words>
  <Characters>15314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Për miratimin e rregullave për organizimin dhe funksionimin e Këshillit të Mbështetjes së Projekteve të ngritur pranë Autoritetit të Mbikëqyrjes së Lojërave të Fatit</vt:lpstr>
    </vt:vector>
  </TitlesOfParts>
  <Company/>
  <LinksUpToDate>false</LinksUpToDate>
  <CharactersWithSpaces>17965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për organizimin dhe funksionimin e Këshillit të Mbështetjes së Projekteve të ngritur pranë Autoritetit të Mbikëqyrjes së Lojërave të Fatit</dc:title>
  <dc:creator>Rudolf Papa</dc:creator>
  <cp:lastModifiedBy>Amarilda Muja</cp:lastModifiedBy>
  <cp:revision>23</cp:revision>
  <cp:lastPrinted>2026-04-10T06:18:00Z</cp:lastPrinted>
  <dcterms:created xsi:type="dcterms:W3CDTF">2026-04-07T13:58:00Z</dcterms:created>
  <dcterms:modified xsi:type="dcterms:W3CDTF">2026-04-16T08:50:00Z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