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BE27B2" w14:textId="77777777" w:rsidR="00DC7373" w:rsidRPr="00AF228C" w:rsidRDefault="00772C6C" w:rsidP="005C2955">
      <w:pPr>
        <w:spacing w:after="0" w:line="240" w:lineRule="auto"/>
        <w:ind w:firstLine="284"/>
        <w:jc w:val="center"/>
        <w:rPr>
          <w:rFonts w:ascii="Garamond" w:eastAsia="Times New Roman" w:hAnsi="Garamond" w:cs="Times New Roman"/>
          <w:b/>
          <w:sz w:val="24"/>
          <w:szCs w:val="24"/>
        </w:rPr>
      </w:pPr>
      <w:r w:rsidRPr="00AF228C">
        <w:rPr>
          <w:rFonts w:ascii="Garamond" w:eastAsia="Times New Roman" w:hAnsi="Garamond" w:cs="Times New Roman"/>
          <w:b/>
          <w:sz w:val="24"/>
          <w:szCs w:val="24"/>
        </w:rPr>
        <w:t>V</w:t>
      </w:r>
      <w:r w:rsidR="00D03A13" w:rsidRPr="00AF228C">
        <w:rPr>
          <w:rFonts w:ascii="Garamond" w:eastAsia="Times New Roman" w:hAnsi="Garamond" w:cs="Times New Roman"/>
          <w:b/>
          <w:sz w:val="24"/>
          <w:szCs w:val="24"/>
        </w:rPr>
        <w:t>ENDIM</w:t>
      </w:r>
    </w:p>
    <w:p w14:paraId="6C05C655" w14:textId="77777777" w:rsidR="00332029" w:rsidRPr="00AF228C" w:rsidRDefault="00772C6C" w:rsidP="005C2955">
      <w:pPr>
        <w:spacing w:after="0" w:line="240" w:lineRule="auto"/>
        <w:ind w:firstLine="284"/>
        <w:jc w:val="center"/>
        <w:rPr>
          <w:rFonts w:ascii="Garamond" w:eastAsia="Times New Roman" w:hAnsi="Garamond" w:cs="Times New Roman"/>
          <w:b/>
          <w:sz w:val="24"/>
          <w:szCs w:val="24"/>
        </w:rPr>
      </w:pPr>
      <w:r w:rsidRPr="00AF228C">
        <w:rPr>
          <w:rFonts w:ascii="Garamond" w:eastAsia="Times New Roman" w:hAnsi="Garamond" w:cs="Times New Roman"/>
          <w:b/>
          <w:sz w:val="24"/>
          <w:szCs w:val="24"/>
        </w:rPr>
        <w:t>Nr.</w:t>
      </w:r>
      <w:r w:rsidR="005C2955" w:rsidRPr="00AF228C">
        <w:rPr>
          <w:rFonts w:ascii="Garamond" w:eastAsia="Times New Roman" w:hAnsi="Garamond" w:cs="Times New Roman"/>
          <w:b/>
          <w:sz w:val="24"/>
          <w:szCs w:val="24"/>
        </w:rPr>
        <w:t xml:space="preserve"> 372</w:t>
      </w:r>
      <w:r w:rsidRPr="00AF228C">
        <w:rPr>
          <w:rFonts w:ascii="Garamond" w:eastAsia="Times New Roman" w:hAnsi="Garamond" w:cs="Times New Roman"/>
          <w:b/>
          <w:sz w:val="24"/>
          <w:szCs w:val="24"/>
        </w:rPr>
        <w:t>, datë</w:t>
      </w:r>
      <w:r w:rsidR="00332029" w:rsidRPr="00AF228C">
        <w:rPr>
          <w:rFonts w:ascii="Garamond" w:eastAsia="Times New Roman" w:hAnsi="Garamond" w:cs="Times New Roman"/>
          <w:b/>
          <w:sz w:val="24"/>
          <w:szCs w:val="24"/>
        </w:rPr>
        <w:t xml:space="preserve"> </w:t>
      </w:r>
      <w:r w:rsidR="005C2955" w:rsidRPr="00AF228C">
        <w:rPr>
          <w:rFonts w:ascii="Garamond" w:eastAsia="Times New Roman" w:hAnsi="Garamond" w:cs="Times New Roman"/>
          <w:b/>
          <w:sz w:val="24"/>
          <w:szCs w:val="24"/>
        </w:rPr>
        <w:t xml:space="preserve">20.5.2026 </w:t>
      </w:r>
      <w:r w:rsidR="00FC3FA5" w:rsidRPr="00AF228C">
        <w:rPr>
          <w:rStyle w:val="FootnoteReference"/>
          <w:rFonts w:ascii="Garamond" w:eastAsia="Times New Roman" w:hAnsi="Garamond" w:cs="Times New Roman"/>
          <w:b/>
          <w:sz w:val="24"/>
          <w:szCs w:val="24"/>
        </w:rPr>
        <w:footnoteReference w:id="1"/>
      </w:r>
    </w:p>
    <w:p w14:paraId="34968FA9" w14:textId="77777777" w:rsidR="00332029" w:rsidRPr="00AF228C" w:rsidRDefault="00332029" w:rsidP="005C2955">
      <w:pPr>
        <w:spacing w:after="0" w:line="240" w:lineRule="auto"/>
        <w:ind w:firstLine="284"/>
        <w:jc w:val="center"/>
        <w:rPr>
          <w:rFonts w:ascii="Garamond" w:eastAsia="Times New Roman" w:hAnsi="Garamond" w:cs="Times New Roman"/>
          <w:b/>
          <w:sz w:val="24"/>
          <w:szCs w:val="24"/>
        </w:rPr>
      </w:pPr>
    </w:p>
    <w:p w14:paraId="0F1205B6"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PËR PËRCAKTIMIN E MËNYRËS SË ORGANIZIMIT E TË FUNKSIONIMIT TË TREGUT TË PRODUKTEVE TË PESHKIMIT E TË AKUAKULTURËS DHE PËR MIRATIMIN E FORMËS E TË PËRMBAJTJES SË PLANEVE TË PRODHIMIT E TË MARKETINGUT</w:t>
      </w:r>
    </w:p>
    <w:p w14:paraId="4171DD40"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p>
    <w:p w14:paraId="4841BAB0" w14:textId="2807A188"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Në mbështetje të nenit 100 të Kushtetutës dhe të neneve 61/1, pika 2/1, dhe 109,</w:t>
      </w:r>
      <w:r w:rsidR="00D25767">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pika 4, të ligjit nr.</w:t>
      </w:r>
      <w:r w:rsidR="00AF228C" w:rsidRPr="00AF228C">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64/2012, “Për peshkimin”, të ndryshuar, me propozimin e ministrit të Bujqësisë dhe Zhvillimit Rural, Këshilli i Ministrave</w:t>
      </w:r>
    </w:p>
    <w:p w14:paraId="1CA3D4FF"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542EF30F"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F228C">
        <w:rPr>
          <w:rFonts w:ascii="Garamond" w:eastAsiaTheme="minorHAnsi" w:hAnsi="Garamond" w:cs="Times New Roman"/>
          <w:bCs/>
          <w:color w:val="000000"/>
          <w:sz w:val="24"/>
          <w:szCs w:val="24"/>
        </w:rPr>
        <w:t>VENDOSI:</w:t>
      </w:r>
    </w:p>
    <w:p w14:paraId="282F57AC"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3B43376E"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F228C">
        <w:rPr>
          <w:rFonts w:ascii="Garamond" w:eastAsiaTheme="minorHAnsi" w:hAnsi="Garamond" w:cs="Times New Roman"/>
          <w:bCs/>
          <w:color w:val="000000"/>
          <w:sz w:val="24"/>
          <w:szCs w:val="24"/>
        </w:rPr>
        <w:t>KREU I</w:t>
      </w:r>
    </w:p>
    <w:p w14:paraId="1CB2378D"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F228C">
        <w:rPr>
          <w:rFonts w:ascii="Garamond" w:eastAsiaTheme="minorHAnsi" w:hAnsi="Garamond" w:cs="Times New Roman"/>
          <w:bCs/>
          <w:color w:val="000000"/>
          <w:sz w:val="24"/>
          <w:szCs w:val="24"/>
        </w:rPr>
        <w:t>DISPOZITA TË PËRGJITHSHME</w:t>
      </w:r>
    </w:p>
    <w:p w14:paraId="7C09E5B9"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22BEF1AE"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F228C">
        <w:rPr>
          <w:rFonts w:ascii="Garamond" w:eastAsiaTheme="minorHAnsi" w:hAnsi="Garamond" w:cs="Times New Roman"/>
          <w:bCs/>
          <w:color w:val="000000"/>
          <w:sz w:val="24"/>
          <w:szCs w:val="24"/>
        </w:rPr>
        <w:t>Neni 1</w:t>
      </w:r>
    </w:p>
    <w:p w14:paraId="124A6346"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Qëllimi</w:t>
      </w:r>
    </w:p>
    <w:p w14:paraId="4ACF3DB6" w14:textId="77777777" w:rsidR="005C2955" w:rsidRPr="00AF228C" w:rsidRDefault="005C2955" w:rsidP="00AF228C">
      <w:pPr>
        <w:autoSpaceDE w:val="0"/>
        <w:autoSpaceDN w:val="0"/>
        <w:adjustRightInd w:val="0"/>
        <w:spacing w:after="0" w:line="240" w:lineRule="auto"/>
        <w:ind w:firstLine="284"/>
        <w:jc w:val="both"/>
        <w:rPr>
          <w:rFonts w:ascii="Garamond" w:eastAsiaTheme="minorHAnsi" w:hAnsi="Garamond" w:cs="Times New Roman"/>
          <w:b/>
          <w:bCs/>
          <w:color w:val="000000"/>
          <w:sz w:val="24"/>
          <w:szCs w:val="24"/>
        </w:rPr>
      </w:pPr>
    </w:p>
    <w:p w14:paraId="0B7F3B53" w14:textId="77777777" w:rsidR="005C2955" w:rsidRPr="00AF228C" w:rsidRDefault="005C2955" w:rsidP="00AF228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1. Ky vendim ka për qëllim të përcaktojë mënyrën e organizimit e të funksionimit të tregut të produkteve të peshkimit e të akuakulturës dhe të miratojë formën dhe përmbajtjen e planeve të prodhimit e të marketingut.</w:t>
      </w:r>
    </w:p>
    <w:p w14:paraId="2B138837" w14:textId="77777777" w:rsidR="005C2955" w:rsidRPr="00AF228C" w:rsidRDefault="005C2955" w:rsidP="00AF228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2. Organizimi i tregut të produkteve të peshkimit e të akuakulturës, këtu e në vijim “tregu”, përbëhet nga elementet e mëposhtme:</w:t>
      </w:r>
    </w:p>
    <w:p w14:paraId="275D6E23" w14:textId="77777777" w:rsidR="005C2955" w:rsidRPr="00AF228C" w:rsidRDefault="005C2955" w:rsidP="00AF228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a) Organizatat sipas pikës 53, të nenit 4, të ligjit nr.</w:t>
      </w:r>
      <w:r w:rsidR="00AF228C">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64/2012, “Për peshkimin”, të ndryshuar;</w:t>
      </w:r>
    </w:p>
    <w:p w14:paraId="46570B7B" w14:textId="13A29C1D" w:rsidR="005C2955" w:rsidRPr="00AF228C" w:rsidRDefault="005C2955" w:rsidP="00AF228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b) Standardet e</w:t>
      </w:r>
      <w:r w:rsidR="00D25767">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marketingut;</w:t>
      </w:r>
    </w:p>
    <w:p w14:paraId="14605490" w14:textId="77777777" w:rsidR="005C2955" w:rsidRPr="00AF228C" w:rsidRDefault="005C2955" w:rsidP="00AF228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c) Informacionet për konsumatorin;</w:t>
      </w:r>
    </w:p>
    <w:p w14:paraId="4E98DAD9" w14:textId="77777777" w:rsidR="005C2955" w:rsidRPr="00AF228C" w:rsidRDefault="005C2955" w:rsidP="00AF228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ç) Rregullat e konkurrencës;</w:t>
      </w:r>
    </w:p>
    <w:p w14:paraId="59109C0F" w14:textId="77777777" w:rsidR="005C2955" w:rsidRPr="00AF228C" w:rsidRDefault="00AF228C" w:rsidP="00AF228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color w:val="000000"/>
          <w:sz w:val="24"/>
          <w:szCs w:val="24"/>
        </w:rPr>
        <w:t>d)</w:t>
      </w:r>
      <w:r w:rsidR="005C2955" w:rsidRPr="00AF228C">
        <w:rPr>
          <w:rFonts w:ascii="Garamond" w:eastAsiaTheme="minorHAnsi" w:hAnsi="Garamond" w:cs="Times New Roman"/>
          <w:color w:val="000000"/>
          <w:sz w:val="24"/>
          <w:szCs w:val="24"/>
        </w:rPr>
        <w:t xml:space="preserve"> Informacionet mbi tregjet.</w:t>
      </w:r>
    </w:p>
    <w:p w14:paraId="6D3FD47F" w14:textId="77777777" w:rsidR="005C2955" w:rsidRPr="00AF228C" w:rsidRDefault="005C2955" w:rsidP="00AF228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3. Organizatat e prodhuesve dhe organizatat ndërsektoriale mund të përfitojnë mbështetje financiare nga skema e masave mbështetëse të ministrisë.</w:t>
      </w:r>
    </w:p>
    <w:p w14:paraId="44C7FF4D"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479A0DDB"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r w:rsidRPr="00AF228C">
        <w:rPr>
          <w:rFonts w:ascii="Garamond" w:eastAsiaTheme="minorHAnsi" w:hAnsi="Garamond" w:cs="Times New Roman"/>
          <w:bCs/>
          <w:color w:val="000000"/>
          <w:sz w:val="24"/>
          <w:szCs w:val="24"/>
        </w:rPr>
        <w:t>Neni 2</w:t>
      </w:r>
    </w:p>
    <w:p w14:paraId="7C125F13"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 xml:space="preserve">Objektivat e organizimit të tregut </w:t>
      </w:r>
    </w:p>
    <w:p w14:paraId="67D657E8"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24F750CD"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1. Organizimi i tregut për produktet e peshkimit e të akuakulturës krijohet</w:t>
      </w:r>
      <w:r w:rsidR="00AF228C">
        <w:rPr>
          <w:rFonts w:ascii="Garamond" w:eastAsiaTheme="minorHAnsi" w:hAnsi="Garamond" w:cs="Times New Roman"/>
          <w:color w:val="000000"/>
          <w:sz w:val="24"/>
          <w:szCs w:val="24"/>
        </w:rPr>
        <w:t>,</w:t>
      </w:r>
      <w:r w:rsidRPr="00AF228C">
        <w:rPr>
          <w:rFonts w:ascii="Garamond" w:eastAsiaTheme="minorHAnsi" w:hAnsi="Garamond" w:cs="Times New Roman"/>
          <w:color w:val="000000"/>
          <w:sz w:val="24"/>
          <w:szCs w:val="24"/>
        </w:rPr>
        <w:t xml:space="preserve"> me qëllim që:</w:t>
      </w:r>
    </w:p>
    <w:p w14:paraId="3EE38311" w14:textId="55774A65"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a)</w:t>
      </w:r>
      <w:r w:rsidR="00D25767">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të kontribuojë në arritjen e objektivave për shfrytëzimin e qëndrueshëm të burimeve të gjalla detare biologjike;</w:t>
      </w:r>
    </w:p>
    <w:p w14:paraId="3927FEAA"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b) të mundësojë që industria e peshkimit dhe akuakulturës të zbatojë legjislacionin në fuqi për peshkimin dhe akuakulturën;</w:t>
      </w:r>
    </w:p>
    <w:p w14:paraId="4E619147" w14:textId="0237A875"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c) të forcojë konkurrueshmërinë e industrisë së peshkimit dhe akuakulturës, në</w:t>
      </w:r>
      <w:r w:rsidR="00D25767">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veçanti të prodhuesve;</w:t>
      </w:r>
    </w:p>
    <w:p w14:paraId="100F429D" w14:textId="40939608"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lastRenderedPageBreak/>
        <w:t>ç)</w:t>
      </w:r>
      <w:r w:rsidR="00D25767">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të përmirësojë transparencën dhe qëndrueshmërinë e tregjeve, në mënyrë të veçantë sa i përket njohurive ekono</w:t>
      </w:r>
      <w:r w:rsidR="00AF228C">
        <w:rPr>
          <w:rFonts w:ascii="Garamond" w:eastAsiaTheme="minorHAnsi" w:hAnsi="Garamond" w:cs="Times New Roman"/>
          <w:color w:val="000000"/>
          <w:sz w:val="24"/>
          <w:szCs w:val="24"/>
        </w:rPr>
        <w:t>mike dhe njohjes së tregjeve të</w:t>
      </w:r>
      <w:r w:rsidRPr="00AF228C">
        <w:rPr>
          <w:rFonts w:ascii="Garamond" w:eastAsiaTheme="minorHAnsi" w:hAnsi="Garamond" w:cs="Times New Roman"/>
          <w:color w:val="000000"/>
          <w:sz w:val="24"/>
          <w:szCs w:val="24"/>
        </w:rPr>
        <w:t xml:space="preserve"> produkteve të</w:t>
      </w:r>
      <w:r w:rsidR="00D25767">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peshkimit dhe akuakulturës përgjatë zinxhirit të furnizimit;</w:t>
      </w:r>
    </w:p>
    <w:p w14:paraId="347B3124"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 xml:space="preserve"> d) të sigurojë që shpërndarja e vlerës së shtuar përgjatë këtij z</w:t>
      </w:r>
      <w:r w:rsidR="00AF228C">
        <w:rPr>
          <w:rFonts w:ascii="Garamond" w:eastAsiaTheme="minorHAnsi" w:hAnsi="Garamond" w:cs="Times New Roman"/>
          <w:color w:val="000000"/>
          <w:sz w:val="24"/>
          <w:szCs w:val="24"/>
        </w:rPr>
        <w:t>inxhiri të jetë më e balancuar;</w:t>
      </w:r>
    </w:p>
    <w:p w14:paraId="7518FD14"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dh)</w:t>
      </w:r>
      <w:r w:rsidR="00AF228C">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të përmirësojë informimin e konsumatorit dhe ndërgjegjësimin e tij, përmes njoftimit dhe etiketimit që ofron informacion të kuptueshëm;</w:t>
      </w:r>
    </w:p>
    <w:p w14:paraId="5AB1E1A6" w14:textId="16298FE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e)</w:t>
      </w:r>
      <w:r w:rsidR="00D25767">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të kontribuojë në garantimin e kushteve të barabarta për të gjitha produktet e tregtuara, duke promovuar shfrytëzimin e qëndrueshëm të burimeve të peshkimit;</w:t>
      </w:r>
    </w:p>
    <w:p w14:paraId="752A8108"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ë) të kontribuojë në sigurimin që konsumatorët të kenë një furnizim të larmishëm me produkte të peshkimit dhe akuakulturës;</w:t>
      </w:r>
    </w:p>
    <w:p w14:paraId="7AA5070A" w14:textId="47362BFC"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f)</w:t>
      </w:r>
      <w:r w:rsidR="00D25767">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të pajisë konsumatorin me informacion të verifikueshëm dhe të saktë</w:t>
      </w:r>
      <w:r w:rsidR="00AF228C">
        <w:rPr>
          <w:rFonts w:ascii="Garamond" w:eastAsiaTheme="minorHAnsi" w:hAnsi="Garamond" w:cs="Times New Roman"/>
          <w:color w:val="000000"/>
          <w:sz w:val="24"/>
          <w:szCs w:val="24"/>
        </w:rPr>
        <w:t>,</w:t>
      </w:r>
      <w:r w:rsidRPr="00AF228C">
        <w:rPr>
          <w:rFonts w:ascii="Garamond" w:eastAsiaTheme="minorHAnsi" w:hAnsi="Garamond" w:cs="Times New Roman"/>
          <w:color w:val="000000"/>
          <w:sz w:val="24"/>
          <w:szCs w:val="24"/>
        </w:rPr>
        <w:t xml:space="preserve"> lidhur me origjinën e produktit dhe mënyrën e prodhimit të tij, veçanërisht nëpërmjet shënjimit dhe etiketimit.</w:t>
      </w:r>
    </w:p>
    <w:p w14:paraId="280C03A5"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2. Organizimi i tregut zbatohet për produktet e peshkimit dhe akuakulturës, të listuara në shtojcën I, që i bashkëlidhet këtij vendimi dhe është pjesë përbërëse e tij.</w:t>
      </w:r>
    </w:p>
    <w:p w14:paraId="6FF491E7"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148E3744"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r w:rsidRPr="00AF228C">
        <w:rPr>
          <w:rFonts w:ascii="Garamond" w:eastAsiaTheme="minorHAnsi" w:hAnsi="Garamond" w:cs="Times New Roman"/>
          <w:bCs/>
          <w:color w:val="000000"/>
          <w:sz w:val="24"/>
          <w:szCs w:val="24"/>
        </w:rPr>
        <w:t>Neni 3</w:t>
      </w:r>
    </w:p>
    <w:p w14:paraId="2EEAF85B"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Parimet e organizimit të tregut</w:t>
      </w:r>
    </w:p>
    <w:p w14:paraId="07468DEF"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38BFB941" w14:textId="77777777" w:rsidR="005C2955" w:rsidRPr="00AF228C" w:rsidRDefault="005C2955" w:rsidP="00AF228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 xml:space="preserve">Organizimi i tregut mbështetet në parimet e qeverisjes së mirë, si më poshtë vijon: </w:t>
      </w:r>
    </w:p>
    <w:p w14:paraId="2E32CBA1" w14:textId="77777777" w:rsidR="005C2955" w:rsidRPr="00AF228C" w:rsidRDefault="005C2955" w:rsidP="00AF228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a) Përcaktimi i qartë i përgjegjësive në nivel lokal, rajonal dhe kombëtar;</w:t>
      </w:r>
    </w:p>
    <w:p w14:paraId="6DBAB13C" w14:textId="77777777" w:rsidR="005C2955" w:rsidRPr="00AF228C" w:rsidRDefault="005C2955" w:rsidP="00AF228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b) Marrja në konsideratë e veçorive rajonale, përmes një qasjeje rajonale;</w:t>
      </w:r>
    </w:p>
    <w:p w14:paraId="2E2E2B28" w14:textId="77777777" w:rsidR="005C2955" w:rsidRPr="00AF228C" w:rsidRDefault="005C2955" w:rsidP="00AF228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c) Miratimi i masave menaxhuese, në përputhje me këshillat më të mira shkencore të disponueshme;</w:t>
      </w:r>
    </w:p>
    <w:p w14:paraId="3C3A67C9" w14:textId="7C0DB3E4" w:rsidR="005C2955" w:rsidRPr="00AF228C" w:rsidRDefault="005C2955" w:rsidP="00AF228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ç)</w:t>
      </w:r>
      <w:r w:rsidR="00D25767">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Ndjekja e një politike afatgjatë;</w:t>
      </w:r>
    </w:p>
    <w:p w14:paraId="27AC6416" w14:textId="77777777" w:rsidR="005C2955" w:rsidRPr="00AF228C" w:rsidRDefault="005C2955" w:rsidP="00AF228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d) Efikasiteti i kostove administrative;</w:t>
      </w:r>
    </w:p>
    <w:p w14:paraId="1B886035" w14:textId="77777777" w:rsidR="005C2955" w:rsidRPr="00AF228C" w:rsidRDefault="005C2955" w:rsidP="00AF228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dh)</w:t>
      </w:r>
      <w:r w:rsidR="00AF228C">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Përfshirja e palëve të interesuara në të gjitha fazat, nga konceptimi deri në zbatimin e masave menaxhuese;</w:t>
      </w:r>
    </w:p>
    <w:p w14:paraId="59DF9E47" w14:textId="77777777" w:rsidR="005C2955" w:rsidRPr="00AF228C" w:rsidRDefault="005C2955" w:rsidP="00AF228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e) Përputhshmëria me legjislacionin në fuqi të peshkimit dhe akuakulturës;</w:t>
      </w:r>
    </w:p>
    <w:p w14:paraId="72C7FF81" w14:textId="0DA62135" w:rsidR="005C2955" w:rsidRPr="00AF228C" w:rsidRDefault="005C2955" w:rsidP="00AF228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ë)</w:t>
      </w:r>
      <w:r w:rsidR="00D25767">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Vlerësimi i ndikimit në sektorin e peshkimit dhe akuakulturës në Shqipëri;</w:t>
      </w:r>
    </w:p>
    <w:p w14:paraId="7DA1DF69" w14:textId="77777777" w:rsidR="005C2955" w:rsidRPr="00AF228C" w:rsidRDefault="005C2955" w:rsidP="00AF228C">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 xml:space="preserve">f) Transparenca në trajtimin e të dhënave, në përputhje me legjislacionin në fuqi për mbrojtjen e të dhënave personale, si dhe vënia në dispozicion e të dhënave për institucionet shkencore, për institucione të tjera me interes shkencor ose administrimi, si dhe për përdorues të tjerë fundorë. </w:t>
      </w:r>
    </w:p>
    <w:p w14:paraId="4604C08C" w14:textId="77777777" w:rsidR="005C2955" w:rsidRPr="00AF228C" w:rsidRDefault="005C2955" w:rsidP="00AF228C">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3F5B8903"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sz w:val="24"/>
          <w:szCs w:val="24"/>
        </w:rPr>
      </w:pPr>
      <w:r w:rsidRPr="00AF228C">
        <w:rPr>
          <w:rFonts w:ascii="Garamond" w:eastAsiaTheme="minorHAnsi" w:hAnsi="Garamond" w:cs="Times New Roman"/>
          <w:bCs/>
          <w:color w:val="000000"/>
          <w:sz w:val="24"/>
          <w:szCs w:val="24"/>
        </w:rPr>
        <w:t>Neni 4</w:t>
      </w:r>
    </w:p>
    <w:p w14:paraId="35A3FCE0"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sz w:val="24"/>
          <w:szCs w:val="24"/>
        </w:rPr>
      </w:pPr>
      <w:r w:rsidRPr="00AF228C">
        <w:rPr>
          <w:rFonts w:ascii="Garamond" w:eastAsiaTheme="minorHAnsi" w:hAnsi="Garamond" w:cs="Times New Roman"/>
          <w:b/>
          <w:bCs/>
          <w:sz w:val="24"/>
          <w:szCs w:val="24"/>
        </w:rPr>
        <w:t>Përkufizimet</w:t>
      </w:r>
    </w:p>
    <w:p w14:paraId="6F28ED79"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sz w:val="24"/>
          <w:szCs w:val="24"/>
        </w:rPr>
      </w:pPr>
    </w:p>
    <w:p w14:paraId="102B1B78"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sz w:val="24"/>
          <w:szCs w:val="24"/>
        </w:rPr>
      </w:pPr>
      <w:r w:rsidRPr="00AF228C">
        <w:rPr>
          <w:rFonts w:ascii="Garamond" w:eastAsiaTheme="minorHAnsi" w:hAnsi="Garamond" w:cs="Times New Roman"/>
          <w:sz w:val="24"/>
          <w:szCs w:val="24"/>
        </w:rPr>
        <w:t>Të gjithë termat e përcaktuar në këtë vendim kanë të njëjtin kuptim me termat e përcaktuar në ligjin nr.</w:t>
      </w:r>
      <w:r w:rsidR="00AF228C">
        <w:rPr>
          <w:rFonts w:ascii="Garamond" w:eastAsiaTheme="minorHAnsi" w:hAnsi="Garamond" w:cs="Times New Roman"/>
          <w:sz w:val="24"/>
          <w:szCs w:val="24"/>
        </w:rPr>
        <w:t xml:space="preserve"> </w:t>
      </w:r>
      <w:r w:rsidRPr="00AF228C">
        <w:rPr>
          <w:rFonts w:ascii="Garamond" w:eastAsiaTheme="minorHAnsi" w:hAnsi="Garamond" w:cs="Times New Roman"/>
          <w:sz w:val="24"/>
          <w:szCs w:val="24"/>
        </w:rPr>
        <w:t>64/2012, “Për peshkimin”, të ndryshuar. Për efekt të këtij vendimi, termat e mëposhtëm kanë këto kuptime:</w:t>
      </w:r>
    </w:p>
    <w:p w14:paraId="60C97C45"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sz w:val="24"/>
          <w:szCs w:val="24"/>
        </w:rPr>
      </w:pPr>
      <w:r w:rsidRPr="00AF228C">
        <w:rPr>
          <w:rFonts w:ascii="Garamond" w:eastAsiaTheme="minorHAnsi" w:hAnsi="Garamond" w:cs="Times New Roman"/>
          <w:bCs/>
          <w:sz w:val="24"/>
          <w:szCs w:val="24"/>
        </w:rPr>
        <w:t>1. “</w:t>
      </w:r>
      <w:r w:rsidRPr="00AF228C">
        <w:rPr>
          <w:rFonts w:ascii="Garamond" w:eastAsiaTheme="minorHAnsi" w:hAnsi="Garamond" w:cs="Times New Roman"/>
          <w:b/>
          <w:bCs/>
          <w:sz w:val="24"/>
          <w:szCs w:val="24"/>
        </w:rPr>
        <w:t>Hedhja në treg</w:t>
      </w:r>
      <w:r w:rsidRPr="00AF228C">
        <w:rPr>
          <w:rFonts w:ascii="Garamond" w:eastAsiaTheme="minorHAnsi" w:hAnsi="Garamond" w:cs="Times New Roman"/>
          <w:sz w:val="24"/>
          <w:szCs w:val="24"/>
        </w:rPr>
        <w:t>”, ofrimi për herë të parë i një produkti të peshkimit ose akuakulturës në tregun e brendshëm ose për eksport.</w:t>
      </w:r>
    </w:p>
    <w:p w14:paraId="2CB14D51"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sz w:val="24"/>
          <w:szCs w:val="24"/>
        </w:rPr>
      </w:pPr>
      <w:r w:rsidRPr="00AF228C">
        <w:rPr>
          <w:rFonts w:ascii="Garamond" w:eastAsiaTheme="minorHAnsi" w:hAnsi="Garamond" w:cs="Times New Roman"/>
          <w:bCs/>
          <w:sz w:val="24"/>
          <w:szCs w:val="24"/>
        </w:rPr>
        <w:t>2. “</w:t>
      </w:r>
      <w:r w:rsidRPr="00AF228C">
        <w:rPr>
          <w:rFonts w:ascii="Garamond" w:eastAsiaTheme="minorHAnsi" w:hAnsi="Garamond" w:cs="Times New Roman"/>
          <w:b/>
          <w:bCs/>
          <w:sz w:val="24"/>
          <w:szCs w:val="24"/>
        </w:rPr>
        <w:t>Ministria</w:t>
      </w:r>
      <w:r w:rsidRPr="00AF228C">
        <w:rPr>
          <w:rFonts w:ascii="Garamond" w:eastAsiaTheme="minorHAnsi" w:hAnsi="Garamond" w:cs="Times New Roman"/>
          <w:bCs/>
          <w:sz w:val="24"/>
          <w:szCs w:val="24"/>
        </w:rPr>
        <w:t>”,</w:t>
      </w:r>
      <w:r w:rsidRPr="00AF228C">
        <w:rPr>
          <w:rFonts w:ascii="Garamond" w:eastAsiaTheme="minorHAnsi" w:hAnsi="Garamond" w:cs="Times New Roman"/>
          <w:sz w:val="24"/>
          <w:szCs w:val="24"/>
        </w:rPr>
        <w:t xml:space="preserve"> ministria përgjegjëse për peshkimin dhe akuakulturën.</w:t>
      </w:r>
    </w:p>
    <w:p w14:paraId="28EFE5A2"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sz w:val="24"/>
          <w:szCs w:val="24"/>
        </w:rPr>
      </w:pPr>
      <w:r w:rsidRPr="00AF228C">
        <w:rPr>
          <w:rFonts w:ascii="Garamond" w:eastAsiaTheme="minorHAnsi" w:hAnsi="Garamond" w:cs="Times New Roman"/>
          <w:bCs/>
          <w:sz w:val="24"/>
          <w:szCs w:val="24"/>
        </w:rPr>
        <w:t>3. “</w:t>
      </w:r>
      <w:r w:rsidRPr="00AF228C">
        <w:rPr>
          <w:rFonts w:ascii="Garamond" w:eastAsiaTheme="minorHAnsi" w:hAnsi="Garamond" w:cs="Times New Roman"/>
          <w:b/>
          <w:bCs/>
          <w:sz w:val="24"/>
          <w:szCs w:val="24"/>
        </w:rPr>
        <w:t>Produkt akuakulture</w:t>
      </w:r>
      <w:r w:rsidRPr="00AF228C">
        <w:rPr>
          <w:rFonts w:ascii="Garamond" w:eastAsiaTheme="minorHAnsi" w:hAnsi="Garamond" w:cs="Times New Roman"/>
          <w:sz w:val="24"/>
          <w:szCs w:val="24"/>
        </w:rPr>
        <w:t>”, çdo organizëm ujor në çdo fazë të ciklit jetësor, si rezultat i çdo akti</w:t>
      </w:r>
      <w:r w:rsidR="00AF228C">
        <w:rPr>
          <w:rFonts w:ascii="Garamond" w:eastAsiaTheme="minorHAnsi" w:hAnsi="Garamond" w:cs="Times New Roman"/>
          <w:sz w:val="24"/>
          <w:szCs w:val="24"/>
        </w:rPr>
        <w:t>viteti akuakulture</w:t>
      </w:r>
      <w:r w:rsidRPr="00AF228C">
        <w:rPr>
          <w:rFonts w:ascii="Garamond" w:eastAsiaTheme="minorHAnsi" w:hAnsi="Garamond" w:cs="Times New Roman"/>
          <w:sz w:val="24"/>
          <w:szCs w:val="24"/>
        </w:rPr>
        <w:t xml:space="preserve"> ose nënproduktet e tyre.</w:t>
      </w:r>
    </w:p>
    <w:p w14:paraId="16493D17"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sz w:val="24"/>
          <w:szCs w:val="24"/>
        </w:rPr>
      </w:pPr>
      <w:r w:rsidRPr="00AF228C">
        <w:rPr>
          <w:rFonts w:ascii="Garamond" w:eastAsiaTheme="minorHAnsi" w:hAnsi="Garamond" w:cs="Times New Roman"/>
          <w:bCs/>
          <w:sz w:val="24"/>
          <w:szCs w:val="24"/>
        </w:rPr>
        <w:t>4. “</w:t>
      </w:r>
      <w:r w:rsidRPr="00AF228C">
        <w:rPr>
          <w:rFonts w:ascii="Garamond" w:eastAsiaTheme="minorHAnsi" w:hAnsi="Garamond" w:cs="Times New Roman"/>
          <w:b/>
          <w:bCs/>
          <w:sz w:val="24"/>
          <w:szCs w:val="24"/>
        </w:rPr>
        <w:t>Produkt peshkimi</w:t>
      </w:r>
      <w:r w:rsidRPr="00AF228C">
        <w:rPr>
          <w:rFonts w:ascii="Garamond" w:eastAsiaTheme="minorHAnsi" w:hAnsi="Garamond" w:cs="Times New Roman"/>
          <w:sz w:val="24"/>
          <w:szCs w:val="24"/>
        </w:rPr>
        <w:t>”, organizmat ujorë nga çdo aktivitet peshkimi ose nënproduktet e përfituara prej tyre, të listua</w:t>
      </w:r>
      <w:r w:rsidR="00AF228C">
        <w:rPr>
          <w:rFonts w:ascii="Garamond" w:eastAsiaTheme="minorHAnsi" w:hAnsi="Garamond" w:cs="Times New Roman"/>
          <w:sz w:val="24"/>
          <w:szCs w:val="24"/>
        </w:rPr>
        <w:t xml:space="preserve">ra në shtojcën I, bashkëlidhur </w:t>
      </w:r>
      <w:r w:rsidRPr="00AF228C">
        <w:rPr>
          <w:rFonts w:ascii="Garamond" w:eastAsiaTheme="minorHAnsi" w:hAnsi="Garamond" w:cs="Times New Roman"/>
          <w:sz w:val="24"/>
          <w:szCs w:val="24"/>
        </w:rPr>
        <w:t>këtij vendimi.</w:t>
      </w:r>
    </w:p>
    <w:p w14:paraId="12B9488A"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sz w:val="24"/>
          <w:szCs w:val="24"/>
        </w:rPr>
      </w:pPr>
      <w:r w:rsidRPr="00AF228C">
        <w:rPr>
          <w:rFonts w:ascii="Garamond" w:eastAsiaTheme="minorHAnsi" w:hAnsi="Garamond" w:cs="Times New Roman"/>
          <w:bCs/>
          <w:sz w:val="24"/>
          <w:szCs w:val="24"/>
        </w:rPr>
        <w:t>5. “</w:t>
      </w:r>
      <w:r w:rsidRPr="00AF228C">
        <w:rPr>
          <w:rFonts w:ascii="Garamond" w:eastAsiaTheme="minorHAnsi" w:hAnsi="Garamond" w:cs="Times New Roman"/>
          <w:b/>
          <w:bCs/>
          <w:sz w:val="24"/>
          <w:szCs w:val="24"/>
        </w:rPr>
        <w:t>Prodhues</w:t>
      </w:r>
      <w:r w:rsidRPr="00AF228C">
        <w:rPr>
          <w:rFonts w:ascii="Garamond" w:eastAsiaTheme="minorHAnsi" w:hAnsi="Garamond" w:cs="Times New Roman"/>
          <w:bCs/>
          <w:sz w:val="24"/>
          <w:szCs w:val="24"/>
        </w:rPr>
        <w:t>”</w:t>
      </w:r>
      <w:r w:rsidRPr="00AF228C">
        <w:rPr>
          <w:rFonts w:ascii="Garamond" w:eastAsiaTheme="minorHAnsi" w:hAnsi="Garamond" w:cs="Times New Roman"/>
          <w:sz w:val="24"/>
          <w:szCs w:val="24"/>
        </w:rPr>
        <w:t>, çdo person fizik ose juridik që përdor mjete prodhimi për të siguruar produkte peshkimi ose akuakulture</w:t>
      </w:r>
      <w:r w:rsidR="00AF228C">
        <w:rPr>
          <w:rFonts w:ascii="Garamond" w:eastAsiaTheme="minorHAnsi" w:hAnsi="Garamond" w:cs="Times New Roman"/>
          <w:sz w:val="24"/>
          <w:szCs w:val="24"/>
        </w:rPr>
        <w:t>,</w:t>
      </w:r>
      <w:r w:rsidRPr="00AF228C">
        <w:rPr>
          <w:rFonts w:ascii="Garamond" w:eastAsiaTheme="minorHAnsi" w:hAnsi="Garamond" w:cs="Times New Roman"/>
          <w:sz w:val="24"/>
          <w:szCs w:val="24"/>
        </w:rPr>
        <w:t xml:space="preserve"> me qëllim tregtimin e tyre.</w:t>
      </w:r>
    </w:p>
    <w:p w14:paraId="69209DE9"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sz w:val="24"/>
          <w:szCs w:val="24"/>
        </w:rPr>
      </w:pPr>
      <w:r w:rsidRPr="00AF228C">
        <w:rPr>
          <w:rFonts w:ascii="Garamond" w:eastAsiaTheme="minorHAnsi" w:hAnsi="Garamond" w:cs="Times New Roman"/>
          <w:bCs/>
          <w:sz w:val="24"/>
          <w:szCs w:val="24"/>
        </w:rPr>
        <w:t>6. “</w:t>
      </w:r>
      <w:r w:rsidRPr="00AF228C">
        <w:rPr>
          <w:rFonts w:ascii="Garamond" w:eastAsiaTheme="minorHAnsi" w:hAnsi="Garamond" w:cs="Times New Roman"/>
          <w:b/>
          <w:bCs/>
          <w:sz w:val="24"/>
          <w:szCs w:val="24"/>
        </w:rPr>
        <w:t>Sektori i peshkimit dhe akuakulturës</w:t>
      </w:r>
      <w:r w:rsidRPr="00AF228C">
        <w:rPr>
          <w:rFonts w:ascii="Garamond" w:eastAsiaTheme="minorHAnsi" w:hAnsi="Garamond" w:cs="Times New Roman"/>
          <w:bCs/>
          <w:sz w:val="24"/>
          <w:szCs w:val="24"/>
        </w:rPr>
        <w:t>”</w:t>
      </w:r>
      <w:r w:rsidRPr="00AF228C">
        <w:rPr>
          <w:rFonts w:ascii="Garamond" w:eastAsiaTheme="minorHAnsi" w:hAnsi="Garamond" w:cs="Times New Roman"/>
          <w:sz w:val="24"/>
          <w:szCs w:val="24"/>
        </w:rPr>
        <w:t>, sektori i ekonomisë që përfshin të gjitha aktivitetet e prodhimit, të përpunimit e të marketingut të produkteve të peshkimit ose akuakulturës.</w:t>
      </w:r>
    </w:p>
    <w:p w14:paraId="2356F44C"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sz w:val="24"/>
          <w:szCs w:val="24"/>
        </w:rPr>
      </w:pPr>
      <w:r w:rsidRPr="00AF228C">
        <w:rPr>
          <w:rFonts w:ascii="Garamond" w:eastAsiaTheme="minorHAnsi" w:hAnsi="Garamond" w:cs="Times New Roman"/>
          <w:bCs/>
          <w:sz w:val="24"/>
          <w:szCs w:val="24"/>
        </w:rPr>
        <w:lastRenderedPageBreak/>
        <w:t>7. “</w:t>
      </w:r>
      <w:r w:rsidRPr="00AF228C">
        <w:rPr>
          <w:rFonts w:ascii="Garamond" w:eastAsiaTheme="minorHAnsi" w:hAnsi="Garamond" w:cs="Times New Roman"/>
          <w:b/>
          <w:bCs/>
          <w:sz w:val="24"/>
          <w:szCs w:val="24"/>
        </w:rPr>
        <w:t>Shitje me pakicë</w:t>
      </w:r>
      <w:r w:rsidRPr="00AF228C">
        <w:rPr>
          <w:rFonts w:ascii="Garamond" w:eastAsiaTheme="minorHAnsi" w:hAnsi="Garamond" w:cs="Times New Roman"/>
          <w:bCs/>
          <w:sz w:val="24"/>
          <w:szCs w:val="24"/>
        </w:rPr>
        <w:t>”</w:t>
      </w:r>
      <w:r w:rsidRPr="00AF228C">
        <w:rPr>
          <w:rFonts w:ascii="Garamond" w:eastAsiaTheme="minorHAnsi" w:hAnsi="Garamond" w:cs="Times New Roman"/>
          <w:sz w:val="24"/>
          <w:szCs w:val="24"/>
        </w:rPr>
        <w:t>, trajtimi ose përpunimi i ushqimit dhe magazinimi i tij në pikën e shitjes ose shpërndarjes për konsumatorin final, duke përfshirë terminalet e shpërndarjes, restorantet, magazinat e fabrikave, shërbimet institucionale të ushqimit, dyqanet, qendrat e shpërndarjes së supermarketeve dhe pikat e shitjes me shumicë.</w:t>
      </w:r>
    </w:p>
    <w:p w14:paraId="59E6DCBA"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sz w:val="24"/>
          <w:szCs w:val="24"/>
        </w:rPr>
      </w:pPr>
      <w:r w:rsidRPr="00AF228C">
        <w:rPr>
          <w:rFonts w:ascii="Garamond" w:eastAsiaTheme="minorHAnsi" w:hAnsi="Garamond" w:cs="Times New Roman"/>
          <w:bCs/>
          <w:sz w:val="24"/>
          <w:szCs w:val="24"/>
        </w:rPr>
        <w:t>8. “</w:t>
      </w:r>
      <w:r w:rsidRPr="00AF228C">
        <w:rPr>
          <w:rFonts w:ascii="Garamond" w:eastAsiaTheme="minorHAnsi" w:hAnsi="Garamond" w:cs="Times New Roman"/>
          <w:b/>
          <w:bCs/>
          <w:sz w:val="24"/>
          <w:szCs w:val="24"/>
        </w:rPr>
        <w:t>Vendosja në treg</w:t>
      </w:r>
      <w:r w:rsidRPr="00AF228C">
        <w:rPr>
          <w:rFonts w:ascii="Garamond" w:eastAsiaTheme="minorHAnsi" w:hAnsi="Garamond" w:cs="Times New Roman"/>
          <w:bCs/>
          <w:sz w:val="24"/>
          <w:szCs w:val="24"/>
        </w:rPr>
        <w:t>”</w:t>
      </w:r>
      <w:r w:rsidRPr="00AF228C">
        <w:rPr>
          <w:rFonts w:ascii="Garamond" w:eastAsiaTheme="minorHAnsi" w:hAnsi="Garamond" w:cs="Times New Roman"/>
          <w:sz w:val="24"/>
          <w:szCs w:val="24"/>
        </w:rPr>
        <w:t>, çdo furnizim i një produkti të peshkimit ose akuakulturës për shpërndarje, konsum, përdorim të brendshëm ose për eksport</w:t>
      </w:r>
      <w:r w:rsidR="00AF228C">
        <w:rPr>
          <w:rFonts w:ascii="Garamond" w:eastAsiaTheme="minorHAnsi" w:hAnsi="Garamond" w:cs="Times New Roman"/>
          <w:sz w:val="24"/>
          <w:szCs w:val="24"/>
        </w:rPr>
        <w:t>,</w:t>
      </w:r>
      <w:r w:rsidRPr="00AF228C">
        <w:rPr>
          <w:rFonts w:ascii="Garamond" w:eastAsiaTheme="minorHAnsi" w:hAnsi="Garamond" w:cs="Times New Roman"/>
          <w:sz w:val="24"/>
          <w:szCs w:val="24"/>
        </w:rPr>
        <w:t xml:space="preserve"> në kuadër të një aktiviteti tregtar, qoftë me pagesë apo falas.</w:t>
      </w:r>
    </w:p>
    <w:p w14:paraId="08AEB29A"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sz w:val="24"/>
          <w:szCs w:val="24"/>
        </w:rPr>
      </w:pPr>
      <w:r w:rsidRPr="00AF228C">
        <w:rPr>
          <w:rFonts w:ascii="Garamond" w:eastAsiaTheme="minorHAnsi" w:hAnsi="Garamond" w:cs="Times New Roman"/>
          <w:bCs/>
          <w:sz w:val="24"/>
          <w:szCs w:val="24"/>
        </w:rPr>
        <w:t>9. “</w:t>
      </w:r>
      <w:r w:rsidRPr="00AF228C">
        <w:rPr>
          <w:rFonts w:ascii="Garamond" w:eastAsiaTheme="minorHAnsi" w:hAnsi="Garamond" w:cs="Times New Roman"/>
          <w:b/>
          <w:bCs/>
          <w:sz w:val="24"/>
          <w:szCs w:val="24"/>
        </w:rPr>
        <w:t>Organizatë ndërsektoriale</w:t>
      </w:r>
      <w:r w:rsidRPr="00AF228C">
        <w:rPr>
          <w:rFonts w:ascii="Garamond" w:eastAsiaTheme="minorHAnsi" w:hAnsi="Garamond" w:cs="Times New Roman"/>
          <w:bCs/>
          <w:sz w:val="24"/>
          <w:szCs w:val="24"/>
        </w:rPr>
        <w:t>”</w:t>
      </w:r>
      <w:r w:rsidRPr="00AF228C">
        <w:rPr>
          <w:rFonts w:ascii="Garamond" w:eastAsiaTheme="minorHAnsi" w:hAnsi="Garamond" w:cs="Times New Roman"/>
          <w:sz w:val="24"/>
          <w:szCs w:val="24"/>
        </w:rPr>
        <w:t>, një organizatë e përbërë nga përfaqësues të një ose më shumë aktiviteteve ekonomike, të lidhura me prodhimin, përpunimin ose tregtimin e produkteve të peshkimit dhe akuakulturës, e krijuar për të promovuar koordinimin dhe zhvillimin e sektorit të peshkimit dhe akuakulturës.</w:t>
      </w:r>
    </w:p>
    <w:p w14:paraId="3106680E" w14:textId="77777777" w:rsidR="005C2955" w:rsidRPr="00AF228C" w:rsidRDefault="005C2955" w:rsidP="005C2955">
      <w:pPr>
        <w:autoSpaceDE w:val="0"/>
        <w:autoSpaceDN w:val="0"/>
        <w:adjustRightInd w:val="0"/>
        <w:spacing w:after="0" w:line="240" w:lineRule="auto"/>
        <w:ind w:firstLine="284"/>
        <w:rPr>
          <w:rFonts w:ascii="Garamond" w:eastAsiaTheme="minorHAnsi" w:hAnsi="Garamond" w:cs="Times New Roman"/>
          <w:sz w:val="24"/>
          <w:szCs w:val="24"/>
        </w:rPr>
      </w:pPr>
    </w:p>
    <w:p w14:paraId="5DD2BE12"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r w:rsidRPr="00AF228C">
        <w:rPr>
          <w:rFonts w:ascii="Garamond" w:eastAsiaTheme="minorHAnsi" w:hAnsi="Garamond" w:cs="Times New Roman"/>
          <w:bCs/>
          <w:color w:val="000000"/>
          <w:sz w:val="24"/>
          <w:szCs w:val="24"/>
        </w:rPr>
        <w:t>KREU II</w:t>
      </w:r>
    </w:p>
    <w:p w14:paraId="78D2A256"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F228C">
        <w:rPr>
          <w:rFonts w:ascii="Garamond" w:eastAsiaTheme="minorHAnsi" w:hAnsi="Garamond" w:cs="Times New Roman"/>
          <w:bCs/>
          <w:color w:val="000000"/>
          <w:sz w:val="24"/>
          <w:szCs w:val="24"/>
        </w:rPr>
        <w:t xml:space="preserve">ORGANIZIMI DHE FUNKSIONIMI I ORGANIZATAVE </w:t>
      </w:r>
    </w:p>
    <w:p w14:paraId="43AAA95D"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053032D3"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r w:rsidRPr="00AF228C">
        <w:rPr>
          <w:rFonts w:ascii="Garamond" w:eastAsiaTheme="minorHAnsi" w:hAnsi="Garamond" w:cs="Times New Roman"/>
          <w:bCs/>
          <w:color w:val="000000"/>
          <w:sz w:val="24"/>
          <w:szCs w:val="24"/>
        </w:rPr>
        <w:t>Neni 5</w:t>
      </w:r>
    </w:p>
    <w:p w14:paraId="251A7A8E"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Krijimi i organizatave të prodhuesve të produkteve të peshkimit dhe akuakulturës</w:t>
      </w:r>
    </w:p>
    <w:p w14:paraId="03DC7261"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3B1CB015"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1. Organizatat e prodhuesve të produkteve të peshkimit dhe akuakulturës, këtu e në vijim “organizatë e prodhuesve”, krijohen me iniciativën e prodhuesve të produkteve të peshkimit ose akuakulturës, sipas nenit 62, të ligjit nr.</w:t>
      </w:r>
      <w:r w:rsidR="00AF228C">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64/2012, “Për peshkimin”, të ndryshuar.</w:t>
      </w:r>
    </w:p>
    <w:p w14:paraId="569BDBFC"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2. Organizatat e prodhuesve themelohen duke respektuar parimin e përfshirjes së prodhuesve në shkallë të vogël dhe adresimit të nevojave të tyre specifike.</w:t>
      </w:r>
    </w:p>
    <w:p w14:paraId="345341E4"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3. Një organizatë e prodhuesve, që për</w:t>
      </w:r>
      <w:r w:rsidR="00AF228C">
        <w:rPr>
          <w:rFonts w:ascii="Garamond" w:eastAsiaTheme="minorHAnsi" w:hAnsi="Garamond" w:cs="Times New Roman"/>
          <w:color w:val="000000"/>
          <w:sz w:val="24"/>
          <w:szCs w:val="24"/>
        </w:rPr>
        <w:t>faqëson aktivitetet e peshkimit,</w:t>
      </w:r>
      <w:r w:rsidRPr="00AF228C">
        <w:rPr>
          <w:rFonts w:ascii="Garamond" w:eastAsiaTheme="minorHAnsi" w:hAnsi="Garamond" w:cs="Times New Roman"/>
          <w:color w:val="000000"/>
          <w:sz w:val="24"/>
          <w:szCs w:val="24"/>
        </w:rPr>
        <w:t xml:space="preserve"> ose një organizatë e prodhuesve të akuakulturës mund të bashkohen dhe të krijohet si një organizatë e përbashkët e prodhuesve të peshkimit dhe akuakulturës.</w:t>
      </w:r>
    </w:p>
    <w:p w14:paraId="79139E84" w14:textId="77777777" w:rsidR="005C2955" w:rsidRPr="00AF228C" w:rsidRDefault="005C2955" w:rsidP="005C2955">
      <w:pPr>
        <w:autoSpaceDE w:val="0"/>
        <w:autoSpaceDN w:val="0"/>
        <w:adjustRightInd w:val="0"/>
        <w:spacing w:after="0" w:line="240" w:lineRule="auto"/>
        <w:ind w:firstLine="284"/>
        <w:rPr>
          <w:rFonts w:ascii="Garamond" w:eastAsiaTheme="minorHAnsi" w:hAnsi="Garamond" w:cs="Times New Roman"/>
          <w:color w:val="000000"/>
          <w:sz w:val="24"/>
          <w:szCs w:val="24"/>
        </w:rPr>
      </w:pPr>
    </w:p>
    <w:p w14:paraId="00B5343B"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r w:rsidRPr="00AF228C">
        <w:rPr>
          <w:rFonts w:ascii="Garamond" w:eastAsiaTheme="minorHAnsi" w:hAnsi="Garamond" w:cs="Times New Roman"/>
          <w:bCs/>
          <w:color w:val="000000"/>
          <w:sz w:val="24"/>
          <w:szCs w:val="24"/>
        </w:rPr>
        <w:t>Neni 6</w:t>
      </w:r>
    </w:p>
    <w:p w14:paraId="42A15BBA"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Masat e marra nga organizatat prodhuese</w:t>
      </w:r>
    </w:p>
    <w:p w14:paraId="4348D36D"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5BE3CE45" w14:textId="77777777" w:rsidR="005C2955" w:rsidRPr="00AF228C" w:rsidRDefault="005C2955" w:rsidP="005C2955">
      <w:pPr>
        <w:tabs>
          <w:tab w:val="left" w:pos="126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1. Për të arritur objektivat e përcaktuar në nenin 61/1, të ligjit nr.</w:t>
      </w:r>
      <w:r w:rsidR="00AF228C">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64/2012, “Për peshkimin”, të ndryshuar, organizatat e prodhuesve ndërmarrin masat e mëposhtme</w:t>
      </w:r>
      <w:r w:rsidR="00AF228C">
        <w:rPr>
          <w:rFonts w:ascii="Garamond" w:eastAsiaTheme="minorHAnsi" w:hAnsi="Garamond" w:cs="Times New Roman"/>
          <w:color w:val="000000"/>
          <w:sz w:val="24"/>
          <w:szCs w:val="24"/>
        </w:rPr>
        <w:t>,</w:t>
      </w:r>
      <w:r w:rsidRPr="00AF228C">
        <w:rPr>
          <w:rFonts w:ascii="Garamond" w:eastAsiaTheme="minorHAnsi" w:hAnsi="Garamond" w:cs="Times New Roman"/>
          <w:color w:val="000000"/>
          <w:sz w:val="24"/>
          <w:szCs w:val="24"/>
        </w:rPr>
        <w:t xml:space="preserve"> për:</w:t>
      </w:r>
    </w:p>
    <w:p w14:paraId="4D6D0675"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a) përshtatjen e prodhimit me kërkesat e tregut;</w:t>
      </w:r>
    </w:p>
    <w:p w14:paraId="6A9D84BA"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b) kanalizimin e furnizimit dhe marketingut të produkteve të anëtarëve të tyre;</w:t>
      </w:r>
    </w:p>
    <w:p w14:paraId="37F9C5B0"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c) promovimin e produkteve të peshkimit dhe akuakulturës të anëtarëve të tyre në një mënyrë jodiskriminuese, duke përdorur certifikimin dhe, në veçanti, emërtimet e origjinës, vulat e cilësisë, emërtimet gjeografike dhe specialitetet tradicionale;</w:t>
      </w:r>
    </w:p>
    <w:p w14:paraId="0421BCEB" w14:textId="7ECA74BB"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ç)</w:t>
      </w:r>
      <w:r w:rsidR="00D25767">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të siguruar që aktivitetet e anëtarëve të tyre janë në përputhje me rregullat e vendosura nga organizata përkatëse e prodhuesve;</w:t>
      </w:r>
    </w:p>
    <w:p w14:paraId="1D593DE4"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d) promovimin e trajnimit profesional e të programeve të bashkëpunimit për të inkurajuar hyrjen e të rinjve në sektor;</w:t>
      </w:r>
    </w:p>
    <w:p w14:paraId="03A8285A"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dh)</w:t>
      </w:r>
      <w:r w:rsidR="00AF228C">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zvogëlimin e ndikimit mjedisor të peshkimit, përmes masave për përmirësimin e selektivitetit të pajisjeve të peshkimit;</w:t>
      </w:r>
    </w:p>
    <w:p w14:paraId="6520B3F9"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e) promovimin e përdorimit të teknologjive të informacionit dhe komunikimit për të përmirësuar marketingun dhe çmimet;</w:t>
      </w:r>
    </w:p>
    <w:p w14:paraId="32A548E6"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ë) lehtësimin e aksesit të konsumatorëve në informacion mbi produktet e peshkimit e të akuakulturës.</w:t>
      </w:r>
    </w:p>
    <w:p w14:paraId="09EA798C"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2. Organizatat e prodhuesve të peshkimit përdorin edhe masat e mëposhtme për:</w:t>
      </w:r>
    </w:p>
    <w:p w14:paraId="0345A91C"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 xml:space="preserve">a) planifikimin dhe menaxhimin e aktiviteteve të peshkimit të anëtarëve të tyre në mënyrë kolektive, në përputhje me menaxhimin e burimeve biologjike detare nga organizatat rajonale të </w:t>
      </w:r>
      <w:r w:rsidRPr="00AF228C">
        <w:rPr>
          <w:rFonts w:ascii="Garamond" w:eastAsiaTheme="minorHAnsi" w:hAnsi="Garamond" w:cs="Times New Roman"/>
          <w:color w:val="000000"/>
          <w:sz w:val="24"/>
          <w:szCs w:val="24"/>
        </w:rPr>
        <w:lastRenderedPageBreak/>
        <w:t>menaxhimit të peshkimit, përfshirë zhvillimin dhe zbatimin e masave për përmirësimin e selektivitetit të aktiviteteve të peshkimit dhe këshillimin me autoritetet kompetente;</w:t>
      </w:r>
    </w:p>
    <w:p w14:paraId="227541F5"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 xml:space="preserve">b) shmangien dhe minimizimin e zënieve të padëshiruara përmes angazhimit në zhvillimin dhe zbatimin e masave teknike, si dhe përdorimin më të mirë të zënieve të padëshiruara të stoqeve tregtare, pa krijuar një treg për ato që janë nën madhësinë minimale të ruajtjes, në përputhje me </w:t>
      </w:r>
      <w:r w:rsidRPr="00AF228C">
        <w:rPr>
          <w:rFonts w:ascii="Garamond" w:eastAsiaTheme="minorHAnsi" w:hAnsi="Garamond" w:cs="Times New Roman"/>
          <w:i/>
          <w:iCs/>
          <w:color w:val="000000"/>
          <w:sz w:val="24"/>
          <w:szCs w:val="24"/>
        </w:rPr>
        <w:t xml:space="preserve">shtojcen III, </w:t>
      </w:r>
      <w:r w:rsidRPr="00AF228C">
        <w:rPr>
          <w:rFonts w:ascii="Garamond" w:eastAsiaTheme="minorHAnsi" w:hAnsi="Garamond" w:cs="Times New Roman"/>
          <w:color w:val="000000"/>
          <w:sz w:val="24"/>
          <w:szCs w:val="24"/>
        </w:rPr>
        <w:t>bashkëlidhur vendimit nr.</w:t>
      </w:r>
      <w:r w:rsidR="00AF228C">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 xml:space="preserve">402, datë 8.5.2013, të Këshillit të Ministrave, “Për përcaktimin e masave menaxhuese për shfrytëzimin e qëndrueshëm të burimeve peshkore në det”, i ndryshuar; </w:t>
      </w:r>
    </w:p>
    <w:p w14:paraId="077022FC"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c) menaxhimin e magazinimit të përkohshëm për produktet e peshkimit, në përputhje me nenet 31 dhe 32, të këtij vendimi.</w:t>
      </w:r>
    </w:p>
    <w:p w14:paraId="73FAD2E5"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3. Organizatat e prodhuesve në akuakulturë përdorin edhe masat e mëposhtme</w:t>
      </w:r>
      <w:r w:rsidR="00DA3BC7">
        <w:rPr>
          <w:rFonts w:ascii="Garamond" w:eastAsiaTheme="minorHAnsi" w:hAnsi="Garamond" w:cs="Times New Roman"/>
          <w:color w:val="000000"/>
          <w:sz w:val="24"/>
          <w:szCs w:val="24"/>
        </w:rPr>
        <w:t>,</w:t>
      </w:r>
      <w:r w:rsidRPr="00AF228C">
        <w:rPr>
          <w:rFonts w:ascii="Garamond" w:eastAsiaTheme="minorHAnsi" w:hAnsi="Garamond" w:cs="Times New Roman"/>
          <w:color w:val="000000"/>
          <w:sz w:val="24"/>
          <w:szCs w:val="24"/>
        </w:rPr>
        <w:t xml:space="preserve"> për:</w:t>
      </w:r>
    </w:p>
    <w:p w14:paraId="7879819E"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a) nxitjen e aktiviteteve të qëndrueshme të akuakulturës, veçanërisht në drejtim të mbrojtjes së mjedisit, shëndetit të kafshëve dhe mirëqenies së tyre;</w:t>
      </w:r>
    </w:p>
    <w:p w14:paraId="686E6FED"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b) mbledhjen e të dhënave mbi produktet e tregtuara, përfshirë të dhënat ekonomike mbi shitjet e para, si dhe planifikimin e prodhimit;</w:t>
      </w:r>
    </w:p>
    <w:p w14:paraId="6FC8B5BB"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c) mbledhjen e të dhënave mjedisore;</w:t>
      </w:r>
    </w:p>
    <w:p w14:paraId="01F0B096" w14:textId="21032C0D"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ç)</w:t>
      </w:r>
      <w:r w:rsidR="00D25767">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planifikimin e menaxhimit të aktiviteteve të akuakulturës të anëtarëve të tyre;</w:t>
      </w:r>
    </w:p>
    <w:p w14:paraId="09B32278"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d) mbështetjen e programeve për profesionistët</w:t>
      </w:r>
      <w:r w:rsidR="00DA3BC7">
        <w:rPr>
          <w:rFonts w:ascii="Garamond" w:eastAsiaTheme="minorHAnsi" w:hAnsi="Garamond" w:cs="Times New Roman"/>
          <w:color w:val="000000"/>
          <w:sz w:val="24"/>
          <w:szCs w:val="24"/>
        </w:rPr>
        <w:t>,</w:t>
      </w:r>
      <w:r w:rsidRPr="00AF228C">
        <w:rPr>
          <w:rFonts w:ascii="Garamond" w:eastAsiaTheme="minorHAnsi" w:hAnsi="Garamond" w:cs="Times New Roman"/>
          <w:color w:val="000000"/>
          <w:sz w:val="24"/>
          <w:szCs w:val="24"/>
        </w:rPr>
        <w:t xml:space="preserve"> me qëllim promovimin e produkteve të qëndrueshme të akuakulturës;</w:t>
      </w:r>
    </w:p>
    <w:p w14:paraId="383DFD02"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dh)</w:t>
      </w:r>
      <w:r w:rsidR="00DA3BC7">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menaxhimin e ruajtjes së përkohshme të produkteve të akuakulturës, në përputhje me nenet 31 dhe 32, të këtij vendimi.</w:t>
      </w:r>
    </w:p>
    <w:p w14:paraId="3D201507"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12D379E6"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F228C">
        <w:rPr>
          <w:rFonts w:ascii="Garamond" w:eastAsiaTheme="minorHAnsi" w:hAnsi="Garamond" w:cs="Times New Roman"/>
          <w:bCs/>
          <w:color w:val="000000"/>
          <w:sz w:val="24"/>
          <w:szCs w:val="24"/>
        </w:rPr>
        <w:t>Neni 7</w:t>
      </w:r>
    </w:p>
    <w:p w14:paraId="55F8238D"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Krijimi i shoqatave të organizatave të prodhuesve</w:t>
      </w:r>
    </w:p>
    <w:p w14:paraId="2B78BE80"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52310C04" w14:textId="77777777" w:rsidR="005C2955" w:rsidRPr="00AF228C" w:rsidRDefault="005C2955" w:rsidP="005C2955">
      <w:pPr>
        <w:tabs>
          <w:tab w:val="left" w:pos="7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1. Një shoqatë e organizatave të prodhuesve mund të krijohet me bashkimin e dy ose më shumë organizatave të prodhuesve, të njohura nga ministria, sipas ligjit nr.</w:t>
      </w:r>
      <w:r w:rsidR="00DA3BC7">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64/2012, “Për peshkimin”, të ndryshuar.</w:t>
      </w:r>
    </w:p>
    <w:p w14:paraId="3EA6D549" w14:textId="77777777" w:rsidR="005C2955" w:rsidRPr="00AF228C" w:rsidRDefault="005C2955" w:rsidP="005C2955">
      <w:pPr>
        <w:tabs>
          <w:tab w:val="left" w:pos="7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2. Rregullat e këtij vendimi, që zbatohen për organizatat e prodhuesve, zbatohen edhe për shoqatat e organizatave të prodhuesve.</w:t>
      </w:r>
    </w:p>
    <w:p w14:paraId="21513793"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43CDC504"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F228C">
        <w:rPr>
          <w:rFonts w:ascii="Garamond" w:eastAsiaTheme="minorHAnsi" w:hAnsi="Garamond" w:cs="Times New Roman"/>
          <w:bCs/>
          <w:color w:val="000000"/>
          <w:sz w:val="24"/>
          <w:szCs w:val="24"/>
        </w:rPr>
        <w:t>Neni 8</w:t>
      </w:r>
    </w:p>
    <w:p w14:paraId="480BF049"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Objektivat e shoqatave të organizatave të prodhuesve</w:t>
      </w:r>
    </w:p>
    <w:p w14:paraId="0D0E0574"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6DF3D9F3"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Shoqatat e organizatave të prodhuesve ndjekin objektivat e mëposhtëm:</w:t>
      </w:r>
    </w:p>
    <w:p w14:paraId="3EFD42ED" w14:textId="372EC038"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a) Kryerja në mënyrë efikase dhe të qëndrueshme e objektivave të</w:t>
      </w:r>
      <w:r w:rsidR="00D25767">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organizatave të prodhuesve, sipas legjislacionit në fuqi për peshkimin dhe akuakulturën;</w:t>
      </w:r>
    </w:p>
    <w:p w14:paraId="14FD5D7C"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 xml:space="preserve">b) Koordinimi dhe zhvillimi i aktiviteteve me interes të përbashkët për </w:t>
      </w:r>
      <w:r w:rsidR="00DA3BC7">
        <w:rPr>
          <w:rFonts w:ascii="Garamond" w:eastAsiaTheme="minorHAnsi" w:hAnsi="Garamond" w:cs="Times New Roman"/>
          <w:color w:val="000000"/>
          <w:sz w:val="24"/>
          <w:szCs w:val="24"/>
        </w:rPr>
        <w:t>organizatat e prodhuesve.</w:t>
      </w:r>
    </w:p>
    <w:p w14:paraId="56F81A4A"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07156439"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r w:rsidRPr="00AF228C">
        <w:rPr>
          <w:rFonts w:ascii="Garamond" w:eastAsiaTheme="minorHAnsi" w:hAnsi="Garamond" w:cs="Times New Roman"/>
          <w:bCs/>
          <w:color w:val="000000"/>
          <w:sz w:val="24"/>
          <w:szCs w:val="24"/>
        </w:rPr>
        <w:t>Neni 9</w:t>
      </w:r>
    </w:p>
    <w:p w14:paraId="5AB2A24B"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Krijimi i organizatave ndërsektoriale</w:t>
      </w:r>
    </w:p>
    <w:p w14:paraId="1208EAF2"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7B29F544"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Organizatat ndërsektoriale krijohen me iniciativën e operatorëve të produkteve të peshkimit e të akuakulturës dhe njihen sipas nenit 62, të ligjit nr.</w:t>
      </w:r>
      <w:r w:rsidR="00DA3BC7">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64/2012, “Për peshkimin”, të ndryshuar.</w:t>
      </w:r>
    </w:p>
    <w:p w14:paraId="13B32A1E"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5B63707A"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r w:rsidRPr="00AF228C">
        <w:rPr>
          <w:rFonts w:ascii="Garamond" w:eastAsiaTheme="minorHAnsi" w:hAnsi="Garamond" w:cs="Times New Roman"/>
          <w:bCs/>
          <w:color w:val="000000"/>
          <w:sz w:val="24"/>
          <w:szCs w:val="24"/>
        </w:rPr>
        <w:t>Neni 10</w:t>
      </w:r>
    </w:p>
    <w:p w14:paraId="10DEDF46" w14:textId="313A79D3"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Objektivi</w:t>
      </w:r>
      <w:r w:rsidR="00D25767">
        <w:rPr>
          <w:rFonts w:ascii="Garamond" w:eastAsiaTheme="minorHAnsi" w:hAnsi="Garamond" w:cs="Times New Roman"/>
          <w:b/>
          <w:bCs/>
          <w:color w:val="000000"/>
          <w:sz w:val="24"/>
          <w:szCs w:val="24"/>
        </w:rPr>
        <w:t xml:space="preserve"> </w:t>
      </w:r>
      <w:r w:rsidRPr="00AF228C">
        <w:rPr>
          <w:rFonts w:ascii="Garamond" w:eastAsiaTheme="minorHAnsi" w:hAnsi="Garamond" w:cs="Times New Roman"/>
          <w:b/>
          <w:bCs/>
          <w:color w:val="000000"/>
          <w:sz w:val="24"/>
          <w:szCs w:val="24"/>
        </w:rPr>
        <w:t>i organizatave ndërsektoriale</w:t>
      </w:r>
    </w:p>
    <w:p w14:paraId="512849EF"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11A936EF"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Organizatat ndërsektoriale synojnë përmirësimin e koordinimit të kushteve për disponueshmërinë e produkteve të peshkimit dhe akuakulturës në tregun e brendshëm dhe për eksport.</w:t>
      </w:r>
    </w:p>
    <w:p w14:paraId="23AD31E3"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465F9ABF"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r w:rsidRPr="00AF228C">
        <w:rPr>
          <w:rFonts w:ascii="Garamond" w:eastAsiaTheme="minorHAnsi" w:hAnsi="Garamond" w:cs="Times New Roman"/>
          <w:bCs/>
          <w:color w:val="000000"/>
          <w:sz w:val="24"/>
          <w:szCs w:val="24"/>
        </w:rPr>
        <w:lastRenderedPageBreak/>
        <w:t>Neni 11</w:t>
      </w:r>
    </w:p>
    <w:p w14:paraId="5CC05D96"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Masat që zbatohen nga organizata ndërsektoriale</w:t>
      </w:r>
    </w:p>
    <w:p w14:paraId="5AD33947"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7449474F"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Për të arritur objektivin e përcaktuar në nenin 10, të këtij vendimi, organizata ndërsektoriale ndërmerr masat e mëposhtme</w:t>
      </w:r>
      <w:r w:rsidR="00DA3BC7">
        <w:rPr>
          <w:rFonts w:ascii="Garamond" w:eastAsiaTheme="minorHAnsi" w:hAnsi="Garamond" w:cs="Times New Roman"/>
          <w:color w:val="000000"/>
          <w:sz w:val="24"/>
          <w:szCs w:val="24"/>
        </w:rPr>
        <w:t>,</w:t>
      </w:r>
      <w:r w:rsidRPr="00AF228C">
        <w:rPr>
          <w:rFonts w:ascii="Garamond" w:eastAsiaTheme="minorHAnsi" w:hAnsi="Garamond" w:cs="Times New Roman"/>
          <w:color w:val="000000"/>
          <w:sz w:val="24"/>
          <w:szCs w:val="24"/>
        </w:rPr>
        <w:t xml:space="preserve"> për:</w:t>
      </w:r>
    </w:p>
    <w:p w14:paraId="3A419ED5"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a) hartimin e kontratave standarde për anëtarësimin në organizatë dhe për funksionimin e saj;</w:t>
      </w:r>
    </w:p>
    <w:p w14:paraId="0277120C"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b) promovimin e produkteve shqiptare të peshkimit e të akuakulturës në mënyrë të integruar, duke përdorur certifikimin dhe, veçanërisht, emërtimet e origjinës, vulat e cilësisë, emërtimet gjeografike dhe specialitetet tradicionale;</w:t>
      </w:r>
    </w:p>
    <w:p w14:paraId="2CFC0078"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c) përcaktimin e rregullave për prodhimin dhe marketingun e produkteve të peshkimit e të akuakulturës që janë më të ashpra se ato të përcaktuara në legjislacionin në fuqi për peshkimin dhe akuakulturën;</w:t>
      </w:r>
    </w:p>
    <w:p w14:paraId="5AAAD895"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ç) përmirësimin e cilësisë, të transparencës dhe të njohurive mbi prodhimin e tregun, si dhe realizimin e aktiviteteve profesionale e të trajnimit për çështje që lidhen me cilësinë, gjurmueshmërinë, sigurinë ushqimore dhe nxitjen e iniciativave kërkimore;</w:t>
      </w:r>
    </w:p>
    <w:p w14:paraId="6743A691"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d) kryerjen e kërkimeve dhe studimeve të tregut, zhvillimin e teknikave për optimizimin e funksionimit të tregut, përmes përdorimit të teknologjive të informacionit e të komunikimit, si dhe mbledhjen e të dhënave socio</w:t>
      </w:r>
      <w:r w:rsidR="00DA3BC7">
        <w:rPr>
          <w:rFonts w:ascii="Garamond" w:eastAsiaTheme="minorHAnsi" w:hAnsi="Garamond" w:cs="Times New Roman"/>
          <w:color w:val="000000"/>
          <w:sz w:val="24"/>
          <w:szCs w:val="24"/>
        </w:rPr>
        <w:t>-</w:t>
      </w:r>
      <w:r w:rsidRPr="00AF228C">
        <w:rPr>
          <w:rFonts w:ascii="Garamond" w:eastAsiaTheme="minorHAnsi" w:hAnsi="Garamond" w:cs="Times New Roman"/>
          <w:color w:val="000000"/>
          <w:sz w:val="24"/>
          <w:szCs w:val="24"/>
        </w:rPr>
        <w:t>ekonomike;</w:t>
      </w:r>
    </w:p>
    <w:p w14:paraId="2959EBBC"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dh)</w:t>
      </w:r>
      <w:r w:rsidR="00DA3BC7">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ofrimin e informacionit dhe realizimin e kërkimeve të nevojshme për të siguruar furnizime të qëndrueshme në sasi, cilësi dhe çmim, që përputhen me kërkesat e tregut dhe pritshmëritë e konsumatorëve;</w:t>
      </w:r>
    </w:p>
    <w:p w14:paraId="79B543B7"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e) promovimin te konsumatorët të specieve të zëna nga popullatat e peshkimit që janë në gjendje të qëndrueshme, që kanë vlera ushqimore dhe që nuk janë konsumuar gjerësisht;</w:t>
      </w:r>
    </w:p>
    <w:p w14:paraId="39F3BB11"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ë) kontrollin dhe marrjen e masave për përputhshmërinë e aktiviteteve të anëtarëve të tyre me rregullat e vendosura nga organizata përkatëse ndërsektoriale.</w:t>
      </w:r>
    </w:p>
    <w:p w14:paraId="565C511E"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2EA0D2DA"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r w:rsidRPr="00AF228C">
        <w:rPr>
          <w:rFonts w:ascii="Garamond" w:eastAsiaTheme="minorHAnsi" w:hAnsi="Garamond" w:cs="Times New Roman"/>
          <w:bCs/>
          <w:color w:val="000000"/>
          <w:sz w:val="24"/>
          <w:szCs w:val="24"/>
        </w:rPr>
        <w:t>Neni 12</w:t>
      </w:r>
    </w:p>
    <w:p w14:paraId="6AC5BEB3"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Mbështetje financiare për organizatat e prodhuesve dhe për shoqatat e organizatave të prodhuesve</w:t>
      </w:r>
    </w:p>
    <w:p w14:paraId="3F31BA23"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71BE93C6"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1. Masat e marketingut për produktet e peshkimit dhe akuakulturës, të cilat synojnë krijimin e organizatave të prodhuesve ose të shoqatave të organizatave të prodhuesve, janë objekt i mbështetjes financiare nga skema e masave mbështetëse e ministrisë së bujqësisë.</w:t>
      </w:r>
    </w:p>
    <w:p w14:paraId="37380293"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2. Kriteret dhe procedurat për përfitimin e mbështetjes financiare, sipas pikës 1 të këtij neni, përcaktohen në vendimin e Këshillit të Ministrave për skemat kombëtare të mbështetjes në bujqësi, peshkim dhe zhvillim rural, që miratohet çdo vit.</w:t>
      </w:r>
    </w:p>
    <w:p w14:paraId="7AC78DC0"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54960279"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r w:rsidRPr="00AF228C">
        <w:rPr>
          <w:rFonts w:ascii="Garamond" w:eastAsiaTheme="minorHAnsi" w:hAnsi="Garamond" w:cs="Times New Roman"/>
          <w:bCs/>
          <w:color w:val="000000"/>
          <w:sz w:val="24"/>
          <w:szCs w:val="24"/>
        </w:rPr>
        <w:t>Neni 13</w:t>
      </w:r>
    </w:p>
    <w:p w14:paraId="19E9C263"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 xml:space="preserve">Funksionimi i brendshëm </w:t>
      </w:r>
    </w:p>
    <w:p w14:paraId="37D30F0E"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36F563AE"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Funksionimi i brendshëm i organizatave të prodhuesve dhe i organizatave ndërsektoriale bazohet në këto rregulla:</w:t>
      </w:r>
    </w:p>
    <w:p w14:paraId="7EFDCAA5"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a) Përputhshmëria e anëtarëve me rregullat e miratuara nga organizata, në lidhje me shfrytëzimin e qëndrueshëm të peshkimit, prodhimit dhe marketingut të produkteve të peshkimit dhe akuakulturës;</w:t>
      </w:r>
    </w:p>
    <w:p w14:paraId="6954243C"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b) Mosdiskriminimi ndërmjet anëtarëve;</w:t>
      </w:r>
    </w:p>
    <w:p w14:paraId="5BFEFB38"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c) Vendosja e një kontributi financiar nga anëtarët për të financuar veprimtarinë e organizatës;</w:t>
      </w:r>
    </w:p>
    <w:p w14:paraId="5FF882FC" w14:textId="2AE58883"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ç)</w:t>
      </w:r>
      <w:r w:rsidR="00D25767">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Funksionim demokratik, që garanton përfshirjen e anëtarëve në kontrollin dhe marrjen e vendimeve;</w:t>
      </w:r>
    </w:p>
    <w:p w14:paraId="5BC5F01C"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lastRenderedPageBreak/>
        <w:t>d) Vendosja e sanksioneve efektive, ndaluese dhe proporcionale për shkeljen e detyrimeve të përcaktuara në rregulloren e brendshme, në veçanti, në rast të mospagesës së kontributeve financiare;</w:t>
      </w:r>
    </w:p>
    <w:p w14:paraId="539957F5"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dh)</w:t>
      </w:r>
      <w:r w:rsidR="00DA3BC7">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përcaktimi i rregullave për pranimin e anëtarëve të rinj dhe për largimin nga anëtarësia;</w:t>
      </w:r>
    </w:p>
    <w:p w14:paraId="3CD04086"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e) përcaktimi i rregullave për mbajtjen e llogarive dhe për hartimin e buxhetit të nevojshëm për menaxhimin e organizatës.</w:t>
      </w:r>
    </w:p>
    <w:p w14:paraId="1C482B73"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17B79B4B"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F228C">
        <w:rPr>
          <w:rFonts w:ascii="Garamond" w:eastAsiaTheme="minorHAnsi" w:hAnsi="Garamond" w:cs="Times New Roman"/>
          <w:bCs/>
          <w:color w:val="000000"/>
          <w:sz w:val="24"/>
          <w:szCs w:val="24"/>
        </w:rPr>
        <w:t>Neni 14</w:t>
      </w:r>
    </w:p>
    <w:p w14:paraId="79CD4EC7"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Shpërndarja e mundësive të peshkimit</w:t>
      </w:r>
    </w:p>
    <w:p w14:paraId="545433E2"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3D574E3A"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Në ushtrimin e funksioneve të saj, një organizatë e prodhuesve e njohur dhe që ka anëtarë të ndryshëm zbaton rregullat e parashikuara në legjislacionin në fuqi për peshkimin</w:t>
      </w:r>
      <w:r w:rsidR="00DA3BC7">
        <w:rPr>
          <w:rFonts w:ascii="Garamond" w:eastAsiaTheme="minorHAnsi" w:hAnsi="Garamond" w:cs="Times New Roman"/>
          <w:color w:val="000000"/>
          <w:sz w:val="24"/>
          <w:szCs w:val="24"/>
        </w:rPr>
        <w:t>,</w:t>
      </w:r>
      <w:r w:rsidRPr="00AF228C">
        <w:rPr>
          <w:rFonts w:ascii="Garamond" w:eastAsiaTheme="minorHAnsi" w:hAnsi="Garamond" w:cs="Times New Roman"/>
          <w:color w:val="000000"/>
          <w:sz w:val="24"/>
          <w:szCs w:val="24"/>
        </w:rPr>
        <w:t xml:space="preserve"> për shpërndarjen e mundësive të peshkimit midis anëtarëve, në përputhje me planet e menaxhimit në fuqi.</w:t>
      </w:r>
    </w:p>
    <w:p w14:paraId="5960DAD7"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73B846CA"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F228C">
        <w:rPr>
          <w:rFonts w:ascii="Garamond" w:eastAsiaTheme="minorHAnsi" w:hAnsi="Garamond" w:cs="Times New Roman"/>
          <w:bCs/>
          <w:color w:val="000000"/>
          <w:sz w:val="24"/>
          <w:szCs w:val="24"/>
        </w:rPr>
        <w:t>Neni 15</w:t>
      </w:r>
    </w:p>
    <w:p w14:paraId="7F80A7AB"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Zbatimi i rregullave të organizatës së prodhuesve</w:t>
      </w:r>
    </w:p>
    <w:p w14:paraId="05AD47BB"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63A5871B"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1. Me kërkesë të organizatës së prodhuesve, ministri mund të vendosë që rregullat e detyrueshme të miratuara brenda një organizate të prodhuesve</w:t>
      </w:r>
      <w:r w:rsidR="00DA3BC7">
        <w:rPr>
          <w:rFonts w:ascii="Garamond" w:eastAsiaTheme="minorHAnsi" w:hAnsi="Garamond" w:cs="Times New Roman"/>
          <w:color w:val="000000"/>
          <w:sz w:val="24"/>
          <w:szCs w:val="24"/>
        </w:rPr>
        <w:t>,</w:t>
      </w:r>
      <w:r w:rsidRPr="00AF228C">
        <w:rPr>
          <w:rFonts w:ascii="Garamond" w:eastAsiaTheme="minorHAnsi" w:hAnsi="Garamond" w:cs="Times New Roman"/>
          <w:color w:val="000000"/>
          <w:sz w:val="24"/>
          <w:szCs w:val="24"/>
        </w:rPr>
        <w:t xml:space="preserve"> të zbatohen edhe nga prodhues që nuk janë anëtarë të saj, por që shesin ndonjë nga produktet përkatëse brenda zonës në të cilën organizata e prodhuesve është përfaqësuese, me kusht që:</w:t>
      </w:r>
    </w:p>
    <w:p w14:paraId="603CFD29"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a) organizata e prodhuesve të jetë themeluar prej të paktën një viti dhe të konsiderohet përfaqësuese e prodhimit dhe marketingut, përfshirë edhe sektorin e peshkimit artizanal;</w:t>
      </w:r>
    </w:p>
    <w:p w14:paraId="1EC8EC62"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b) rregullat të kenë lidhje me ndonjë nga masat për organizatat e prodhuesve të përcaktuara</w:t>
      </w:r>
      <w:r w:rsidR="00DA3BC7">
        <w:rPr>
          <w:rFonts w:ascii="Garamond" w:eastAsiaTheme="minorHAnsi" w:hAnsi="Garamond" w:cs="Times New Roman"/>
          <w:color w:val="000000"/>
          <w:sz w:val="24"/>
          <w:szCs w:val="24"/>
        </w:rPr>
        <w:t>,</w:t>
      </w:r>
      <w:r w:rsidRPr="00AF228C">
        <w:rPr>
          <w:rFonts w:ascii="Garamond" w:eastAsiaTheme="minorHAnsi" w:hAnsi="Garamond" w:cs="Times New Roman"/>
          <w:color w:val="000000"/>
          <w:sz w:val="24"/>
          <w:szCs w:val="24"/>
        </w:rPr>
        <w:t xml:space="preserve"> në:</w:t>
      </w:r>
    </w:p>
    <w:p w14:paraId="1D2120F4"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i. shkronjat “a”, “b” dhe “c”, të pikës 1, të nenit 6, të këtij vendimi;</w:t>
      </w:r>
    </w:p>
    <w:p w14:paraId="1AF9F0B5"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ii. shkronjat “a” dhe “b”, të pikës 2, të nenit 6, të këtij vendimi;</w:t>
      </w:r>
    </w:p>
    <w:p w14:paraId="01940ED9"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iii. shkronjat “a” deri në “d”, të pikës 3, të nenit 6, të këtij vendimi.</w:t>
      </w:r>
    </w:p>
    <w:p w14:paraId="280A4C10"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c) të zbatohen rregullat e konkurrencës sipas legjislacionit në fuqi për mbrojtjen e konkurrencës.</w:t>
      </w:r>
    </w:p>
    <w:p w14:paraId="2E14C241" w14:textId="77777777" w:rsidR="005C2955" w:rsidRPr="00AF228C" w:rsidRDefault="005C2955" w:rsidP="005C2955">
      <w:pPr>
        <w:tabs>
          <w:tab w:val="left" w:pos="7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2. Për qëllimet e shkronjës “a”, të pikës 1, të këtij neni, një organizatë e prodhuesve në sektorin e peshkimit konsiderohet përfaqësuese kur ajo përfaqëson të paktën 55 % të sasisë së tregtuar të produktit përkatës gjatë vitit të kaluar, në zonën ku propozohet të zbatohen rregullat edhe për prodhuesit që nuk janë anëtarë.</w:t>
      </w:r>
    </w:p>
    <w:p w14:paraId="6D6CFEAE" w14:textId="77777777" w:rsidR="005C2955" w:rsidRPr="00AF228C" w:rsidRDefault="005C2955" w:rsidP="005C2955">
      <w:pPr>
        <w:tabs>
          <w:tab w:val="left" w:pos="7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3. Për qëllimet e shkronjës “a”, të pikës 1, të këtij neni, një organizatë e prodhuesve në sektorin e akuakulturës konsiderohet përfaqësuese kur ajo përfaqëson të paktën 40 % të sasisë së tregtuar të produktit përkatës gjatë vitit të kaluar, në zonën ku propozohet të zbatohen rregullat edhe për prodhuesit që nuk janë anëtarë.</w:t>
      </w:r>
    </w:p>
    <w:p w14:paraId="09735136" w14:textId="77777777" w:rsidR="005C2955" w:rsidRPr="00AF228C" w:rsidRDefault="005C2955" w:rsidP="005C2955">
      <w:pPr>
        <w:tabs>
          <w:tab w:val="left" w:pos="7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4. Rregullat që zbatohen edhe për joanëtarët janë në fuqi për një periudhë nga 2 muaj deri në 12 muaj.</w:t>
      </w:r>
    </w:p>
    <w:p w14:paraId="27FF4761"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07622803"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F228C">
        <w:rPr>
          <w:rFonts w:ascii="Garamond" w:eastAsiaTheme="minorHAnsi" w:hAnsi="Garamond" w:cs="Times New Roman"/>
          <w:bCs/>
          <w:color w:val="000000"/>
          <w:sz w:val="24"/>
          <w:szCs w:val="24"/>
        </w:rPr>
        <w:t>Neni 16</w:t>
      </w:r>
    </w:p>
    <w:p w14:paraId="5BA5B169"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Zbatimi i rregullave të organizatave ndërsektoriale</w:t>
      </w:r>
    </w:p>
    <w:p w14:paraId="7E93FD6E"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0E6E6192" w14:textId="77777777" w:rsidR="005C2955" w:rsidRPr="00AF228C" w:rsidRDefault="005C2955" w:rsidP="005C2955">
      <w:pPr>
        <w:tabs>
          <w:tab w:val="left" w:pos="7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1. Me kërkesë të organizatës ndërsektoriale, ministri mund të vendosë që rregullat e detyrueshme, të miratuara nga një organizatë ndërsektoriale, të zbatohen edhe nga operatorë që nuk janë pjesë e saj, me kusht që:</w:t>
      </w:r>
    </w:p>
    <w:p w14:paraId="3BA1D436"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a) organizata ndërsektoriale të mbulojë të paktën 65 % të secilës prej të paktën dy nga këto veprimtari: prodhimi, përpunimi ose tregtimi i produktit përkatës gjatë vitit të kaluar, në zonën ose zonat përkatëse;</w:t>
      </w:r>
    </w:p>
    <w:p w14:paraId="4A5701F8"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 xml:space="preserve">b) rregullat, që parashikohen të zbatohen për operatorët e tjerë, të përfshijnë të paktën një nga masat e përcaktuara në pikat 1 deri </w:t>
      </w:r>
      <w:r w:rsidR="00DA3BC7">
        <w:rPr>
          <w:rFonts w:ascii="Garamond" w:eastAsiaTheme="minorHAnsi" w:hAnsi="Garamond" w:cs="Times New Roman"/>
          <w:color w:val="000000"/>
          <w:sz w:val="24"/>
          <w:szCs w:val="24"/>
        </w:rPr>
        <w:t xml:space="preserve">në </w:t>
      </w:r>
      <w:r w:rsidRPr="00AF228C">
        <w:rPr>
          <w:rFonts w:ascii="Garamond" w:eastAsiaTheme="minorHAnsi" w:hAnsi="Garamond" w:cs="Times New Roman"/>
          <w:color w:val="000000"/>
          <w:sz w:val="24"/>
          <w:szCs w:val="24"/>
        </w:rPr>
        <w:t>7, të nenit 11, të këtij vendimi, dhe të mos shkaktojnë dëm për operatorët e tjerë që veprojnë në të njëjtën zonë.</w:t>
      </w:r>
    </w:p>
    <w:p w14:paraId="06F36595"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lastRenderedPageBreak/>
        <w:t>2. Rregullat, që zbatohen për operatorët joanëtarë të organizatës ndërsektoriale, kanë kohëzgjatje maksimale tre vjet, me përjashtim të rasteve të parashikuara në pikën 4, të nenit 18, të këtij vendimi.</w:t>
      </w:r>
    </w:p>
    <w:p w14:paraId="428CBA7A"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2BDAC0C0"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F228C">
        <w:rPr>
          <w:rFonts w:ascii="Garamond" w:eastAsiaTheme="minorHAnsi" w:hAnsi="Garamond" w:cs="Times New Roman"/>
          <w:bCs/>
          <w:color w:val="000000"/>
          <w:sz w:val="24"/>
          <w:szCs w:val="24"/>
        </w:rPr>
        <w:t>Neni 17</w:t>
      </w:r>
    </w:p>
    <w:p w14:paraId="022144D8"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Përgjegjësia</w:t>
      </w:r>
    </w:p>
    <w:p w14:paraId="515AC3B2"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22126A78"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 xml:space="preserve">Kur rregullat zbatohen ndaj subjekteve joanëtare të organizatës, në përputhje me nenet 15 dhe 16, të këtij vendimi, ministria, me kërkesë të organizatës, mund të vendosë që këto subjekte të </w:t>
      </w:r>
      <w:r w:rsidR="00DA3BC7" w:rsidRPr="00AF228C">
        <w:rPr>
          <w:rFonts w:ascii="Garamond" w:eastAsiaTheme="minorHAnsi" w:hAnsi="Garamond" w:cs="Times New Roman"/>
          <w:color w:val="000000"/>
          <w:sz w:val="24"/>
          <w:szCs w:val="24"/>
        </w:rPr>
        <w:t>paguajnë</w:t>
      </w:r>
      <w:r w:rsidRPr="00AF228C">
        <w:rPr>
          <w:rFonts w:ascii="Garamond" w:eastAsiaTheme="minorHAnsi" w:hAnsi="Garamond" w:cs="Times New Roman"/>
          <w:color w:val="000000"/>
          <w:sz w:val="24"/>
          <w:szCs w:val="24"/>
        </w:rPr>
        <w:t xml:space="preserve"> financiarisht ndaj organizatës së prodhuesve ose organizatës ndërsektoriale për ekuivalentin e të gjithë ose të një pjese të kostove që janë paguar nga anëtarët, si rezultat i zbatimit të rregullave që shtrihen edhe mbi subjektet joanëtare.</w:t>
      </w:r>
    </w:p>
    <w:p w14:paraId="378B502A"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768F3B8A"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F228C">
        <w:rPr>
          <w:rFonts w:ascii="Garamond" w:eastAsiaTheme="minorHAnsi" w:hAnsi="Garamond" w:cs="Times New Roman"/>
          <w:bCs/>
          <w:color w:val="000000"/>
          <w:sz w:val="24"/>
          <w:szCs w:val="24"/>
        </w:rPr>
        <w:t>Neni 18</w:t>
      </w:r>
    </w:p>
    <w:p w14:paraId="6FEC06A1"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 xml:space="preserve"> Procedura për zgjatjen e rregullave</w:t>
      </w:r>
    </w:p>
    <w:p w14:paraId="4CC74519"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13B2BE9B"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1. Organizata njofton ministrinë për rregullat që vendosin të bëjnë të detyrueshme për të gjithë prodhuesit ose operatorët, anëtarë dhe joanëtarë në zonën ose zonat specifike, në përputhje me nenet 15 dhe 16, të këtij vendimi.</w:t>
      </w:r>
    </w:p>
    <w:p w14:paraId="4B46F0B6" w14:textId="77777777" w:rsidR="005C2955" w:rsidRPr="00DA3BC7" w:rsidRDefault="005C2955" w:rsidP="005C2955">
      <w:pPr>
        <w:tabs>
          <w:tab w:val="left" w:pos="360"/>
        </w:tabs>
        <w:autoSpaceDE w:val="0"/>
        <w:autoSpaceDN w:val="0"/>
        <w:adjustRightInd w:val="0"/>
        <w:spacing w:after="0" w:line="240" w:lineRule="auto"/>
        <w:ind w:firstLine="284"/>
        <w:jc w:val="both"/>
        <w:rPr>
          <w:rFonts w:ascii="Garamond" w:eastAsiaTheme="minorHAnsi" w:hAnsi="Garamond" w:cs="Times New Roman"/>
          <w:bCs/>
          <w:color w:val="000000"/>
          <w:sz w:val="24"/>
          <w:szCs w:val="24"/>
        </w:rPr>
      </w:pPr>
      <w:r w:rsidRPr="00DA3BC7">
        <w:rPr>
          <w:rFonts w:ascii="Garamond" w:eastAsiaTheme="minorHAnsi" w:hAnsi="Garamond" w:cs="Times New Roman"/>
          <w:bCs/>
          <w:color w:val="000000"/>
          <w:sz w:val="24"/>
          <w:szCs w:val="24"/>
        </w:rPr>
        <w:t>2. Ministria miraton zgjatjen e rregullave të parashikuara në pikën 1, me kusht që:</w:t>
      </w:r>
    </w:p>
    <w:p w14:paraId="7B8D5CFE" w14:textId="77777777" w:rsidR="005C2955" w:rsidRPr="00DA3BC7" w:rsidRDefault="005C2955" w:rsidP="005C2955">
      <w:pPr>
        <w:autoSpaceDE w:val="0"/>
        <w:autoSpaceDN w:val="0"/>
        <w:adjustRightInd w:val="0"/>
        <w:spacing w:after="0" w:line="240" w:lineRule="auto"/>
        <w:ind w:firstLine="284"/>
        <w:rPr>
          <w:rFonts w:ascii="Garamond" w:eastAsiaTheme="minorHAnsi" w:hAnsi="Garamond" w:cs="Times New Roman"/>
          <w:color w:val="000000"/>
          <w:sz w:val="24"/>
          <w:szCs w:val="24"/>
        </w:rPr>
      </w:pPr>
      <w:r w:rsidRPr="00DA3BC7">
        <w:rPr>
          <w:rFonts w:ascii="Garamond" w:eastAsiaTheme="minorHAnsi" w:hAnsi="Garamond" w:cs="Times New Roman"/>
          <w:color w:val="000000"/>
          <w:sz w:val="24"/>
          <w:szCs w:val="24"/>
        </w:rPr>
        <w:t>a) të respektohen parashikimet e neneve 15 dhe 16, të këtij vendimi;</w:t>
      </w:r>
    </w:p>
    <w:p w14:paraId="7935652B"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 xml:space="preserve">b) të respektohen rregullat e konkurrencës sipas legjislacionit në fuqi për </w:t>
      </w:r>
      <w:r w:rsidR="00DA3BC7" w:rsidRPr="00AF228C">
        <w:rPr>
          <w:rFonts w:ascii="Garamond" w:eastAsiaTheme="minorHAnsi" w:hAnsi="Garamond" w:cs="Times New Roman"/>
          <w:color w:val="000000"/>
          <w:sz w:val="24"/>
          <w:szCs w:val="24"/>
        </w:rPr>
        <w:t>mbrojtjen</w:t>
      </w:r>
      <w:r w:rsidRPr="00AF228C">
        <w:rPr>
          <w:rFonts w:ascii="Garamond" w:eastAsiaTheme="minorHAnsi" w:hAnsi="Garamond" w:cs="Times New Roman"/>
          <w:color w:val="000000"/>
          <w:sz w:val="24"/>
          <w:szCs w:val="24"/>
        </w:rPr>
        <w:t xml:space="preserve"> e konkurrencës;</w:t>
      </w:r>
    </w:p>
    <w:p w14:paraId="10772E37" w14:textId="77777777" w:rsidR="005C2955" w:rsidRPr="00AF228C" w:rsidRDefault="005C2955" w:rsidP="005C2955">
      <w:pPr>
        <w:autoSpaceDE w:val="0"/>
        <w:autoSpaceDN w:val="0"/>
        <w:adjustRightInd w:val="0"/>
        <w:spacing w:after="0" w:line="240" w:lineRule="auto"/>
        <w:ind w:firstLine="284"/>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 xml:space="preserve">c) zgjatja të mos rrezikojë tregtinë e lirë. </w:t>
      </w:r>
    </w:p>
    <w:p w14:paraId="4734B6BE"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3. Ministri miraton ose refuzon kërkesën e organizatës për zbatimin e rregullave brenda 1 muaji nga marrja e kërkesës.</w:t>
      </w:r>
    </w:p>
    <w:p w14:paraId="4C536ACB" w14:textId="7DE3C83F"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4. Organizata e prodhuesve ose ndërsektoriale njofton ministrinë të paktën 1 (një) muaj para përfundimit të periudhës fillestare. Në rast se ministri miraton periudhën shtesë ose nuk paraqet kundërshtim brenda një muaji nga data e marrjes së kërkesës, zbatimi i rregullave vazhdon të mbetet n</w:t>
      </w:r>
      <w:r w:rsidR="009727E8">
        <w:rPr>
          <w:rFonts w:ascii="Garamond" w:eastAsiaTheme="minorHAnsi" w:hAnsi="Garamond" w:cs="Times New Roman"/>
          <w:color w:val="000000"/>
          <w:sz w:val="24"/>
          <w:szCs w:val="24"/>
        </w:rPr>
        <w:t>ë fuqi për periudhën e zgjatur.</w:t>
      </w:r>
    </w:p>
    <w:p w14:paraId="3734CA6F"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7F46D23F"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F228C">
        <w:rPr>
          <w:rFonts w:ascii="Garamond" w:eastAsiaTheme="minorHAnsi" w:hAnsi="Garamond" w:cs="Times New Roman"/>
          <w:bCs/>
          <w:color w:val="000000"/>
          <w:sz w:val="24"/>
          <w:szCs w:val="24"/>
        </w:rPr>
        <w:t>Neni 19</w:t>
      </w:r>
    </w:p>
    <w:p w14:paraId="5AFCB77E"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Revokimi i miratimit</w:t>
      </w:r>
    </w:p>
    <w:p w14:paraId="2C183950" w14:textId="77777777" w:rsidR="005C2955" w:rsidRPr="00AF228C" w:rsidRDefault="005C2955" w:rsidP="005C2955">
      <w:pPr>
        <w:autoSpaceDE w:val="0"/>
        <w:autoSpaceDN w:val="0"/>
        <w:adjustRightInd w:val="0"/>
        <w:spacing w:after="0" w:line="240" w:lineRule="auto"/>
        <w:ind w:firstLine="284"/>
        <w:rPr>
          <w:rFonts w:ascii="Garamond" w:eastAsiaTheme="minorHAnsi" w:hAnsi="Garamond" w:cs="Times New Roman"/>
          <w:color w:val="000000"/>
          <w:sz w:val="24"/>
          <w:szCs w:val="24"/>
        </w:rPr>
      </w:pPr>
    </w:p>
    <w:p w14:paraId="385B720D"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1. Ministri revokon miratimin për zbatimin e rregullave në rast se konstatohet se ndonjë nga kërkesat e këtij kreu nuk është përmbushur.</w:t>
      </w:r>
    </w:p>
    <w:p w14:paraId="27333B36"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2. Ministria njofton me shkrim organizatat dhe operatorët joanëtarë për vendimin e revokimit të miratimit.</w:t>
      </w:r>
    </w:p>
    <w:p w14:paraId="73733BF7"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26D05929" w14:textId="77777777" w:rsidR="005C2955" w:rsidRPr="009727E8"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9727E8">
        <w:rPr>
          <w:rFonts w:ascii="Garamond" w:eastAsiaTheme="minorHAnsi" w:hAnsi="Garamond" w:cs="Times New Roman"/>
          <w:bCs/>
          <w:color w:val="000000"/>
          <w:sz w:val="24"/>
          <w:szCs w:val="24"/>
        </w:rPr>
        <w:t>KREU III</w:t>
      </w:r>
    </w:p>
    <w:p w14:paraId="21F93910" w14:textId="0103BB70" w:rsidR="005C2955" w:rsidRPr="009727E8"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9727E8">
        <w:rPr>
          <w:rFonts w:ascii="Garamond" w:eastAsiaTheme="minorHAnsi" w:hAnsi="Garamond" w:cs="Times New Roman"/>
          <w:bCs/>
          <w:color w:val="000000"/>
          <w:sz w:val="24"/>
          <w:szCs w:val="24"/>
        </w:rPr>
        <w:t xml:space="preserve">PLANI I PRODHIMIT DHE MARKETINGUT </w:t>
      </w:r>
      <w:r w:rsidR="00F36B15">
        <w:rPr>
          <w:rFonts w:ascii="Garamond" w:eastAsiaTheme="minorHAnsi" w:hAnsi="Garamond" w:cs="Times New Roman"/>
          <w:bCs/>
          <w:color w:val="000000"/>
          <w:sz w:val="24"/>
          <w:szCs w:val="24"/>
        </w:rPr>
        <w:t>TË</w:t>
      </w:r>
      <w:r w:rsidRPr="009727E8">
        <w:rPr>
          <w:rFonts w:ascii="Garamond" w:eastAsiaTheme="minorHAnsi" w:hAnsi="Garamond" w:cs="Times New Roman"/>
          <w:bCs/>
          <w:color w:val="000000"/>
          <w:sz w:val="24"/>
          <w:szCs w:val="24"/>
        </w:rPr>
        <w:t xml:space="preserve"> ORGANIZATAVE TË PRODHUESVE</w:t>
      </w:r>
    </w:p>
    <w:p w14:paraId="710ED302"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60C1D668"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F228C">
        <w:rPr>
          <w:rFonts w:ascii="Garamond" w:eastAsiaTheme="minorHAnsi" w:hAnsi="Garamond" w:cs="Times New Roman"/>
          <w:bCs/>
          <w:color w:val="000000"/>
          <w:sz w:val="24"/>
          <w:szCs w:val="24"/>
        </w:rPr>
        <w:t>Neni 20</w:t>
      </w:r>
    </w:p>
    <w:p w14:paraId="074B362A"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Plani i prodhimit dhe marketingut</w:t>
      </w:r>
    </w:p>
    <w:p w14:paraId="6B69AFB0"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5085E940" w14:textId="46338FB0"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1. Çdo organizatë e prodhuesve harton një plan prodhimi dhe tregtimi për speciet kryesore të saj për tregtim. Ky plan ka për qëllim arritjen e objektivave të përcaktuar në nenin 2, të këtij vendimi, dhe objektivat e përcaktuar në ligjin nr.</w:t>
      </w:r>
      <w:r w:rsidR="00654679">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64/2012, “Për peshkimin” të ndryshuar.</w:t>
      </w:r>
    </w:p>
    <w:p w14:paraId="3C520EE5"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2. Plani i prodhimit dhe marketingut përmban:</w:t>
      </w:r>
    </w:p>
    <w:p w14:paraId="33124E72"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a) një program prodhimi për speciet e zëna ose të kultivuara;</w:t>
      </w:r>
    </w:p>
    <w:p w14:paraId="60582A6D"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b) një strategji tregtimi që përshtatet me sasinë, cilësinë dhe furnizimin sipas kërkesave të tregut;</w:t>
      </w:r>
    </w:p>
    <w:p w14:paraId="31608E96"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8343B1">
        <w:rPr>
          <w:rFonts w:ascii="Garamond" w:eastAsiaTheme="minorHAnsi" w:hAnsi="Garamond" w:cs="Times New Roman"/>
          <w:color w:val="000000"/>
          <w:sz w:val="24"/>
          <w:szCs w:val="24"/>
        </w:rPr>
        <w:lastRenderedPageBreak/>
        <w:t>c) masat që</w:t>
      </w:r>
      <w:r w:rsidRPr="00AF228C">
        <w:rPr>
          <w:rFonts w:ascii="Garamond" w:eastAsiaTheme="minorHAnsi" w:hAnsi="Garamond" w:cs="Times New Roman"/>
          <w:color w:val="000000"/>
          <w:sz w:val="24"/>
          <w:szCs w:val="24"/>
        </w:rPr>
        <w:t xml:space="preserve"> merren nga organizata e prodhuesve për të përmbushur objektivat e saj;</w:t>
      </w:r>
    </w:p>
    <w:p w14:paraId="604AD50D" w14:textId="5FC3D30F"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ç)</w:t>
      </w:r>
      <w:r w:rsidR="00D25767">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masa të veçanta për rregullimin e furnizimit me specie që kanë vështirësi në tregtim gjatë vitit;</w:t>
      </w:r>
    </w:p>
    <w:p w14:paraId="31DC3548"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d) penalitete për anëtarët që shkelin vendimet e miratuara për zbatimin e planit përkatës.</w:t>
      </w:r>
    </w:p>
    <w:p w14:paraId="67F4D1A9"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3. Organizata e prodhuesve zbaton planin e prodhimit dhe marketingut pas miratimit nga ministri.</w:t>
      </w:r>
    </w:p>
    <w:p w14:paraId="361C3DAD" w14:textId="09F53B21" w:rsidR="005C2955" w:rsidRPr="00AF228C" w:rsidRDefault="005C2955" w:rsidP="005C2955">
      <w:pPr>
        <w:tabs>
          <w:tab w:val="left" w:pos="7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4. Organizata e prodhuesve mund të rishikojë planin e prodhimit dhe marketingut</w:t>
      </w:r>
      <w:r w:rsidR="008343B1">
        <w:rPr>
          <w:rFonts w:ascii="Garamond" w:eastAsiaTheme="minorHAnsi" w:hAnsi="Garamond" w:cs="Times New Roman"/>
          <w:color w:val="000000"/>
          <w:sz w:val="24"/>
          <w:szCs w:val="24"/>
        </w:rPr>
        <w:t>,</w:t>
      </w:r>
      <w:r w:rsidRPr="00AF228C">
        <w:rPr>
          <w:rFonts w:ascii="Garamond" w:eastAsiaTheme="minorHAnsi" w:hAnsi="Garamond" w:cs="Times New Roman"/>
          <w:color w:val="000000"/>
          <w:sz w:val="24"/>
          <w:szCs w:val="24"/>
        </w:rPr>
        <w:t xml:space="preserve"> dhe e zbaton pas miratimit nga ministri.</w:t>
      </w:r>
    </w:p>
    <w:p w14:paraId="7476E44B" w14:textId="6FC725EE" w:rsidR="005C2955" w:rsidRPr="00AF228C" w:rsidRDefault="005C2955" w:rsidP="005C2955">
      <w:pPr>
        <w:tabs>
          <w:tab w:val="left" w:pos="7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5. Organizata e prodhuesve përgatit një raport vjetor të aktiviteteve të saj</w:t>
      </w:r>
      <w:r w:rsidR="008343B1">
        <w:rPr>
          <w:rFonts w:ascii="Garamond" w:eastAsiaTheme="minorHAnsi" w:hAnsi="Garamond" w:cs="Times New Roman"/>
          <w:color w:val="000000"/>
          <w:sz w:val="24"/>
          <w:szCs w:val="24"/>
        </w:rPr>
        <w:t>,</w:t>
      </w:r>
      <w:r w:rsidRPr="00AF228C">
        <w:rPr>
          <w:rFonts w:ascii="Garamond" w:eastAsiaTheme="minorHAnsi" w:hAnsi="Garamond" w:cs="Times New Roman"/>
          <w:color w:val="000000"/>
          <w:sz w:val="24"/>
          <w:szCs w:val="24"/>
        </w:rPr>
        <w:t xml:space="preserve"> në kuadër të planit të prodhimit dhe marketingut</w:t>
      </w:r>
      <w:r w:rsidR="008343B1">
        <w:rPr>
          <w:rFonts w:ascii="Garamond" w:eastAsiaTheme="minorHAnsi" w:hAnsi="Garamond" w:cs="Times New Roman"/>
          <w:color w:val="000000"/>
          <w:sz w:val="24"/>
          <w:szCs w:val="24"/>
        </w:rPr>
        <w:t>,</w:t>
      </w:r>
      <w:r w:rsidRPr="00AF228C">
        <w:rPr>
          <w:rFonts w:ascii="Garamond" w:eastAsiaTheme="minorHAnsi" w:hAnsi="Garamond" w:cs="Times New Roman"/>
          <w:color w:val="000000"/>
          <w:sz w:val="24"/>
          <w:szCs w:val="24"/>
        </w:rPr>
        <w:t xml:space="preserve"> dhe e paraqet për miratim te ministri.</w:t>
      </w:r>
    </w:p>
    <w:p w14:paraId="10211845" w14:textId="60FF23F4" w:rsidR="005C2955" w:rsidRPr="00AF228C" w:rsidRDefault="005C2955" w:rsidP="005C2955">
      <w:pPr>
        <w:tabs>
          <w:tab w:val="left" w:pos="7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6. Çdo organizatë e prodhuesve siguron në planet e prodhimit dhe të tregtimit, të paraqitura në përputhje me pikën 1, të këtij neni, që zbarkimi i organizmave detarë nën madhësinë minimale të referencës për ruajtjen të mos çojë në zhvillimin e aktiviteteve të destinuara posaçërisht për zënien</w:t>
      </w:r>
      <w:r w:rsidR="00D25767">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e këtyre organizmave detarë.</w:t>
      </w:r>
    </w:p>
    <w:p w14:paraId="60ACCED4" w14:textId="77777777" w:rsidR="005C2955" w:rsidRPr="00AF228C" w:rsidRDefault="005C2955" w:rsidP="005C2955">
      <w:pPr>
        <w:tabs>
          <w:tab w:val="left" w:pos="7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7. Ministria kryen kontrolle për të siguruar që çdo organizatë e prodhuesve përmbush detyrimet e parashikuara në këtë nen. Mosrespektimi edhe vetëm të një detyrimi mund të rezultojë në revokimin e njohjes.</w:t>
      </w:r>
    </w:p>
    <w:p w14:paraId="60878AF5"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4AEAC114"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F228C">
        <w:rPr>
          <w:rFonts w:ascii="Garamond" w:eastAsiaTheme="minorHAnsi" w:hAnsi="Garamond" w:cs="Times New Roman"/>
          <w:bCs/>
          <w:color w:val="000000"/>
          <w:sz w:val="24"/>
          <w:szCs w:val="24"/>
        </w:rPr>
        <w:t>Neni 21</w:t>
      </w:r>
    </w:p>
    <w:p w14:paraId="2AFE0192"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Forma dhe struktura e planeve të prodhimit dhe marketingut</w:t>
      </w:r>
    </w:p>
    <w:p w14:paraId="6D8F07B1"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23270059"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Forma dhe struktura e planit të prodhimit dhe marketingut është sipas shtojcës III, që i bashkëlidhet këtij vendimi dhe është pjesë përbërëse e tij. Ministri nxjerr udhëzim mbi detajimin e mëtejshëm të planit të prodhimit dhe marketingut.</w:t>
      </w:r>
    </w:p>
    <w:p w14:paraId="2A45114D" w14:textId="77777777" w:rsidR="005C2955" w:rsidRPr="00AF228C" w:rsidRDefault="005C2955" w:rsidP="005C2955">
      <w:pPr>
        <w:autoSpaceDE w:val="0"/>
        <w:autoSpaceDN w:val="0"/>
        <w:adjustRightInd w:val="0"/>
        <w:spacing w:after="0" w:line="240" w:lineRule="auto"/>
        <w:ind w:firstLine="284"/>
        <w:rPr>
          <w:rFonts w:ascii="Garamond" w:eastAsiaTheme="minorHAnsi" w:hAnsi="Garamond" w:cs="Times New Roman"/>
          <w:color w:val="000000"/>
          <w:sz w:val="24"/>
          <w:szCs w:val="24"/>
        </w:rPr>
      </w:pPr>
    </w:p>
    <w:p w14:paraId="36B58EF0"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F228C">
        <w:rPr>
          <w:rFonts w:ascii="Garamond" w:eastAsiaTheme="minorHAnsi" w:hAnsi="Garamond" w:cs="Times New Roman"/>
          <w:bCs/>
          <w:color w:val="000000"/>
          <w:sz w:val="24"/>
          <w:szCs w:val="24"/>
        </w:rPr>
        <w:t>Neni 22</w:t>
      </w:r>
    </w:p>
    <w:p w14:paraId="6E397077"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Afatet dhe procedura për dorëzimin e planeve</w:t>
      </w:r>
    </w:p>
    <w:p w14:paraId="2C9C78EC"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09D7BA99" w14:textId="775C564C"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1. Çdo organizatë e prodhuesve, brenda tetë javëve nga njohja e saj nga ministri, dorëzon</w:t>
      </w:r>
      <w:r w:rsidR="00D25767">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planin e prodhimit e të marketingut pranë ministrisë dhe planet pasuese duhet të paraqiten të paktën tetë javë para përfundimit të vlefshmërisë së planeve ekzistuese.</w:t>
      </w:r>
    </w:p>
    <w:p w14:paraId="341E3049" w14:textId="16841F8D"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2. Ministria vlerëson planin e paraqitur nga organizata e prodhuesve dhe miraton planin brenda gjashtë javëve nga data e dorëzimit të tij, duke njo</w:t>
      </w:r>
      <w:r w:rsidR="008343B1">
        <w:rPr>
          <w:rFonts w:ascii="Garamond" w:eastAsiaTheme="minorHAnsi" w:hAnsi="Garamond" w:cs="Times New Roman"/>
          <w:color w:val="000000"/>
          <w:sz w:val="24"/>
          <w:szCs w:val="24"/>
        </w:rPr>
        <w:t>ftuar organizatën e prodhuesve.</w:t>
      </w:r>
    </w:p>
    <w:p w14:paraId="052F3CE9" w14:textId="1C1C9851"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3. Në rast se ministria vlerëson se objektivat e përcaktuar në nenin 2, të këtij vendimi, dhe në nenin 61/1, të ligjit nr.</w:t>
      </w:r>
      <w:r w:rsidR="008343B1">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64/2012, “Për peshkimin”, të ndryshuar, nuk përmbushen nga plani i paraqitur, njofton organizatën e prodhuesve</w:t>
      </w:r>
      <w:r w:rsidR="008343B1">
        <w:rPr>
          <w:rFonts w:ascii="Garamond" w:eastAsiaTheme="minorHAnsi" w:hAnsi="Garamond" w:cs="Times New Roman"/>
          <w:color w:val="000000"/>
          <w:sz w:val="24"/>
          <w:szCs w:val="24"/>
        </w:rPr>
        <w:t>,</w:t>
      </w:r>
      <w:r w:rsidRPr="00AF228C">
        <w:rPr>
          <w:rFonts w:ascii="Garamond" w:eastAsiaTheme="minorHAnsi" w:hAnsi="Garamond" w:cs="Times New Roman"/>
          <w:color w:val="000000"/>
          <w:sz w:val="24"/>
          <w:szCs w:val="24"/>
        </w:rPr>
        <w:t xml:space="preserve"> brenda 6 (gjashtë) javëve. Organizata e prodhuesve dorëzon planin e</w:t>
      </w:r>
      <w:r w:rsidR="00D25767">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ndryshuar brenda dy javëve.</w:t>
      </w:r>
    </w:p>
    <w:p w14:paraId="004068B3"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4. Afati për miratimin e planit të ndryshuar është katër javë nga data e dorëzimit të tij.</w:t>
      </w:r>
    </w:p>
    <w:p w14:paraId="41FD5B64"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2FA7E64B"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F228C">
        <w:rPr>
          <w:rFonts w:ascii="Garamond" w:eastAsiaTheme="minorHAnsi" w:hAnsi="Garamond" w:cs="Times New Roman"/>
          <w:bCs/>
          <w:color w:val="000000"/>
          <w:sz w:val="24"/>
          <w:szCs w:val="24"/>
        </w:rPr>
        <w:t>Neni 23</w:t>
      </w:r>
    </w:p>
    <w:p w14:paraId="573AA0BD"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Rishikimi i planeve</w:t>
      </w:r>
    </w:p>
    <w:p w14:paraId="7F355629"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3C376B7D" w14:textId="7431D795"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1. Nëse ministria vlerëson se një plan i ndryshuar, i paraqitur në përputhje me pikën 4, të nenit 28, të këtij vendimi, synon të arrijë objektivat e përcaktuar në nenin 2, të këtij vendimi, dhe në nenin 61/1, të ligjit nr.</w:t>
      </w:r>
      <w:r w:rsidR="008343B1">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64/2012, “Për peshkimin”, të ndryshuar, miraton planin brenda katër javëve nga data e dorëzimit dhe njofton menjëherë organizatën e prodhuesve.</w:t>
      </w:r>
    </w:p>
    <w:p w14:paraId="35237958"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2. Nëse ministri vlerëson se objektivat nuk mund të arrihen nga plani i ndryshuar, ajo njofton organizatën përkatëse brenda afatit të përcaktuar në pikën 1 të këtij neni. Organizata dorëzon një plan të ndryshuar brenda dy javëve.</w:t>
      </w:r>
    </w:p>
    <w:p w14:paraId="2CF30421"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3. Afati për miratimin e planit të ndryshuar është katër javë nga data e dorëzimit të tij.</w:t>
      </w:r>
    </w:p>
    <w:p w14:paraId="01F233B1"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43B5CEA3" w14:textId="77777777" w:rsidR="005C2955" w:rsidRPr="008343B1"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8343B1">
        <w:rPr>
          <w:rFonts w:ascii="Garamond" w:eastAsiaTheme="minorHAnsi" w:hAnsi="Garamond" w:cs="Times New Roman"/>
          <w:bCs/>
          <w:color w:val="000000"/>
          <w:sz w:val="24"/>
          <w:szCs w:val="24"/>
        </w:rPr>
        <w:t>KREU IV</w:t>
      </w:r>
    </w:p>
    <w:p w14:paraId="30C52C0B" w14:textId="77777777" w:rsidR="005C2955" w:rsidRPr="008343B1"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8343B1">
        <w:rPr>
          <w:rFonts w:ascii="Garamond" w:eastAsiaTheme="minorHAnsi" w:hAnsi="Garamond" w:cs="Times New Roman"/>
          <w:bCs/>
          <w:color w:val="000000"/>
          <w:sz w:val="24"/>
          <w:szCs w:val="24"/>
        </w:rPr>
        <w:lastRenderedPageBreak/>
        <w:t>STANDARDET E MARKETINGUT</w:t>
      </w:r>
    </w:p>
    <w:p w14:paraId="173770E6"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44F2E54C"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F228C">
        <w:rPr>
          <w:rFonts w:ascii="Garamond" w:eastAsiaTheme="minorHAnsi" w:hAnsi="Garamond" w:cs="Times New Roman"/>
          <w:bCs/>
          <w:color w:val="000000"/>
          <w:sz w:val="24"/>
          <w:szCs w:val="24"/>
        </w:rPr>
        <w:t>Neni 24</w:t>
      </w:r>
    </w:p>
    <w:p w14:paraId="355361DD"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Përcaktimi i standardeve të marketingut</w:t>
      </w:r>
    </w:p>
    <w:p w14:paraId="5ADE192D"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1578AE8A" w14:textId="77777777" w:rsidR="005C2955" w:rsidRPr="00AF228C" w:rsidRDefault="005C2955" w:rsidP="005C2955">
      <w:pPr>
        <w:tabs>
          <w:tab w:val="left" w:pos="7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1. Standarde të marketingut për produktet e peshkimit të destinuara për konsum njerëzor, të listuara në shtojcën I, bashkëlidhur këtij vendimi, përcaktohen pa marrë parasysh origjinën e tyre, vendase ose të importuara.</w:t>
      </w:r>
    </w:p>
    <w:p w14:paraId="51CC99C8"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 xml:space="preserve"> 2. Standardet e marketingut lidhen me cilësinë, madhësinë, peshën, paketimin, prezantimin ose etiketimin e produkteve dhe, në veçanti, me:</w:t>
      </w:r>
    </w:p>
    <w:p w14:paraId="31346998" w14:textId="3728673D"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a) madhësitë minimale të marketingut, duke marrë parasysh këshillat më të mira shkencore të disponueshme. Këto madhësi minimale të marketingut përkojnë me madhësitë minimale të referencës për ruajtje, në përputhje me shtojcën III, bashkëlidhur vendimit nr.</w:t>
      </w:r>
      <w:r w:rsidR="008343B1">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402, datë 8.5.2013, të Këshillit të Ministrave, “Për përcaktimin e masave menaxhuese për shfrytëzimin e qëndrueshëm të burimeve peshkore në det”;</w:t>
      </w:r>
    </w:p>
    <w:p w14:paraId="42C3C130"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b) specifikimet e produkteve të ruajtura, në përputhje me kërkesat e ruajtjes dhe detyrimet ndërkombëtare.</w:t>
      </w:r>
    </w:p>
    <w:p w14:paraId="6AD72786" w14:textId="3A2B9F83"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3. Pikat</w:t>
      </w:r>
      <w:r w:rsidR="00D25767">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1 dhe 2 të këtij neni zbatohen pa cenuar dispozitat e legjislacionit në fuqi për ushqimin dhe për peshkimin.</w:t>
      </w:r>
    </w:p>
    <w:p w14:paraId="5B143EC2"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32B874B7"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F228C">
        <w:rPr>
          <w:rFonts w:ascii="Garamond" w:eastAsiaTheme="minorHAnsi" w:hAnsi="Garamond" w:cs="Times New Roman"/>
          <w:bCs/>
          <w:color w:val="000000"/>
          <w:sz w:val="24"/>
          <w:szCs w:val="24"/>
        </w:rPr>
        <w:t>Neni 25</w:t>
      </w:r>
    </w:p>
    <w:p w14:paraId="69625AF5"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Përputhshmëria me standardet e marketingut</w:t>
      </w:r>
    </w:p>
    <w:p w14:paraId="7D4857F8"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5B63C5AB" w14:textId="77777777" w:rsidR="005C2955" w:rsidRPr="00AF228C" w:rsidRDefault="005C2955" w:rsidP="005C2955">
      <w:pPr>
        <w:tabs>
          <w:tab w:val="left" w:pos="7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1. Produktet e destinuara për konsum njerëzor, për të cilat janë përcaktuar standarde të marketingut, mund të bëhen të disponueshme në tregun e brendshëm vetëm në përputhje me këto standarde.</w:t>
      </w:r>
    </w:p>
    <w:p w14:paraId="1DA325A3" w14:textId="77777777" w:rsidR="005C2955" w:rsidRPr="00AF228C" w:rsidRDefault="005C2955" w:rsidP="005C2955">
      <w:pPr>
        <w:tabs>
          <w:tab w:val="left" w:pos="7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2. Të gjitha produktet e peshkimit të zbarkuara, përfshirë ato që nuk përputhen me standardet e marketingut, mund të përdoren për qëllime të tjera përveç konsumit njerëzor, duke përfshirë ushqimin për kafshë, prodhimin e vajit të peshkut, ushqimet për kafshë shtëpiake, shtesat ushqimore, produktet farmaceutike ose kozmetike.</w:t>
      </w:r>
    </w:p>
    <w:p w14:paraId="16E7A300" w14:textId="77777777" w:rsidR="005C2955" w:rsidRPr="00AF228C" w:rsidRDefault="005C2955" w:rsidP="005C2955">
      <w:pPr>
        <w:tabs>
          <w:tab w:val="left" w:pos="7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4F650719" w14:textId="77777777" w:rsidR="005C2955" w:rsidRPr="008343B1"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8343B1">
        <w:rPr>
          <w:rFonts w:ascii="Garamond" w:eastAsiaTheme="minorHAnsi" w:hAnsi="Garamond" w:cs="Times New Roman"/>
          <w:bCs/>
          <w:color w:val="000000"/>
          <w:sz w:val="24"/>
          <w:szCs w:val="24"/>
        </w:rPr>
        <w:t>KREU V</w:t>
      </w:r>
    </w:p>
    <w:p w14:paraId="71CE2A96" w14:textId="77777777" w:rsidR="005C2955" w:rsidRPr="008343B1"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8343B1">
        <w:rPr>
          <w:rFonts w:ascii="Garamond" w:eastAsiaTheme="minorHAnsi" w:hAnsi="Garamond" w:cs="Times New Roman"/>
          <w:bCs/>
          <w:color w:val="000000"/>
          <w:sz w:val="24"/>
          <w:szCs w:val="24"/>
        </w:rPr>
        <w:t>INFORMACIONET PËR KONSUMATORIN DHE PËR TREGJET</w:t>
      </w:r>
    </w:p>
    <w:p w14:paraId="0D44BAE6"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20C2CD84"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F228C">
        <w:rPr>
          <w:rFonts w:ascii="Garamond" w:eastAsiaTheme="minorHAnsi" w:hAnsi="Garamond" w:cs="Times New Roman"/>
          <w:bCs/>
          <w:color w:val="000000"/>
          <w:sz w:val="24"/>
          <w:szCs w:val="24"/>
        </w:rPr>
        <w:t>Neni 26</w:t>
      </w:r>
    </w:p>
    <w:p w14:paraId="6C531120"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Informacioni i detyrueshëm</w:t>
      </w:r>
    </w:p>
    <w:p w14:paraId="49C4E01A"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20D61971" w14:textId="240D6F98"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1. Produktet e peshkimit e të akuakulturës, të listuara në shkronjat “a”, “b”, “c” dhe “e”, të shtojcës I, bashkëlidhur këtij vendimi, të cilat tregtohen në tregun e brendshëm, pa marrë parasysh origjinën ose metodën e marketingut, mund të ofrohen për shitje për konsumatorin përfundimtar ose për institucione që përdorin produktin, si shkolla, spitale, mensa ushtarake, kantina fabrikash, burgje, konvikte studentore, institucione publike ose private vetëm nëse, përveç rregullave të parashikuara në kreun VI, të vendimit nr.</w:t>
      </w:r>
      <w:r w:rsidR="008343B1">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407, datë 8.5.2013, të Këshillit të Ministrave, “Për përcaktimin e një regjimi kontrolli për të garantuar respektimin e rregullave të politikave menaxhuese në peshkim”, i ndryshuar, etiketimi përmban edhe:</w:t>
      </w:r>
    </w:p>
    <w:p w14:paraId="509ACF47"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a) emrin tregtar dhe emrin shkencor të species;</w:t>
      </w:r>
    </w:p>
    <w:p w14:paraId="5E0EBEB8"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b) metodën e prodhimit, duke përcaktuar shprehjet “… i zënë …”, “… i zënë në ujëra të ëmbla …” ose “… i kultivuar …”;</w:t>
      </w:r>
    </w:p>
    <w:p w14:paraId="76B77035" w14:textId="4A156440"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c) zonën ku produkti është zënë ose kultivuar, si dhe kategorinë e veglave të peshkimit të përdorura në zënien e peshqve, sipas shtojcës II</w:t>
      </w:r>
      <w:r w:rsidR="008343B1">
        <w:rPr>
          <w:rFonts w:ascii="Garamond" w:eastAsiaTheme="minorHAnsi" w:hAnsi="Garamond" w:cs="Times New Roman"/>
          <w:color w:val="000000"/>
          <w:sz w:val="24"/>
          <w:szCs w:val="24"/>
        </w:rPr>
        <w:t>,</w:t>
      </w:r>
      <w:r w:rsidRPr="00AF228C">
        <w:rPr>
          <w:rFonts w:ascii="Garamond" w:eastAsiaTheme="minorHAnsi" w:hAnsi="Garamond" w:cs="Times New Roman"/>
          <w:color w:val="000000"/>
          <w:sz w:val="24"/>
          <w:szCs w:val="24"/>
        </w:rPr>
        <w:t xml:space="preserve"> të vendimit nr.</w:t>
      </w:r>
      <w:r w:rsidR="008343B1">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 xml:space="preserve">402, datë 8.5.2013, të Këshillit të </w:t>
      </w:r>
      <w:r w:rsidRPr="00AF228C">
        <w:rPr>
          <w:rFonts w:ascii="Garamond" w:eastAsiaTheme="minorHAnsi" w:hAnsi="Garamond" w:cs="Times New Roman"/>
          <w:color w:val="000000"/>
          <w:sz w:val="24"/>
          <w:szCs w:val="24"/>
        </w:rPr>
        <w:lastRenderedPageBreak/>
        <w:t>Ministrave, “Për përcaktimin e masave menaxhuese për shfrytëzimin e qëndrueshëm të burimeve peshkore në det”, të ndryshuar;</w:t>
      </w:r>
    </w:p>
    <w:p w14:paraId="76589983" w14:textId="4975B7A4"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ç)</w:t>
      </w:r>
      <w:r w:rsidR="00D25767">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nëse produkti është shkrirë;</w:t>
      </w:r>
    </w:p>
    <w:p w14:paraId="400624F6" w14:textId="263FAD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d)</w:t>
      </w:r>
      <w:r w:rsidR="00D25767">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datën e jetëgjatësisë minimale, kur është e nevojshme.</w:t>
      </w:r>
    </w:p>
    <w:p w14:paraId="46C4BA46" w14:textId="77777777" w:rsidR="005C2955" w:rsidRPr="00AF228C" w:rsidRDefault="005C2955" w:rsidP="005C2955">
      <w:pPr>
        <w:tabs>
          <w:tab w:val="left" w:pos="7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2. Kërkesa e shkronjës “ç”, të pikës 1, të këtij neni, nuk zbatohet për:</w:t>
      </w:r>
    </w:p>
    <w:p w14:paraId="042ADF28"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a) përbërësit e pranishëm në produktin përfundimtar;</w:t>
      </w:r>
    </w:p>
    <w:p w14:paraId="7BBFBF32"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b) ushqimet për të cilat ngrirja është një hap teknologjikisht i nevojshëm në procesin e prodhimit;</w:t>
      </w:r>
    </w:p>
    <w:p w14:paraId="0616CDD0"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c) produktet e peshkimit e të akuakulturës të ngrira më parë për qëllime të sigurisë shëndetësore;</w:t>
      </w:r>
    </w:p>
    <w:p w14:paraId="33E266BA"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ç) produktet që janë shkrirë para procesit të tymosjes, kripjes, gatimit, marinimit, tharjes ose një kombinimi të ndonjërit nga këto procese.</w:t>
      </w:r>
    </w:p>
    <w:p w14:paraId="0F8BAFF6"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3. Për produktet e peshkimit e të akuakulturës të paketuara, informacioni i detyrueshëm i parashikuar në pikën 1, të këtij neni, mund të jepet për shitjen me pakicë përmes informacionit tregtar si reklamat ose posterat.</w:t>
      </w:r>
    </w:p>
    <w:p w14:paraId="7CEA214B"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4. Kur një produkt i përzier ofrohet për shitje për konsumatorin përfundimtar ose për institucione dhe përbëhet nga i njëjti lloj specieje, por që vjen nga metoda të ndryshme prodhimi, specifikohet metoda për çdo ngarkesë. Kur një produkt i përzier përmban të njëjtin lloj specieje nga zona të ndryshme të zënies ose prodhimit, specifikohet zona e ngarkesës më të përfaqësuar në sasi, së bashku me një tregues që produktet vijnë nga zona të ndryshme të zënies ose kultivimit.</w:t>
      </w:r>
    </w:p>
    <w:p w14:paraId="3D0C2B8A" w14:textId="31B3DA72"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5. Ministria mund të përjashtojë nga këto kërkesa sasi të vogla produktesh të shitura drejtpërdrejt nga anijet e peshkimit te</w:t>
      </w:r>
      <w:r w:rsidR="008343B1">
        <w:rPr>
          <w:rFonts w:ascii="Garamond" w:eastAsiaTheme="minorHAnsi" w:hAnsi="Garamond" w:cs="Times New Roman"/>
          <w:color w:val="000000"/>
          <w:sz w:val="24"/>
          <w:szCs w:val="24"/>
        </w:rPr>
        <w:t>k</w:t>
      </w:r>
      <w:r w:rsidRPr="00AF228C">
        <w:rPr>
          <w:rFonts w:ascii="Garamond" w:eastAsiaTheme="minorHAnsi" w:hAnsi="Garamond" w:cs="Times New Roman"/>
          <w:color w:val="000000"/>
          <w:sz w:val="24"/>
          <w:szCs w:val="24"/>
        </w:rPr>
        <w:t xml:space="preserve"> konsumatorët, nëse vlera e tyre nuk kalon 5 000 lekë.</w:t>
      </w:r>
    </w:p>
    <w:p w14:paraId="16EF1930"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6. Produktet e peshkimit dhe akuakulturës dhe paketimet e tyre që nuk përputhen me këtë nen mund të tregtohen vetëm deri në përdorimin e stokut ekzistues.</w:t>
      </w:r>
    </w:p>
    <w:p w14:paraId="6DA607EC"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158ADF80"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F228C">
        <w:rPr>
          <w:rFonts w:ascii="Garamond" w:eastAsiaTheme="minorHAnsi" w:hAnsi="Garamond" w:cs="Times New Roman"/>
          <w:bCs/>
          <w:color w:val="000000"/>
          <w:sz w:val="24"/>
          <w:szCs w:val="24"/>
        </w:rPr>
        <w:t>Neni 27</w:t>
      </w:r>
    </w:p>
    <w:p w14:paraId="0BACE13C"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Emri tregtar</w:t>
      </w:r>
    </w:p>
    <w:p w14:paraId="024962F6"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546638A1" w14:textId="1DE76EBE" w:rsidR="005C2955" w:rsidRPr="00AF228C" w:rsidRDefault="005C2955" w:rsidP="005C2955">
      <w:pPr>
        <w:tabs>
          <w:tab w:val="left" w:pos="7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1. Organizata harton dhe publikon një listë me emrat tregtarë për produktet peshkore në territorin e saj të veprimit, së bashku me emrat shkencorë përkatës. Lista</w:t>
      </w:r>
      <w:r w:rsidR="00D25767">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përmban:</w:t>
      </w:r>
    </w:p>
    <w:p w14:paraId="70975A58"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 xml:space="preserve">a) emrin shkencor për çdo specie, në përputhje me Sistemin e Informacionit </w:t>
      </w:r>
      <w:r w:rsidRPr="00AF228C">
        <w:rPr>
          <w:rFonts w:ascii="Garamond" w:eastAsiaTheme="minorHAnsi" w:hAnsi="Garamond" w:cs="Times New Roman"/>
          <w:i/>
          <w:iCs/>
          <w:color w:val="000000"/>
          <w:sz w:val="24"/>
          <w:szCs w:val="24"/>
        </w:rPr>
        <w:t>FishBase</w:t>
      </w:r>
      <w:r w:rsidRPr="00AF228C">
        <w:rPr>
          <w:rFonts w:ascii="Garamond" w:eastAsiaTheme="minorHAnsi" w:hAnsi="Garamond" w:cs="Times New Roman"/>
          <w:color w:val="000000"/>
          <w:sz w:val="24"/>
          <w:szCs w:val="24"/>
        </w:rPr>
        <w:t xml:space="preserve"> ose me sistemin Informativ për Shkencat Ujore dhe Peshkimin (ASFIS) të Organizatës për Ushqimin dhe Bujqësinë, këtu e në vijim FAO;</w:t>
      </w:r>
    </w:p>
    <w:p w14:paraId="7971DB59"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b) emrin tregtar që përmban:</w:t>
      </w:r>
    </w:p>
    <w:p w14:paraId="1FF8EF6D"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i. emrin e specieve në gjuhën zyrtare; ose</w:t>
      </w:r>
    </w:p>
    <w:p w14:paraId="2C05F972"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ii. çdo emër tjetër ose emra që janë të pranuar ose të lejuar në nivel vendor ose rajonal.</w:t>
      </w:r>
    </w:p>
    <w:p w14:paraId="7C3F63E0"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2. Të gjitha speciet e peshkut, që janë përbërës të një ushqimi tjetër, emërtohen si “peshk”, me kusht që emri dhe prezantimi i këtij ushqimi të mos i referohet një specieje të veçantë.</w:t>
      </w:r>
    </w:p>
    <w:p w14:paraId="26E783EF" w14:textId="580929C5"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 xml:space="preserve">3. Çdo ndryshim në listën e emrave peshkorë tregtarë të pranuar nga organizata i </w:t>
      </w:r>
      <w:r w:rsidR="008343B1">
        <w:rPr>
          <w:rFonts w:ascii="Garamond" w:eastAsiaTheme="minorHAnsi" w:hAnsi="Garamond" w:cs="Times New Roman"/>
          <w:color w:val="000000"/>
          <w:sz w:val="24"/>
          <w:szCs w:val="24"/>
        </w:rPr>
        <w:t>njoftohet menjëherë ministrisë.</w:t>
      </w:r>
    </w:p>
    <w:p w14:paraId="1ABD2F88"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66D547B9"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F228C">
        <w:rPr>
          <w:rFonts w:ascii="Garamond" w:eastAsiaTheme="minorHAnsi" w:hAnsi="Garamond" w:cs="Times New Roman"/>
          <w:bCs/>
          <w:color w:val="000000"/>
          <w:sz w:val="24"/>
          <w:szCs w:val="24"/>
        </w:rPr>
        <w:t>Neni 28</w:t>
      </w:r>
    </w:p>
    <w:p w14:paraId="1F2D83D0"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Treguesi i zonës së zënies ose prodhimit</w:t>
      </w:r>
    </w:p>
    <w:p w14:paraId="302682DA"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5076B930" w14:textId="3FD43BA4"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 xml:space="preserve">1. Treguesi i zonës së zënies ose prodhimit, në përputhje me </w:t>
      </w:r>
      <w:r w:rsidR="008343B1" w:rsidRPr="00AF228C">
        <w:rPr>
          <w:rFonts w:ascii="Garamond" w:eastAsiaTheme="minorHAnsi" w:hAnsi="Garamond" w:cs="Times New Roman"/>
          <w:color w:val="000000"/>
          <w:sz w:val="24"/>
          <w:szCs w:val="24"/>
        </w:rPr>
        <w:t>shkronjën</w:t>
      </w:r>
      <w:r w:rsidRPr="00AF228C">
        <w:rPr>
          <w:rFonts w:ascii="Garamond" w:eastAsiaTheme="minorHAnsi" w:hAnsi="Garamond" w:cs="Times New Roman"/>
          <w:color w:val="000000"/>
          <w:sz w:val="24"/>
          <w:szCs w:val="24"/>
        </w:rPr>
        <w:t xml:space="preserve"> “c”, të pikës 1, të nenit 26, përbëhet nga:</w:t>
      </w:r>
    </w:p>
    <w:p w14:paraId="75AB5807"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a) në rastin e produkteve të peshkimit të zëna në det, emri i nënzonës ose ndarjeve të listuara në zonat e peshkimit të FAO-së, si dhe emri i kësaj zone, i shprehur në terma të kuptueshëm për konsumatorin, ose një hartë apo piktogram që tregon atë zonë; si përjashtim, për produktet e peshkimit, të zëna në ujëra të tjera, përveç Atlantikut të Veriut (Zonë Peshkimi FAO 27) dhe Detit Mesdhe dhe Detit të Zi (Zonë Peshkimi FAO 37), mund të tregohen vetëm emrat e zonave të peshkimit të FAO-s;</w:t>
      </w:r>
    </w:p>
    <w:p w14:paraId="495CEC78"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lastRenderedPageBreak/>
        <w:t>b) në rastin e produkteve të peshkimit të zëna në ujëra të ëmbla, një referencë për zonën e prejardhjes së produktit;</w:t>
      </w:r>
    </w:p>
    <w:p w14:paraId="0CE88F0A" w14:textId="5590E383"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c) në rastin e produkteve të akuakulturës, një referencë për vendin ku produkti ka arritur më shumë se gjysmën e peshës së tij përfundimtare ose ka qëndruar për më shumë se gjysmën e periudhës së kultivimit</w:t>
      </w:r>
      <w:r w:rsidR="008343B1">
        <w:rPr>
          <w:rFonts w:ascii="Garamond" w:eastAsiaTheme="minorHAnsi" w:hAnsi="Garamond" w:cs="Times New Roman"/>
          <w:color w:val="000000"/>
          <w:sz w:val="24"/>
          <w:szCs w:val="24"/>
        </w:rPr>
        <w:t>.</w:t>
      </w:r>
      <w:r w:rsidRPr="00AF228C">
        <w:rPr>
          <w:rFonts w:ascii="Garamond" w:eastAsiaTheme="minorHAnsi" w:hAnsi="Garamond" w:cs="Times New Roman"/>
          <w:color w:val="000000"/>
          <w:sz w:val="24"/>
          <w:szCs w:val="24"/>
        </w:rPr>
        <w:t xml:space="preserve"> Në rastin e molusqeve, vendi ku ka kaluar një fazë përfundimtare të kultivimit ose ka qëndruar të paktën gjashtë muaj.</w:t>
      </w:r>
    </w:p>
    <w:p w14:paraId="50C42522"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2. Përveç informacionit të parashikuar në pikën 1, të këtij neni, operatorët mund të tregojnë një zonë më të saktë të zënies ose prodhimit.</w:t>
      </w:r>
    </w:p>
    <w:p w14:paraId="0FD17387" w14:textId="77777777" w:rsidR="005C2955" w:rsidRPr="00AF228C" w:rsidRDefault="005C2955" w:rsidP="005C2955">
      <w:pPr>
        <w:autoSpaceDE w:val="0"/>
        <w:autoSpaceDN w:val="0"/>
        <w:adjustRightInd w:val="0"/>
        <w:spacing w:after="0" w:line="240" w:lineRule="auto"/>
        <w:ind w:firstLine="284"/>
        <w:rPr>
          <w:rFonts w:ascii="Garamond" w:eastAsiaTheme="minorHAnsi" w:hAnsi="Garamond" w:cs="Times New Roman"/>
          <w:color w:val="000000"/>
          <w:sz w:val="24"/>
          <w:szCs w:val="24"/>
        </w:rPr>
      </w:pPr>
    </w:p>
    <w:p w14:paraId="7149C447"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F228C">
        <w:rPr>
          <w:rFonts w:ascii="Garamond" w:eastAsiaTheme="minorHAnsi" w:hAnsi="Garamond" w:cs="Times New Roman"/>
          <w:bCs/>
          <w:color w:val="000000"/>
          <w:sz w:val="24"/>
          <w:szCs w:val="24"/>
        </w:rPr>
        <w:t>Neni 29</w:t>
      </w:r>
    </w:p>
    <w:p w14:paraId="35FBC783"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Informacioni shtesë</w:t>
      </w:r>
    </w:p>
    <w:p w14:paraId="1721BFD7"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04C94704"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1. Përveç informacionit të detyrueshëm, të kërkuar në përputhje me nenin 26, të këtij kreu, mund të ofrohet informacion shtesë, me kusht që të jetë i qartë dhe i saktë, si më poshtë vijon:</w:t>
      </w:r>
    </w:p>
    <w:p w14:paraId="38B628DD" w14:textId="4BCFF445"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 xml:space="preserve">a) </w:t>
      </w:r>
      <w:r w:rsidR="008343B1">
        <w:rPr>
          <w:rFonts w:ascii="Garamond" w:eastAsiaTheme="minorHAnsi" w:hAnsi="Garamond" w:cs="Times New Roman"/>
          <w:color w:val="000000"/>
          <w:sz w:val="24"/>
          <w:szCs w:val="24"/>
        </w:rPr>
        <w:t>d</w:t>
      </w:r>
      <w:r w:rsidRPr="00AF228C">
        <w:rPr>
          <w:rFonts w:ascii="Garamond" w:eastAsiaTheme="minorHAnsi" w:hAnsi="Garamond" w:cs="Times New Roman"/>
          <w:color w:val="000000"/>
          <w:sz w:val="24"/>
          <w:szCs w:val="24"/>
        </w:rPr>
        <w:t>ata e zënies së produkteve të peshkimit ose data e vjeljes së produkteve të akuakulturës;</w:t>
      </w:r>
    </w:p>
    <w:p w14:paraId="3F4A79E8" w14:textId="7E460D04"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 xml:space="preserve">b) </w:t>
      </w:r>
      <w:r w:rsidR="008343B1">
        <w:rPr>
          <w:rFonts w:ascii="Garamond" w:eastAsiaTheme="minorHAnsi" w:hAnsi="Garamond" w:cs="Times New Roman"/>
          <w:color w:val="000000"/>
          <w:sz w:val="24"/>
          <w:szCs w:val="24"/>
        </w:rPr>
        <w:t>d</w:t>
      </w:r>
      <w:r w:rsidRPr="00AF228C">
        <w:rPr>
          <w:rFonts w:ascii="Garamond" w:eastAsiaTheme="minorHAnsi" w:hAnsi="Garamond" w:cs="Times New Roman"/>
          <w:color w:val="000000"/>
          <w:sz w:val="24"/>
          <w:szCs w:val="24"/>
        </w:rPr>
        <w:t>ata e zbarkimit të produkteve të peshkimit ose informacion mbi portin ku janë zbarkuar produktet;</w:t>
      </w:r>
    </w:p>
    <w:p w14:paraId="27338808" w14:textId="397C78E0"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 xml:space="preserve">c) </w:t>
      </w:r>
      <w:r w:rsidR="008343B1">
        <w:rPr>
          <w:rFonts w:ascii="Garamond" w:eastAsiaTheme="minorHAnsi" w:hAnsi="Garamond" w:cs="Times New Roman"/>
          <w:color w:val="000000"/>
          <w:sz w:val="24"/>
          <w:szCs w:val="24"/>
        </w:rPr>
        <w:t>i</w:t>
      </w:r>
      <w:r w:rsidRPr="00AF228C">
        <w:rPr>
          <w:rFonts w:ascii="Garamond" w:eastAsiaTheme="minorHAnsi" w:hAnsi="Garamond" w:cs="Times New Roman"/>
          <w:color w:val="000000"/>
          <w:sz w:val="24"/>
          <w:szCs w:val="24"/>
        </w:rPr>
        <w:t>nformacion më i detajuar mbi llojin e veglave të peshkimit, sipas shtojcës VI, bashkëlidhur vendimit nr.</w:t>
      </w:r>
      <w:r w:rsidR="008343B1">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407, datë 8.5.2013, të Këshillit të Ministrave, “Për përcaktimin e një regjimi kontrolli për të garantuar respektimin e rregullave të politikave menaxhuese në peshkim”, i ndryshuar;</w:t>
      </w:r>
    </w:p>
    <w:p w14:paraId="7EF67112" w14:textId="02652DB0"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ç)</w:t>
      </w:r>
      <w:r w:rsidR="00D25767">
        <w:rPr>
          <w:rFonts w:ascii="Garamond" w:eastAsiaTheme="minorHAnsi" w:hAnsi="Garamond" w:cs="Times New Roman"/>
          <w:color w:val="000000"/>
          <w:sz w:val="24"/>
          <w:szCs w:val="24"/>
        </w:rPr>
        <w:t xml:space="preserve"> </w:t>
      </w:r>
      <w:r w:rsidR="008343B1">
        <w:rPr>
          <w:rFonts w:ascii="Garamond" w:eastAsiaTheme="minorHAnsi" w:hAnsi="Garamond" w:cs="Times New Roman"/>
          <w:color w:val="000000"/>
          <w:sz w:val="24"/>
          <w:szCs w:val="24"/>
        </w:rPr>
        <w:t>n</w:t>
      </w:r>
      <w:r w:rsidRPr="00AF228C">
        <w:rPr>
          <w:rFonts w:ascii="Garamond" w:eastAsiaTheme="minorHAnsi" w:hAnsi="Garamond" w:cs="Times New Roman"/>
          <w:color w:val="000000"/>
          <w:sz w:val="24"/>
          <w:szCs w:val="24"/>
        </w:rPr>
        <w:t>ë rastin e produkteve të peshkimit të zëna në det, detaje mbi shtetin flamur të anijes që i ka zënë produktet;</w:t>
      </w:r>
    </w:p>
    <w:p w14:paraId="4F5CBB65" w14:textId="6BFDADDA" w:rsidR="005C2955" w:rsidRPr="00AF228C" w:rsidRDefault="008343B1"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Pr>
          <w:rFonts w:ascii="Garamond" w:eastAsiaTheme="minorHAnsi" w:hAnsi="Garamond" w:cs="Times New Roman"/>
          <w:color w:val="000000"/>
          <w:sz w:val="24"/>
          <w:szCs w:val="24"/>
        </w:rPr>
        <w:t>d)</w:t>
      </w:r>
      <w:r w:rsidR="00D25767">
        <w:rPr>
          <w:rFonts w:ascii="Garamond" w:eastAsiaTheme="minorHAnsi" w:hAnsi="Garamond" w:cs="Times New Roman"/>
          <w:color w:val="000000"/>
          <w:sz w:val="24"/>
          <w:szCs w:val="24"/>
        </w:rPr>
        <w:t xml:space="preserve"> </w:t>
      </w:r>
      <w:r>
        <w:rPr>
          <w:rFonts w:ascii="Garamond" w:eastAsiaTheme="minorHAnsi" w:hAnsi="Garamond" w:cs="Times New Roman"/>
          <w:color w:val="000000"/>
          <w:sz w:val="24"/>
          <w:szCs w:val="24"/>
        </w:rPr>
        <w:t>i</w:t>
      </w:r>
      <w:r w:rsidR="005C2955" w:rsidRPr="00AF228C">
        <w:rPr>
          <w:rFonts w:ascii="Garamond" w:eastAsiaTheme="minorHAnsi" w:hAnsi="Garamond" w:cs="Times New Roman"/>
          <w:color w:val="000000"/>
          <w:sz w:val="24"/>
          <w:szCs w:val="24"/>
        </w:rPr>
        <w:t>nformacion mjedisor;</w:t>
      </w:r>
    </w:p>
    <w:p w14:paraId="338DF546" w14:textId="0761F95A" w:rsidR="005C2955" w:rsidRPr="00AF228C" w:rsidRDefault="005C2955" w:rsidP="005C2955">
      <w:pPr>
        <w:tabs>
          <w:tab w:val="left" w:pos="1160"/>
          <w:tab w:val="left" w:pos="15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 xml:space="preserve">dh) </w:t>
      </w:r>
      <w:r w:rsidR="008343B1">
        <w:rPr>
          <w:rFonts w:ascii="Garamond" w:eastAsiaTheme="minorHAnsi" w:hAnsi="Garamond" w:cs="Times New Roman"/>
          <w:color w:val="000000"/>
          <w:sz w:val="24"/>
          <w:szCs w:val="24"/>
        </w:rPr>
        <w:t>i</w:t>
      </w:r>
      <w:r w:rsidRPr="00AF228C">
        <w:rPr>
          <w:rFonts w:ascii="Garamond" w:eastAsiaTheme="minorHAnsi" w:hAnsi="Garamond" w:cs="Times New Roman"/>
          <w:color w:val="000000"/>
          <w:sz w:val="24"/>
          <w:szCs w:val="24"/>
        </w:rPr>
        <w:t>nformacion etik ose social;</w:t>
      </w:r>
    </w:p>
    <w:p w14:paraId="68074143" w14:textId="66012590"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e)</w:t>
      </w:r>
      <w:r w:rsidR="00D25767">
        <w:rPr>
          <w:rFonts w:ascii="Garamond" w:eastAsiaTheme="minorHAnsi" w:hAnsi="Garamond" w:cs="Times New Roman"/>
          <w:color w:val="000000"/>
          <w:sz w:val="24"/>
          <w:szCs w:val="24"/>
        </w:rPr>
        <w:t xml:space="preserve"> </w:t>
      </w:r>
      <w:r w:rsidR="008343B1">
        <w:rPr>
          <w:rFonts w:ascii="Garamond" w:eastAsiaTheme="minorHAnsi" w:hAnsi="Garamond" w:cs="Times New Roman"/>
          <w:color w:val="000000"/>
          <w:sz w:val="24"/>
          <w:szCs w:val="24"/>
        </w:rPr>
        <w:t>i</w:t>
      </w:r>
      <w:r w:rsidRPr="00AF228C">
        <w:rPr>
          <w:rFonts w:ascii="Garamond" w:eastAsiaTheme="minorHAnsi" w:hAnsi="Garamond" w:cs="Times New Roman"/>
          <w:color w:val="000000"/>
          <w:sz w:val="24"/>
          <w:szCs w:val="24"/>
        </w:rPr>
        <w:t>nformacion mbi teknikat dhe praktikat e prodhimit;</w:t>
      </w:r>
    </w:p>
    <w:p w14:paraId="795FA870" w14:textId="2708150D"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ë)</w:t>
      </w:r>
      <w:r w:rsidR="00D25767">
        <w:rPr>
          <w:rFonts w:ascii="Garamond" w:eastAsiaTheme="minorHAnsi" w:hAnsi="Garamond" w:cs="Times New Roman"/>
          <w:color w:val="000000"/>
          <w:sz w:val="24"/>
          <w:szCs w:val="24"/>
        </w:rPr>
        <w:t xml:space="preserve"> </w:t>
      </w:r>
      <w:r w:rsidR="008343B1">
        <w:rPr>
          <w:rFonts w:ascii="Garamond" w:eastAsiaTheme="minorHAnsi" w:hAnsi="Garamond" w:cs="Times New Roman"/>
          <w:color w:val="000000"/>
          <w:sz w:val="24"/>
          <w:szCs w:val="24"/>
        </w:rPr>
        <w:t>i</w:t>
      </w:r>
      <w:r w:rsidRPr="00AF228C">
        <w:rPr>
          <w:rFonts w:ascii="Garamond" w:eastAsiaTheme="minorHAnsi" w:hAnsi="Garamond" w:cs="Times New Roman"/>
          <w:color w:val="000000"/>
          <w:sz w:val="24"/>
          <w:szCs w:val="24"/>
        </w:rPr>
        <w:t>nformacion mbi përbërjen ushqyese të produktit.</w:t>
      </w:r>
    </w:p>
    <w:p w14:paraId="65CDCF9D"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2. Informacioni i listuar në pikën 1, të nenit 26, të këtij vendimi, mund të përfshihet edhe në një kod elektronik (</w:t>
      </w:r>
      <w:r w:rsidRPr="008343B1">
        <w:rPr>
          <w:rFonts w:ascii="Garamond" w:eastAsiaTheme="minorHAnsi" w:hAnsi="Garamond" w:cs="Times New Roman"/>
          <w:i/>
          <w:color w:val="000000"/>
          <w:sz w:val="24"/>
          <w:szCs w:val="24"/>
        </w:rPr>
        <w:t>QR code</w:t>
      </w:r>
      <w:r w:rsidRPr="00AF228C">
        <w:rPr>
          <w:rFonts w:ascii="Garamond" w:eastAsiaTheme="minorHAnsi" w:hAnsi="Garamond" w:cs="Times New Roman"/>
          <w:color w:val="000000"/>
          <w:sz w:val="24"/>
          <w:szCs w:val="24"/>
        </w:rPr>
        <w:t>) që përfshin një pjesë ose të gjithë informacionin.</w:t>
      </w:r>
    </w:p>
    <w:p w14:paraId="23A2AEDA"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3. Informacioni shtesë nuk duhet të reduktojë hapësirën e disponueshme për informacionin e detyrueshëm në etiketim.</w:t>
      </w:r>
    </w:p>
    <w:p w14:paraId="331A9B7E"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4. Asnjë informacion shtesë nuk mund të përfshihet nëse nuk mund të verifikohet.</w:t>
      </w:r>
    </w:p>
    <w:p w14:paraId="1ECBF064"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10D1E7F9"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F228C">
        <w:rPr>
          <w:rFonts w:ascii="Garamond" w:eastAsiaTheme="minorHAnsi" w:hAnsi="Garamond" w:cs="Times New Roman"/>
          <w:bCs/>
          <w:color w:val="000000"/>
          <w:sz w:val="24"/>
          <w:szCs w:val="24"/>
        </w:rPr>
        <w:t>Neni 30</w:t>
      </w:r>
    </w:p>
    <w:p w14:paraId="5FBD0569"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Informacioni mbi tregjet</w:t>
      </w:r>
    </w:p>
    <w:p w14:paraId="718571B2"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2767B0BA"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1. Institucioni përgjegjës për shërbimet e peshkimit e të akuakulturës:</w:t>
      </w:r>
    </w:p>
    <w:p w14:paraId="4FF39B2C"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a) mbledh, analizon dhe shpërndan njohuri ekonomike dhe informacion për tregun e brendshëm të produkteve të peshkimit e të akuakulturës përgjatë zinxhirit të furnizimit;</w:t>
      </w:r>
    </w:p>
    <w:p w14:paraId="4F94CB63"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b) ofron mbështetje praktike për organizatat e prodhuesve dhe organizatat ndërsektoriale për të përmirësuar koordinimin e informacionit midis operatorëve dhe përpunuesve;</w:t>
      </w:r>
    </w:p>
    <w:p w14:paraId="1A4B7E18"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c) kryen anketa të rregullta mbi çmimet e produkteve të peshkimit dhe akuakulturës në tregun e brendshëm përgjatë zinxhirit të furnizimit dhe bën analiza për tendencat e tregut;</w:t>
      </w:r>
    </w:p>
    <w:p w14:paraId="5D310C20" w14:textId="42CB9779"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ç)</w:t>
      </w:r>
      <w:r w:rsidR="00D25767">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kryen studime të përkohshme për tregun dhe siguron metodologji për anketa</w:t>
      </w:r>
      <w:r w:rsidR="008343B1">
        <w:rPr>
          <w:rFonts w:ascii="Garamond" w:eastAsiaTheme="minorHAnsi" w:hAnsi="Garamond" w:cs="Times New Roman"/>
          <w:color w:val="000000"/>
          <w:sz w:val="24"/>
          <w:szCs w:val="24"/>
        </w:rPr>
        <w:t>,</w:t>
      </w:r>
      <w:r w:rsidRPr="00AF228C">
        <w:rPr>
          <w:rFonts w:ascii="Garamond" w:eastAsiaTheme="minorHAnsi" w:hAnsi="Garamond" w:cs="Times New Roman"/>
          <w:color w:val="000000"/>
          <w:sz w:val="24"/>
          <w:szCs w:val="24"/>
        </w:rPr>
        <w:t xml:space="preserve"> lidhur me formimin e çmimeve.</w:t>
      </w:r>
    </w:p>
    <w:p w14:paraId="3DAB0450" w14:textId="4B03E35E" w:rsidR="005C2955" w:rsidRPr="00AF228C" w:rsidRDefault="005C2955" w:rsidP="005C2955">
      <w:pPr>
        <w:tabs>
          <w:tab w:val="left" w:pos="7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2. Për zbatimin e pikës 1 të këtij neni, institucioni përgjegjës për shërbimet e peshkimit dhe akuak</w:t>
      </w:r>
      <w:r w:rsidR="008343B1">
        <w:rPr>
          <w:rFonts w:ascii="Garamond" w:eastAsiaTheme="minorHAnsi" w:hAnsi="Garamond" w:cs="Times New Roman"/>
          <w:color w:val="000000"/>
          <w:sz w:val="24"/>
          <w:szCs w:val="24"/>
        </w:rPr>
        <w:t>ulturës merr masat e mëposhtme:</w:t>
      </w:r>
    </w:p>
    <w:p w14:paraId="64D13EFC"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a) Lehtëson qasjen në të dhënat e disponueshme për produktet e peshkimit dhe akuakulturës, të mbledhura në përputhje me legjislacionin e peshkimit;</w:t>
      </w:r>
    </w:p>
    <w:p w14:paraId="4A6A4627"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 xml:space="preserve">b) Siguron që informacioni mbi tregun, përfshirë anketat mbi çmimet, analizat dhe studimet e tregut, të jetë i disponueshëm për të gjitha palët e interesuara dhe për publikun në mënyrë të </w:t>
      </w:r>
      <w:r w:rsidRPr="00AF228C">
        <w:rPr>
          <w:rFonts w:ascii="Garamond" w:eastAsiaTheme="minorHAnsi" w:hAnsi="Garamond" w:cs="Times New Roman"/>
          <w:color w:val="000000"/>
          <w:sz w:val="24"/>
          <w:szCs w:val="24"/>
        </w:rPr>
        <w:lastRenderedPageBreak/>
        <w:t>aksesueshme dhe të kuptueshme, në përputhje me legjislacionin në fuqi për informimin dhe mbrojtjen e të dhënave personale.</w:t>
      </w:r>
    </w:p>
    <w:p w14:paraId="6A1222A1" w14:textId="1411557C" w:rsidR="005C2955" w:rsidRPr="00AF228C" w:rsidRDefault="005C2955" w:rsidP="005C2955">
      <w:pPr>
        <w:tabs>
          <w:tab w:val="left" w:pos="720"/>
        </w:tabs>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3. Organizatat kontribuojnë në arritjen e obje</w:t>
      </w:r>
      <w:r w:rsidR="008343B1">
        <w:rPr>
          <w:rFonts w:ascii="Garamond" w:eastAsiaTheme="minorHAnsi" w:hAnsi="Garamond" w:cs="Times New Roman"/>
          <w:color w:val="000000"/>
          <w:sz w:val="24"/>
          <w:szCs w:val="24"/>
        </w:rPr>
        <w:t>ktivave të përmendur në pikat e</w:t>
      </w:r>
      <w:r w:rsidRPr="00AF228C">
        <w:rPr>
          <w:rFonts w:ascii="Garamond" w:eastAsiaTheme="minorHAnsi" w:hAnsi="Garamond" w:cs="Times New Roman"/>
          <w:color w:val="000000"/>
          <w:sz w:val="24"/>
          <w:szCs w:val="24"/>
        </w:rPr>
        <w:t xml:space="preserve"> mësipërme.</w:t>
      </w:r>
    </w:p>
    <w:p w14:paraId="54C759DF" w14:textId="77777777" w:rsidR="005C2955" w:rsidRPr="008343B1"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p>
    <w:p w14:paraId="7ECFA29D" w14:textId="77777777" w:rsidR="005C2955" w:rsidRPr="008343B1"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8343B1">
        <w:rPr>
          <w:rFonts w:ascii="Garamond" w:eastAsiaTheme="minorHAnsi" w:hAnsi="Garamond" w:cs="Times New Roman"/>
          <w:bCs/>
          <w:color w:val="000000"/>
          <w:sz w:val="24"/>
          <w:szCs w:val="24"/>
        </w:rPr>
        <w:t>KREU VI</w:t>
      </w:r>
    </w:p>
    <w:p w14:paraId="7E9E62BC" w14:textId="77777777" w:rsidR="005C2955" w:rsidRPr="008343B1"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8343B1">
        <w:rPr>
          <w:rFonts w:ascii="Garamond" w:eastAsiaTheme="minorHAnsi" w:hAnsi="Garamond" w:cs="Times New Roman"/>
          <w:bCs/>
          <w:color w:val="000000"/>
          <w:sz w:val="24"/>
          <w:szCs w:val="24"/>
        </w:rPr>
        <w:t xml:space="preserve">STABILIZIMI I TREGJEVE </w:t>
      </w:r>
    </w:p>
    <w:p w14:paraId="1D3EB053"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p>
    <w:p w14:paraId="08FF1488"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r w:rsidRPr="00AF228C">
        <w:rPr>
          <w:rFonts w:ascii="Garamond" w:eastAsiaTheme="minorHAnsi" w:hAnsi="Garamond" w:cs="Times New Roman"/>
          <w:bCs/>
          <w:color w:val="000000"/>
          <w:sz w:val="24"/>
          <w:szCs w:val="24"/>
        </w:rPr>
        <w:t>Neni 31</w:t>
      </w:r>
    </w:p>
    <w:p w14:paraId="3CC3579C"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Mekanizmi i ruajtjes së produkteve të peshkimit dhe akuakulturës</w:t>
      </w:r>
    </w:p>
    <w:p w14:paraId="2D04C9F9"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2BC5282E"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Organizatat e prodhuesve në sektorin e peshkimit e të akuakulturës përfitojnë mbështetje financiare për ruajtjen e produkteve të listuara në shtojcën II, bashkëlidhur këtij vendimi, të cilat tregtohen brenda dhe jashtë territorit të Shqipërisë, nëse plotësohen njëkohësisht këto kushte:</w:t>
      </w:r>
    </w:p>
    <w:p w14:paraId="45A33491"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a) Produktet janë vendosur në treg nga organizatat e prodhuesve dhe për to nuk është siguruar blerës në çmimin kufi, të përcaktuar në nenin 32 të këtij vendimi;</w:t>
      </w:r>
    </w:p>
    <w:p w14:paraId="21247FEF"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b) Produktet përmbushin standardet e përbashkëta të marketingut, të vendosura në përputhje me nenin 24, të këtij vendimi, dhe janë të përshtatshme për konsum njerëzor;</w:t>
      </w:r>
    </w:p>
    <w:p w14:paraId="104CC4D3"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c) Produktet janë trajtuar ose përpunuar dhe ruhen në tanke ose kafaze, nëpërmjet metodave të ngrirjes (në bord të anijeve ose në impiante tokësore), kriposjes, tharjes, marinimit, ose, kur është e përshtatshme, nëpërmjet zierjes dhe pasterizimit, pavarësisht nëse produktet janë filetuar, prerë në copa apo u janë hequr kokat;</w:t>
      </w:r>
    </w:p>
    <w:p w14:paraId="6C2793B0" w14:textId="77C9A45D"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ç)</w:t>
      </w:r>
      <w:r w:rsidR="00D25767">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Produktet e akuakulturës nuk mbahen në ruajtje në gjendje të gjallë;</w:t>
      </w:r>
    </w:p>
    <w:p w14:paraId="4559BA41"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d) Produktet rikthehen në treg për konsum njerëzor pas përfundimit të periudhës së ruajtjes;</w:t>
      </w:r>
    </w:p>
    <w:p w14:paraId="1E4B1812" w14:textId="1E6FB4FE"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dh)</w:t>
      </w:r>
      <w:r w:rsidR="00417231">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Produktet qëndrojnë në ruajtje për një periudhë minimale prej 5 ditësh kalendarike;</w:t>
      </w:r>
    </w:p>
    <w:p w14:paraId="41E736D1"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e) Kriteret dhe procedurat për përfitimin e mbështetjes financiare, sipas pikës 1 të këtij neni, përcaktohen në vendimin e Këshillit të Ministrave për skemat kombëtare të mbështetjes në bujqësi, peshkim dhe zhvillim rural, që miratohet çdo vit.</w:t>
      </w:r>
    </w:p>
    <w:p w14:paraId="5E2EC651"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437AFBD3"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F228C">
        <w:rPr>
          <w:rFonts w:ascii="Garamond" w:eastAsiaTheme="minorHAnsi" w:hAnsi="Garamond" w:cs="Times New Roman"/>
          <w:bCs/>
          <w:color w:val="000000"/>
          <w:sz w:val="24"/>
          <w:szCs w:val="24"/>
        </w:rPr>
        <w:t>Neni 32</w:t>
      </w:r>
    </w:p>
    <w:p w14:paraId="601BA4CB"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Çmimet kufi për aktivizimin e mekanizmit të ruajtjes</w:t>
      </w:r>
    </w:p>
    <w:p w14:paraId="1F8DE31A"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214E30BE" w14:textId="435983F9"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 xml:space="preserve">1. Para fillimit të çdo viti kalendarik, çdo organizatë e prodhuesve mund të paraqesë në mënyrë individuale një propozim për çmimin kufi që aktivizon mekanizmin e ruajtjes, të përmendur në nenin 31, të këtij vendimi, për produktet e listuara në </w:t>
      </w:r>
      <w:r w:rsidR="00417231">
        <w:rPr>
          <w:rFonts w:ascii="Garamond" w:eastAsiaTheme="minorHAnsi" w:hAnsi="Garamond" w:cs="Times New Roman"/>
          <w:color w:val="000000"/>
          <w:sz w:val="24"/>
          <w:szCs w:val="24"/>
        </w:rPr>
        <w:t>shtojcën II, që i bashkëlidhet</w:t>
      </w:r>
      <w:r w:rsidRPr="00AF228C">
        <w:rPr>
          <w:rFonts w:ascii="Garamond" w:eastAsiaTheme="minorHAnsi" w:hAnsi="Garamond" w:cs="Times New Roman"/>
          <w:color w:val="000000"/>
          <w:sz w:val="24"/>
          <w:szCs w:val="24"/>
        </w:rPr>
        <w:t xml:space="preserve"> këtij vendimi dhe është pjesë përbërëse e tij.</w:t>
      </w:r>
    </w:p>
    <w:p w14:paraId="4FB0A9C3"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2. Çmimi kufi nuk mund të tejkalojë 80 % të çmimit mesatar të ponderuar, të regjistruar për produktin përkatës në zonën e veprimtarisë së organizatës përkatëse të prodhuesve, gjatë tri viteve të fundit që paraprijnë vitin për të cilin caktohet çmimi kufi.</w:t>
      </w:r>
    </w:p>
    <w:p w14:paraId="476D7548"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3. Në përcaktimin e çmimit kufi merren në konsideratë këto elemente:</w:t>
      </w:r>
    </w:p>
    <w:p w14:paraId="4D392405"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a) Zhvillimet në prodhim dhe kërkesë;</w:t>
      </w:r>
    </w:p>
    <w:p w14:paraId="2427BDFE"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b) Stabilizimi i çmimeve në treg;</w:t>
      </w:r>
    </w:p>
    <w:p w14:paraId="23B07B83"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c) Rregullimi i tregjeve;</w:t>
      </w:r>
    </w:p>
    <w:p w14:paraId="447F19F2" w14:textId="3BA4899B"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ç)</w:t>
      </w:r>
      <w:r w:rsidR="00D25767">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Të ardhurat e prodhuesve;</w:t>
      </w:r>
    </w:p>
    <w:p w14:paraId="5B132C15"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d) Interesat e konsumatorëve.</w:t>
      </w:r>
    </w:p>
    <w:p w14:paraId="098F134C" w14:textId="4520A0A3"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 xml:space="preserve">4. Ministria, pas shqyrtimit të propozimeve të paraqitura nga organizatat e prodhuesve të njohura në </w:t>
      </w:r>
      <w:r w:rsidR="00417231" w:rsidRPr="00AF228C">
        <w:rPr>
          <w:rFonts w:ascii="Garamond" w:eastAsiaTheme="minorHAnsi" w:hAnsi="Garamond" w:cs="Times New Roman"/>
          <w:color w:val="000000"/>
          <w:sz w:val="24"/>
          <w:szCs w:val="24"/>
        </w:rPr>
        <w:t>Republikën</w:t>
      </w:r>
      <w:r w:rsidRPr="00AF228C">
        <w:rPr>
          <w:rFonts w:ascii="Garamond" w:eastAsiaTheme="minorHAnsi" w:hAnsi="Garamond" w:cs="Times New Roman"/>
          <w:color w:val="000000"/>
          <w:sz w:val="24"/>
          <w:szCs w:val="24"/>
        </w:rPr>
        <w:t xml:space="preserve"> e Shqipërisë, përcaktojnë çmimet kufi që do të zbatohen nga këto organizata. Këto çmime përcaktohen mbi bazën e kritereve të përmendura n</w:t>
      </w:r>
      <w:r w:rsidR="00417231">
        <w:rPr>
          <w:rFonts w:ascii="Garamond" w:eastAsiaTheme="minorHAnsi" w:hAnsi="Garamond" w:cs="Times New Roman"/>
          <w:color w:val="000000"/>
          <w:sz w:val="24"/>
          <w:szCs w:val="24"/>
        </w:rPr>
        <w:t xml:space="preserve">ë pikat 2 dhe 3, të këtij neni </w:t>
      </w:r>
      <w:r w:rsidRPr="00AF228C">
        <w:rPr>
          <w:rFonts w:ascii="Garamond" w:eastAsiaTheme="minorHAnsi" w:hAnsi="Garamond" w:cs="Times New Roman"/>
          <w:color w:val="000000"/>
          <w:sz w:val="24"/>
          <w:szCs w:val="24"/>
        </w:rPr>
        <w:t>dhe bëhen publike.</w:t>
      </w:r>
    </w:p>
    <w:p w14:paraId="50E41324"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58BF1F53" w14:textId="77777777" w:rsidR="005C2955" w:rsidRPr="00417231"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417231">
        <w:rPr>
          <w:rFonts w:ascii="Garamond" w:eastAsiaTheme="minorHAnsi" w:hAnsi="Garamond" w:cs="Times New Roman"/>
          <w:bCs/>
          <w:color w:val="000000"/>
          <w:sz w:val="24"/>
          <w:szCs w:val="24"/>
        </w:rPr>
        <w:t>KREU VII</w:t>
      </w:r>
    </w:p>
    <w:p w14:paraId="3721856D" w14:textId="77777777" w:rsidR="005C2955" w:rsidRPr="00417231"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417231">
        <w:rPr>
          <w:rFonts w:ascii="Garamond" w:eastAsiaTheme="minorHAnsi" w:hAnsi="Garamond" w:cs="Times New Roman"/>
          <w:bCs/>
          <w:color w:val="000000"/>
          <w:sz w:val="24"/>
          <w:szCs w:val="24"/>
        </w:rPr>
        <w:t>DISPOZITAT PËRFUNDIMTARE</w:t>
      </w:r>
    </w:p>
    <w:p w14:paraId="1C086B02"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09FDFF5A"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F228C">
        <w:rPr>
          <w:rFonts w:ascii="Garamond" w:eastAsiaTheme="minorHAnsi" w:hAnsi="Garamond" w:cs="Times New Roman"/>
          <w:bCs/>
          <w:color w:val="000000"/>
          <w:sz w:val="24"/>
          <w:szCs w:val="24"/>
        </w:rPr>
        <w:t>Neni 33</w:t>
      </w:r>
    </w:p>
    <w:p w14:paraId="7039C814"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Inspektimi dhe mbikëqyrja e organizatave të prodhuesve të peshkimit dhe akuakulturës</w:t>
      </w:r>
    </w:p>
    <w:p w14:paraId="73BDA3CB"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4D419EC0"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1. Ministria, nëpërmjet strukturave të inspektimit të peshkimit, ushtron kontrollin dhe mbikëqyrjen periodike të organizatave të prodhuesve në peshkim dhe akuakulturë, me qëllim verifikimin e përputhshmërisë së veprimtarisë së tyre me dispozitat e këtij vendimi dhe të legjislacionit në fuqi për peshkimin dhe akuakulturën.</w:t>
      </w:r>
    </w:p>
    <w:p w14:paraId="69741D44"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2. Inspektimi përfshin, ndër të tjera, verifikimin e elementeve të mëposhtme:</w:t>
      </w:r>
    </w:p>
    <w:p w14:paraId="26939AAA"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a) Përmbushjen e kritereve të njohjes dhe të kushteve të përcaktuara për statutin e organizatës së prodhuesve;</w:t>
      </w:r>
    </w:p>
    <w:p w14:paraId="07A120E3"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b) Respektimin e rregullave të funksionimit të brendshëm, të miratuara nga vetë organizata;</w:t>
      </w:r>
    </w:p>
    <w:p w14:paraId="4B774FA0"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c) Zbatimin e planeve të prodhimit dhe marketingut, si dhe të masave për arritjen e objektivave të qëndrueshmërisë;</w:t>
      </w:r>
    </w:p>
    <w:p w14:paraId="3B367894"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ç) Respektimin e standardeve të gjurmueshmërisë, cilësisë dhe sigurisë ushqimore;</w:t>
      </w:r>
    </w:p>
    <w:p w14:paraId="33BC9C3C" w14:textId="5477CFA0"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d)</w:t>
      </w:r>
      <w:r w:rsidR="00D25767">
        <w:rPr>
          <w:rFonts w:ascii="Garamond" w:eastAsiaTheme="minorHAnsi" w:hAnsi="Garamond" w:cs="Times New Roman"/>
          <w:color w:val="000000"/>
          <w:sz w:val="24"/>
          <w:szCs w:val="24"/>
        </w:rPr>
        <w:t xml:space="preserve"> </w:t>
      </w:r>
      <w:r w:rsidRPr="00AF228C">
        <w:rPr>
          <w:rFonts w:ascii="Garamond" w:eastAsiaTheme="minorHAnsi" w:hAnsi="Garamond" w:cs="Times New Roman"/>
          <w:color w:val="000000"/>
          <w:sz w:val="24"/>
          <w:szCs w:val="24"/>
        </w:rPr>
        <w:t>Zbatimin e masave mjedisore dhe të rregullave për mbrojtjen e burimeve peshkore dhe të mjedisit ujor.</w:t>
      </w:r>
    </w:p>
    <w:p w14:paraId="65C274CC" w14:textId="0FBF5CA4"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3. Organizatat e prodhuesve janë të detyruara të bashkëpunojnë me organet inspektuese dhe t’u vënë në dispozicion dokumentacionin, të dhënat dhe informacionin e kërkuar</w:t>
      </w:r>
      <w:r w:rsidR="00417231">
        <w:rPr>
          <w:rFonts w:ascii="Garamond" w:eastAsiaTheme="minorHAnsi" w:hAnsi="Garamond" w:cs="Times New Roman"/>
          <w:color w:val="000000"/>
          <w:sz w:val="24"/>
          <w:szCs w:val="24"/>
        </w:rPr>
        <w:t>,</w:t>
      </w:r>
      <w:r w:rsidRPr="00AF228C">
        <w:rPr>
          <w:rFonts w:ascii="Garamond" w:eastAsiaTheme="minorHAnsi" w:hAnsi="Garamond" w:cs="Times New Roman"/>
          <w:color w:val="000000"/>
          <w:sz w:val="24"/>
          <w:szCs w:val="24"/>
        </w:rPr>
        <w:t xml:space="preserve"> si dhe të lejojnë hyrjen në ambientet e tyre për qëllime kontrolli dhe inspektimi.</w:t>
      </w:r>
    </w:p>
    <w:p w14:paraId="7007AF7E"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4. Në rast të konstatimit të shkeljeve, organet e caktuara me funksione inspektimi në këtë fushë ndërmarrin masa administrative, në përputhje me legjislacionin për peshkimin dhe akuakulturën, duke përfshirë:</w:t>
      </w:r>
    </w:p>
    <w:p w14:paraId="71E45880"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a) paralajmërimin dhe detyrimin për korrigjim brenda një afati të caktuar;</w:t>
      </w:r>
    </w:p>
    <w:p w14:paraId="60241DB6"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b) pezullimin e përkohshëm të statusit të organizatës së prodhuesve;</w:t>
      </w:r>
    </w:p>
    <w:p w14:paraId="6494A8A8"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c) revokimin e njohjes, në rast të shkeljeve të rënda ose të përsëritura.</w:t>
      </w:r>
    </w:p>
    <w:p w14:paraId="36171132"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2DFB6EAD"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F228C">
        <w:rPr>
          <w:rFonts w:ascii="Garamond" w:eastAsiaTheme="minorHAnsi" w:hAnsi="Garamond" w:cs="Times New Roman"/>
          <w:bCs/>
          <w:color w:val="000000"/>
          <w:sz w:val="24"/>
          <w:szCs w:val="24"/>
        </w:rPr>
        <w:t>Neni 34</w:t>
      </w:r>
    </w:p>
    <w:p w14:paraId="21D1AF94"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Institucionet që ngarkohen</w:t>
      </w:r>
    </w:p>
    <w:p w14:paraId="0449743F"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color w:val="000000"/>
          <w:sz w:val="24"/>
          <w:szCs w:val="24"/>
        </w:rPr>
      </w:pPr>
    </w:p>
    <w:p w14:paraId="10FD4033"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Ngarkohen ministria përgjegjëse për peshkimin, institucioni përgjegjës për shërbimet e peshkimit e të akuakulturës dhe inspektorati që mbulon peshkimin për zbatimin e këtij vendimi.</w:t>
      </w:r>
    </w:p>
    <w:p w14:paraId="5E94978D"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0586F0D1"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F228C">
        <w:rPr>
          <w:rFonts w:ascii="Garamond" w:eastAsiaTheme="minorHAnsi" w:hAnsi="Garamond" w:cs="Times New Roman"/>
          <w:bCs/>
          <w:color w:val="000000"/>
          <w:sz w:val="24"/>
          <w:szCs w:val="24"/>
        </w:rPr>
        <w:t>Neni 35</w:t>
      </w:r>
    </w:p>
    <w:p w14:paraId="24D12751"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Shfuqizime me anëtarësimin e Republikës së Shqipërisë në Bashkimin Evropian</w:t>
      </w:r>
    </w:p>
    <w:p w14:paraId="06DE1A68"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11A7C24E"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Në datën e anëtarësimit të Republikës së Shqipërisë në Bashkimin Evropian të gjitha dispozitat e këtij vendimi shfuqizohen.</w:t>
      </w:r>
    </w:p>
    <w:p w14:paraId="6BD5D87D" w14:textId="77777777" w:rsidR="005C2955" w:rsidRPr="00AF228C" w:rsidRDefault="005C2955" w:rsidP="005C2955">
      <w:pPr>
        <w:autoSpaceDE w:val="0"/>
        <w:autoSpaceDN w:val="0"/>
        <w:adjustRightInd w:val="0"/>
        <w:spacing w:after="0" w:line="240" w:lineRule="auto"/>
        <w:ind w:firstLine="284"/>
        <w:jc w:val="both"/>
        <w:rPr>
          <w:rFonts w:ascii="Garamond" w:eastAsiaTheme="minorHAnsi" w:hAnsi="Garamond" w:cs="Times New Roman"/>
          <w:color w:val="000000"/>
          <w:sz w:val="24"/>
          <w:szCs w:val="24"/>
        </w:rPr>
      </w:pPr>
    </w:p>
    <w:p w14:paraId="05DF2F6C"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Cs/>
          <w:color w:val="000000"/>
          <w:sz w:val="24"/>
          <w:szCs w:val="24"/>
        </w:rPr>
      </w:pPr>
      <w:r w:rsidRPr="00AF228C">
        <w:rPr>
          <w:rFonts w:ascii="Garamond" w:eastAsiaTheme="minorHAnsi" w:hAnsi="Garamond" w:cs="Times New Roman"/>
          <w:bCs/>
          <w:color w:val="000000"/>
          <w:sz w:val="24"/>
          <w:szCs w:val="24"/>
        </w:rPr>
        <w:t>Neni 36</w:t>
      </w:r>
    </w:p>
    <w:p w14:paraId="5E2AE706"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Hyrja në fuqi</w:t>
      </w:r>
    </w:p>
    <w:p w14:paraId="2EEDB223" w14:textId="77777777" w:rsidR="005C2955" w:rsidRPr="00AF228C" w:rsidRDefault="005C2955" w:rsidP="005C2955">
      <w:pPr>
        <w:autoSpaceDE w:val="0"/>
        <w:autoSpaceDN w:val="0"/>
        <w:adjustRightInd w:val="0"/>
        <w:spacing w:after="0" w:line="240" w:lineRule="auto"/>
        <w:ind w:firstLine="284"/>
        <w:jc w:val="center"/>
        <w:rPr>
          <w:rFonts w:ascii="Garamond" w:eastAsiaTheme="minorHAnsi" w:hAnsi="Garamond" w:cs="Times New Roman"/>
          <w:b/>
          <w:bCs/>
          <w:color w:val="000000"/>
          <w:sz w:val="24"/>
          <w:szCs w:val="24"/>
        </w:rPr>
      </w:pPr>
    </w:p>
    <w:p w14:paraId="6FD7C433" w14:textId="17412325" w:rsidR="005C2955" w:rsidRPr="00AF228C" w:rsidRDefault="005C2955" w:rsidP="005C2955">
      <w:pPr>
        <w:autoSpaceDE w:val="0"/>
        <w:autoSpaceDN w:val="0"/>
        <w:adjustRightInd w:val="0"/>
        <w:spacing w:after="0" w:line="240" w:lineRule="auto"/>
        <w:ind w:firstLine="284"/>
        <w:rPr>
          <w:rFonts w:ascii="Garamond" w:eastAsiaTheme="minorHAnsi" w:hAnsi="Garamond" w:cs="Times New Roman"/>
          <w:color w:val="000000"/>
          <w:sz w:val="24"/>
          <w:szCs w:val="24"/>
        </w:rPr>
      </w:pPr>
      <w:r w:rsidRPr="00AF228C">
        <w:rPr>
          <w:rFonts w:ascii="Garamond" w:eastAsiaTheme="minorHAnsi" w:hAnsi="Garamond" w:cs="Times New Roman"/>
          <w:color w:val="000000"/>
          <w:sz w:val="24"/>
          <w:szCs w:val="24"/>
        </w:rPr>
        <w:t>Ky ven</w:t>
      </w:r>
      <w:r w:rsidR="00417231">
        <w:rPr>
          <w:rFonts w:ascii="Garamond" w:eastAsiaTheme="minorHAnsi" w:hAnsi="Garamond" w:cs="Times New Roman"/>
          <w:color w:val="000000"/>
          <w:sz w:val="24"/>
          <w:szCs w:val="24"/>
        </w:rPr>
        <w:t>dim hyn në fuqi pas botimit në Fletoren Zyrtare</w:t>
      </w:r>
      <w:r w:rsidRPr="00AF228C">
        <w:rPr>
          <w:rFonts w:ascii="Garamond" w:eastAsiaTheme="minorHAnsi" w:hAnsi="Garamond" w:cs="Times New Roman"/>
          <w:color w:val="000000"/>
          <w:sz w:val="24"/>
          <w:szCs w:val="24"/>
        </w:rPr>
        <w:t>.</w:t>
      </w:r>
    </w:p>
    <w:p w14:paraId="438ED06A" w14:textId="77777777" w:rsidR="005C2955" w:rsidRPr="00AF228C" w:rsidRDefault="005C2955" w:rsidP="005C2955">
      <w:pPr>
        <w:autoSpaceDE w:val="0"/>
        <w:autoSpaceDN w:val="0"/>
        <w:adjustRightInd w:val="0"/>
        <w:spacing w:after="0" w:line="240" w:lineRule="auto"/>
        <w:rPr>
          <w:rFonts w:ascii="Garamond" w:eastAsiaTheme="minorHAnsi" w:hAnsi="Garamond" w:cs="Times New Roman"/>
          <w:color w:val="000000"/>
          <w:sz w:val="24"/>
          <w:szCs w:val="24"/>
        </w:rPr>
      </w:pPr>
    </w:p>
    <w:p w14:paraId="58DE3DF6" w14:textId="77777777" w:rsidR="005C2955" w:rsidRPr="00AF228C" w:rsidRDefault="005C2955" w:rsidP="005C2955">
      <w:pPr>
        <w:autoSpaceDE w:val="0"/>
        <w:autoSpaceDN w:val="0"/>
        <w:adjustRightInd w:val="0"/>
        <w:spacing w:after="0" w:line="240" w:lineRule="auto"/>
        <w:ind w:firstLine="284"/>
        <w:jc w:val="right"/>
        <w:rPr>
          <w:rFonts w:ascii="Garamond" w:eastAsiaTheme="minorHAnsi" w:hAnsi="Garamond" w:cs="Times New Roman"/>
          <w:b/>
          <w:bCs/>
          <w:color w:val="000000"/>
          <w:sz w:val="24"/>
          <w:szCs w:val="24"/>
        </w:rPr>
      </w:pPr>
      <w:r w:rsidRPr="00AF228C">
        <w:rPr>
          <w:rFonts w:ascii="Garamond" w:eastAsiaTheme="minorHAnsi" w:hAnsi="Garamond" w:cs="Times New Roman"/>
          <w:bCs/>
          <w:color w:val="000000"/>
          <w:sz w:val="24"/>
          <w:szCs w:val="24"/>
        </w:rPr>
        <w:t>ZËVENDËSKRYEMINISTËR</w:t>
      </w:r>
    </w:p>
    <w:p w14:paraId="60FBDCD5" w14:textId="77777777" w:rsidR="005C2955" w:rsidRPr="00AF228C" w:rsidRDefault="005C2955" w:rsidP="005C2955">
      <w:pPr>
        <w:autoSpaceDE w:val="0"/>
        <w:autoSpaceDN w:val="0"/>
        <w:adjustRightInd w:val="0"/>
        <w:spacing w:after="0" w:line="240" w:lineRule="auto"/>
        <w:ind w:firstLine="284"/>
        <w:jc w:val="right"/>
        <w:rPr>
          <w:rFonts w:ascii="Garamond" w:eastAsiaTheme="minorHAnsi" w:hAnsi="Garamond" w:cs="Times New Roman"/>
          <w:b/>
          <w:bCs/>
          <w:color w:val="000000"/>
          <w:sz w:val="24"/>
          <w:szCs w:val="24"/>
        </w:rPr>
      </w:pPr>
      <w:r w:rsidRPr="00AF228C">
        <w:rPr>
          <w:rFonts w:ascii="Garamond" w:eastAsiaTheme="minorHAnsi" w:hAnsi="Garamond" w:cs="Times New Roman"/>
          <w:b/>
          <w:bCs/>
          <w:color w:val="000000"/>
          <w:sz w:val="24"/>
          <w:szCs w:val="24"/>
        </w:rPr>
        <w:t>Albana Koçiu</w:t>
      </w:r>
    </w:p>
    <w:p w14:paraId="3953C8BF" w14:textId="77777777" w:rsidR="00D03A13" w:rsidRPr="00417231" w:rsidRDefault="00D03A13" w:rsidP="005C2955">
      <w:pPr>
        <w:spacing w:after="0" w:line="240" w:lineRule="auto"/>
        <w:ind w:firstLine="284"/>
        <w:jc w:val="center"/>
        <w:rPr>
          <w:rFonts w:ascii="Garamond" w:eastAsia="Times New Roman" w:hAnsi="Garamond" w:cs="Times New Roman"/>
          <w:bCs/>
          <w:sz w:val="24"/>
          <w:szCs w:val="24"/>
          <w:lang w:eastAsia="en-GB"/>
        </w:rPr>
      </w:pPr>
    </w:p>
    <w:p w14:paraId="5E491A68" w14:textId="77777777" w:rsidR="00BD55A9" w:rsidRPr="00417231" w:rsidRDefault="00BD55A9" w:rsidP="005C2955">
      <w:pPr>
        <w:spacing w:after="0" w:line="240" w:lineRule="auto"/>
        <w:ind w:firstLine="284"/>
        <w:jc w:val="center"/>
        <w:rPr>
          <w:rFonts w:ascii="Garamond" w:hAnsi="Garamond" w:cs="Times New Roman"/>
          <w:bCs/>
          <w:sz w:val="24"/>
          <w:szCs w:val="24"/>
        </w:rPr>
      </w:pPr>
      <w:r w:rsidRPr="00417231">
        <w:rPr>
          <w:rFonts w:ascii="Garamond" w:hAnsi="Garamond" w:cs="Times New Roman"/>
          <w:bCs/>
          <w:sz w:val="24"/>
          <w:szCs w:val="24"/>
        </w:rPr>
        <w:t>SHTOJCA I</w:t>
      </w:r>
    </w:p>
    <w:p w14:paraId="3586EB83" w14:textId="77777777" w:rsidR="00BD55A9" w:rsidRPr="00417231" w:rsidRDefault="00BD55A9" w:rsidP="005C2955">
      <w:pPr>
        <w:spacing w:after="0" w:line="240" w:lineRule="auto"/>
        <w:ind w:firstLine="284"/>
        <w:jc w:val="center"/>
        <w:rPr>
          <w:rFonts w:ascii="Garamond" w:hAnsi="Garamond" w:cs="Times New Roman"/>
          <w:bCs/>
          <w:sz w:val="24"/>
          <w:szCs w:val="24"/>
        </w:rPr>
      </w:pPr>
      <w:r w:rsidRPr="00417231">
        <w:rPr>
          <w:rFonts w:ascii="Garamond" w:hAnsi="Garamond" w:cs="Times New Roman"/>
          <w:bCs/>
          <w:sz w:val="24"/>
          <w:szCs w:val="24"/>
        </w:rPr>
        <w:t>PRODUKTET E PESHKIMIT DHE AKUAKULTURËS QË MBULOHEN NGA ORGANIZATAT</w:t>
      </w:r>
    </w:p>
    <w:tbl>
      <w:tblPr>
        <w:tblW w:w="6068" w:type="pct"/>
        <w:tblInd w:w="-998" w:type="dxa"/>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248"/>
        <w:gridCol w:w="1455"/>
        <w:gridCol w:w="8285"/>
      </w:tblGrid>
      <w:tr w:rsidR="00BD55A9" w:rsidRPr="00AF228C" w14:paraId="5F7A3678" w14:textId="77777777" w:rsidTr="00FF0AB3">
        <w:tc>
          <w:tcPr>
            <w:tcW w:w="1230" w:type="pct"/>
            <w:gridSpan w:val="2"/>
            <w:tcBorders>
              <w:top w:val="single" w:sz="6" w:space="0" w:color="000000"/>
              <w:left w:val="single" w:sz="6" w:space="0" w:color="000000"/>
              <w:bottom w:val="single" w:sz="6" w:space="0" w:color="000000"/>
              <w:right w:val="single" w:sz="6" w:space="0" w:color="000000"/>
            </w:tcBorders>
            <w:shd w:val="clear" w:color="auto" w:fill="FFFFFF"/>
            <w:hideMark/>
          </w:tcPr>
          <w:p w14:paraId="1405D15E" w14:textId="77777777" w:rsidR="00BD55A9" w:rsidRPr="00AF228C" w:rsidRDefault="00BD55A9" w:rsidP="005C2955">
            <w:pPr>
              <w:spacing w:after="0" w:line="240" w:lineRule="auto"/>
              <w:rPr>
                <w:rFonts w:ascii="Garamond" w:eastAsia="Aptos" w:hAnsi="Garamond" w:cs="Times New Roman"/>
                <w:b/>
                <w:bCs/>
                <w:kern w:val="2"/>
                <w:szCs w:val="24"/>
                <w14:ligatures w14:val="standardContextual"/>
              </w:rPr>
            </w:pPr>
            <w:r w:rsidRPr="00AF228C">
              <w:rPr>
                <w:rFonts w:ascii="Garamond" w:eastAsia="Aptos" w:hAnsi="Garamond" w:cs="Times New Roman"/>
                <w:b/>
                <w:bCs/>
                <w:kern w:val="2"/>
                <w:szCs w:val="24"/>
                <w14:ligatures w14:val="standardContextual"/>
              </w:rPr>
              <w:lastRenderedPageBreak/>
              <w:t>Kodi NK</w:t>
            </w:r>
          </w:p>
        </w:tc>
        <w:tc>
          <w:tcPr>
            <w:tcW w:w="3770" w:type="pct"/>
            <w:tcBorders>
              <w:top w:val="single" w:sz="6" w:space="0" w:color="000000"/>
              <w:left w:val="single" w:sz="6" w:space="0" w:color="000000"/>
              <w:bottom w:val="single" w:sz="6" w:space="0" w:color="000000"/>
              <w:right w:val="single" w:sz="6" w:space="0" w:color="000000"/>
            </w:tcBorders>
            <w:shd w:val="clear" w:color="auto" w:fill="FFFFFF"/>
            <w:hideMark/>
          </w:tcPr>
          <w:p w14:paraId="3E3DAF48" w14:textId="77777777" w:rsidR="00BD55A9" w:rsidRPr="00AF228C" w:rsidRDefault="00BD55A9" w:rsidP="00417231">
            <w:pPr>
              <w:spacing w:after="0" w:line="240" w:lineRule="auto"/>
              <w:jc w:val="both"/>
              <w:rPr>
                <w:rFonts w:ascii="Garamond" w:eastAsia="Aptos" w:hAnsi="Garamond" w:cs="Times New Roman"/>
                <w:b/>
                <w:bCs/>
                <w:kern w:val="2"/>
                <w:szCs w:val="24"/>
                <w14:ligatures w14:val="standardContextual"/>
              </w:rPr>
            </w:pPr>
            <w:r w:rsidRPr="00AF228C">
              <w:rPr>
                <w:rFonts w:ascii="Garamond" w:eastAsia="Aptos" w:hAnsi="Garamond" w:cs="Times New Roman"/>
                <w:b/>
                <w:bCs/>
                <w:kern w:val="2"/>
                <w:szCs w:val="24"/>
                <w14:ligatures w14:val="standardContextual"/>
              </w:rPr>
              <w:t>Përshkrimi</w:t>
            </w:r>
          </w:p>
        </w:tc>
      </w:tr>
      <w:tr w:rsidR="00BD55A9" w:rsidRPr="00AF228C" w14:paraId="583BAA0A" w14:textId="77777777" w:rsidTr="00FF0AB3">
        <w:tc>
          <w:tcPr>
            <w:tcW w:w="568"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6E888736" w14:textId="3FB0FCA1"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a)</w:t>
            </w:r>
          </w:p>
        </w:tc>
        <w:tc>
          <w:tcPr>
            <w:tcW w:w="662" w:type="pct"/>
            <w:tcBorders>
              <w:top w:val="single" w:sz="6" w:space="0" w:color="000000"/>
              <w:left w:val="single" w:sz="6" w:space="0" w:color="000000"/>
              <w:bottom w:val="single" w:sz="6" w:space="0" w:color="000000"/>
              <w:right w:val="single" w:sz="6" w:space="0" w:color="000000"/>
            </w:tcBorders>
            <w:shd w:val="clear" w:color="auto" w:fill="FFFFFF"/>
            <w:hideMark/>
          </w:tcPr>
          <w:p w14:paraId="06B818DC"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0301</w:t>
            </w:r>
          </w:p>
        </w:tc>
        <w:tc>
          <w:tcPr>
            <w:tcW w:w="3770" w:type="pct"/>
            <w:tcBorders>
              <w:top w:val="single" w:sz="6" w:space="0" w:color="000000"/>
              <w:left w:val="single" w:sz="6" w:space="0" w:color="000000"/>
              <w:bottom w:val="single" w:sz="6" w:space="0" w:color="000000"/>
              <w:right w:val="single" w:sz="6" w:space="0" w:color="000000"/>
            </w:tcBorders>
            <w:shd w:val="clear" w:color="auto" w:fill="FFFFFF"/>
            <w:hideMark/>
          </w:tcPr>
          <w:p w14:paraId="5F9E554F" w14:textId="77777777" w:rsidR="00BD55A9" w:rsidRPr="00AF228C" w:rsidRDefault="00BD55A9" w:rsidP="00417231">
            <w:pPr>
              <w:spacing w:after="0" w:line="240" w:lineRule="auto"/>
              <w:jc w:val="both"/>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Peshk i gjall</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w:t>
            </w:r>
          </w:p>
        </w:tc>
      </w:tr>
      <w:tr w:rsidR="00BD55A9" w:rsidRPr="00AF228C" w14:paraId="7E37C005" w14:textId="77777777" w:rsidTr="00FF0AB3">
        <w:tc>
          <w:tcPr>
            <w:tcW w:w="568"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3F72285"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p>
        </w:tc>
        <w:tc>
          <w:tcPr>
            <w:tcW w:w="662" w:type="pct"/>
            <w:tcBorders>
              <w:top w:val="single" w:sz="6" w:space="0" w:color="000000"/>
              <w:left w:val="single" w:sz="6" w:space="0" w:color="000000"/>
              <w:bottom w:val="single" w:sz="6" w:space="0" w:color="000000"/>
              <w:right w:val="single" w:sz="6" w:space="0" w:color="000000"/>
            </w:tcBorders>
            <w:shd w:val="clear" w:color="auto" w:fill="FFFFFF"/>
            <w:hideMark/>
          </w:tcPr>
          <w:p w14:paraId="3AF3F679"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0302</w:t>
            </w:r>
          </w:p>
        </w:tc>
        <w:tc>
          <w:tcPr>
            <w:tcW w:w="3770" w:type="pct"/>
            <w:tcBorders>
              <w:top w:val="single" w:sz="6" w:space="0" w:color="000000"/>
              <w:left w:val="single" w:sz="6" w:space="0" w:color="000000"/>
              <w:bottom w:val="single" w:sz="6" w:space="0" w:color="000000"/>
              <w:right w:val="single" w:sz="6" w:space="0" w:color="000000"/>
            </w:tcBorders>
            <w:shd w:val="clear" w:color="auto" w:fill="FFFFFF"/>
            <w:hideMark/>
          </w:tcPr>
          <w:p w14:paraId="3C43559A" w14:textId="77777777" w:rsidR="00BD55A9" w:rsidRPr="00AF228C" w:rsidRDefault="00BD55A9" w:rsidP="00417231">
            <w:pPr>
              <w:spacing w:after="0" w:line="240" w:lineRule="auto"/>
              <w:jc w:val="both"/>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Peshk, i fresk</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t apo i ftoht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p</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rjashto filetot e peshkut dhe mish tjet</w:t>
            </w:r>
            <w:r w:rsidR="009E0A59" w:rsidRPr="00AF228C">
              <w:rPr>
                <w:rFonts w:ascii="Garamond" w:eastAsia="Aptos" w:hAnsi="Garamond" w:cs="Times New Roman"/>
                <w:kern w:val="2"/>
                <w:szCs w:val="24"/>
                <w14:ligatures w14:val="standardContextual"/>
              </w:rPr>
              <w:t>ë</w:t>
            </w:r>
            <w:r w:rsidR="004E2852" w:rsidRPr="00AF228C">
              <w:rPr>
                <w:rFonts w:ascii="Garamond" w:eastAsia="Aptos" w:hAnsi="Garamond" w:cs="Times New Roman"/>
                <w:kern w:val="2"/>
                <w:szCs w:val="24"/>
                <w14:ligatures w14:val="standardContextual"/>
              </w:rPr>
              <w:t>r prej peshkut, të</w:t>
            </w:r>
            <w:r w:rsidRPr="00AF228C">
              <w:rPr>
                <w:rFonts w:ascii="Garamond" w:eastAsia="Aptos" w:hAnsi="Garamond" w:cs="Times New Roman"/>
                <w:kern w:val="2"/>
                <w:szCs w:val="24"/>
                <w14:ligatures w14:val="standardContextual"/>
              </w:rPr>
              <w:t xml:space="preserve"> kreut 0304:</w:t>
            </w:r>
          </w:p>
        </w:tc>
      </w:tr>
      <w:tr w:rsidR="00BD55A9" w:rsidRPr="00AF228C" w14:paraId="0A37ADFF" w14:textId="77777777" w:rsidTr="00FF0AB3">
        <w:tc>
          <w:tcPr>
            <w:tcW w:w="568"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BCE802B"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p>
        </w:tc>
        <w:tc>
          <w:tcPr>
            <w:tcW w:w="662" w:type="pct"/>
            <w:tcBorders>
              <w:top w:val="single" w:sz="6" w:space="0" w:color="000000"/>
              <w:left w:val="single" w:sz="6" w:space="0" w:color="000000"/>
              <w:bottom w:val="single" w:sz="6" w:space="0" w:color="000000"/>
              <w:right w:val="single" w:sz="6" w:space="0" w:color="000000"/>
            </w:tcBorders>
            <w:shd w:val="clear" w:color="auto" w:fill="FFFFFF"/>
            <w:hideMark/>
          </w:tcPr>
          <w:p w14:paraId="7C17D14D"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0303</w:t>
            </w:r>
          </w:p>
        </w:tc>
        <w:tc>
          <w:tcPr>
            <w:tcW w:w="3770" w:type="pct"/>
            <w:tcBorders>
              <w:top w:val="single" w:sz="6" w:space="0" w:color="000000"/>
              <w:left w:val="single" w:sz="6" w:space="0" w:color="000000"/>
              <w:bottom w:val="single" w:sz="6" w:space="0" w:color="000000"/>
              <w:right w:val="single" w:sz="6" w:space="0" w:color="000000"/>
            </w:tcBorders>
            <w:shd w:val="clear" w:color="auto" w:fill="FFFFFF"/>
            <w:hideMark/>
          </w:tcPr>
          <w:p w14:paraId="38C57574" w14:textId="53C7FB46" w:rsidR="00BD55A9" w:rsidRPr="00AF228C" w:rsidRDefault="00BD55A9" w:rsidP="00417231">
            <w:pPr>
              <w:spacing w:after="0" w:line="240" w:lineRule="auto"/>
              <w:jc w:val="both"/>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Peshk, i ngrir</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p</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rjashto filetot e peshkut dhe mish tjet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r prej peshkut</w:t>
            </w:r>
            <w:r w:rsidR="00323711" w:rsidRPr="00AF228C">
              <w:rPr>
                <w:rFonts w:ascii="Garamond" w:eastAsia="Aptos" w:hAnsi="Garamond" w:cs="Times New Roman"/>
                <w:kern w:val="2"/>
                <w:szCs w:val="24"/>
                <w14:ligatures w14:val="standardContextual"/>
              </w:rPr>
              <w:t>,</w:t>
            </w:r>
            <w:r w:rsidRPr="00AF228C">
              <w:rPr>
                <w:rFonts w:ascii="Garamond" w:eastAsia="Aptos" w:hAnsi="Garamond" w:cs="Times New Roman"/>
                <w:kern w:val="2"/>
                <w:szCs w:val="24"/>
                <w14:ligatures w14:val="standardContextual"/>
              </w:rPr>
              <w:t xml:space="preserve"> t</w:t>
            </w:r>
            <w:r w:rsidR="009E0A59" w:rsidRPr="00AF228C">
              <w:rPr>
                <w:rFonts w:ascii="Garamond" w:eastAsia="Aptos" w:hAnsi="Garamond" w:cs="Times New Roman"/>
                <w:kern w:val="2"/>
                <w:szCs w:val="24"/>
                <w14:ligatures w14:val="standardContextual"/>
              </w:rPr>
              <w:t>ë</w:t>
            </w:r>
            <w:r w:rsidR="00417231">
              <w:rPr>
                <w:rFonts w:ascii="Garamond" w:eastAsia="Aptos" w:hAnsi="Garamond" w:cs="Times New Roman"/>
                <w:kern w:val="2"/>
                <w:szCs w:val="24"/>
                <w14:ligatures w14:val="standardContextual"/>
              </w:rPr>
              <w:t xml:space="preserve"> kreut 0304;</w:t>
            </w:r>
          </w:p>
        </w:tc>
      </w:tr>
      <w:tr w:rsidR="00BD55A9" w:rsidRPr="00AF228C" w14:paraId="5C1652D1" w14:textId="77777777" w:rsidTr="00FF0AB3">
        <w:tc>
          <w:tcPr>
            <w:tcW w:w="568"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51AD4B9"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p>
        </w:tc>
        <w:tc>
          <w:tcPr>
            <w:tcW w:w="662" w:type="pct"/>
            <w:tcBorders>
              <w:top w:val="single" w:sz="6" w:space="0" w:color="000000"/>
              <w:left w:val="single" w:sz="6" w:space="0" w:color="000000"/>
              <w:bottom w:val="single" w:sz="6" w:space="0" w:color="000000"/>
              <w:right w:val="single" w:sz="6" w:space="0" w:color="000000"/>
            </w:tcBorders>
            <w:shd w:val="clear" w:color="auto" w:fill="FFFFFF"/>
            <w:hideMark/>
          </w:tcPr>
          <w:p w14:paraId="415F82D1"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0304</w:t>
            </w:r>
          </w:p>
        </w:tc>
        <w:tc>
          <w:tcPr>
            <w:tcW w:w="3770" w:type="pct"/>
            <w:tcBorders>
              <w:top w:val="single" w:sz="6" w:space="0" w:color="000000"/>
              <w:left w:val="single" w:sz="6" w:space="0" w:color="000000"/>
              <w:bottom w:val="single" w:sz="6" w:space="0" w:color="000000"/>
              <w:right w:val="single" w:sz="6" w:space="0" w:color="000000"/>
            </w:tcBorders>
            <w:shd w:val="clear" w:color="auto" w:fill="FFFFFF"/>
            <w:hideMark/>
          </w:tcPr>
          <w:p w14:paraId="082A5BF4" w14:textId="70DFE91C" w:rsidR="00BD55A9" w:rsidRPr="00AF228C" w:rsidRDefault="00BD55A9" w:rsidP="00417231">
            <w:pPr>
              <w:spacing w:after="0" w:line="240" w:lineRule="auto"/>
              <w:jc w:val="both"/>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Fileto peshku dhe mish tjet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r peshku (n</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se </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sht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apo jo i grir</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i fresk</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t, i ftoht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apo i ngrir</w:t>
            </w:r>
            <w:r w:rsidR="009E0A59" w:rsidRPr="00AF228C">
              <w:rPr>
                <w:rFonts w:ascii="Garamond" w:eastAsia="Aptos" w:hAnsi="Garamond" w:cs="Times New Roman"/>
                <w:kern w:val="2"/>
                <w:szCs w:val="24"/>
                <w14:ligatures w14:val="standardContextual"/>
              </w:rPr>
              <w:t>ë</w:t>
            </w:r>
            <w:r w:rsidR="00417231">
              <w:rPr>
                <w:rFonts w:ascii="Garamond" w:eastAsia="Aptos" w:hAnsi="Garamond" w:cs="Times New Roman"/>
                <w:kern w:val="2"/>
                <w:szCs w:val="24"/>
                <w14:ligatures w14:val="standardContextual"/>
              </w:rPr>
              <w:t>;</w:t>
            </w:r>
          </w:p>
        </w:tc>
      </w:tr>
      <w:tr w:rsidR="00BD55A9" w:rsidRPr="00AF228C" w14:paraId="723BDEB6" w14:textId="77777777" w:rsidTr="00FF0AB3">
        <w:tc>
          <w:tcPr>
            <w:tcW w:w="568" w:type="pct"/>
            <w:tcBorders>
              <w:top w:val="single" w:sz="6" w:space="0" w:color="000000"/>
              <w:left w:val="single" w:sz="6" w:space="0" w:color="000000"/>
              <w:bottom w:val="single" w:sz="6" w:space="0" w:color="000000"/>
              <w:right w:val="single" w:sz="6" w:space="0" w:color="000000"/>
            </w:tcBorders>
            <w:shd w:val="clear" w:color="auto" w:fill="FFFFFF"/>
            <w:hideMark/>
          </w:tcPr>
          <w:p w14:paraId="5F73F816" w14:textId="2213D3CE"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b)</w:t>
            </w:r>
          </w:p>
        </w:tc>
        <w:tc>
          <w:tcPr>
            <w:tcW w:w="662" w:type="pct"/>
            <w:tcBorders>
              <w:top w:val="single" w:sz="6" w:space="0" w:color="000000"/>
              <w:left w:val="single" w:sz="6" w:space="0" w:color="000000"/>
              <w:bottom w:val="single" w:sz="6" w:space="0" w:color="000000"/>
              <w:right w:val="single" w:sz="6" w:space="0" w:color="000000"/>
            </w:tcBorders>
            <w:shd w:val="clear" w:color="auto" w:fill="FFFFFF"/>
            <w:hideMark/>
          </w:tcPr>
          <w:p w14:paraId="7F014DDD"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0305</w:t>
            </w:r>
          </w:p>
        </w:tc>
        <w:tc>
          <w:tcPr>
            <w:tcW w:w="3770" w:type="pct"/>
            <w:tcBorders>
              <w:top w:val="single" w:sz="6" w:space="0" w:color="000000"/>
              <w:left w:val="single" w:sz="6" w:space="0" w:color="000000"/>
              <w:bottom w:val="single" w:sz="6" w:space="0" w:color="000000"/>
              <w:right w:val="single" w:sz="6" w:space="0" w:color="000000"/>
            </w:tcBorders>
            <w:shd w:val="clear" w:color="auto" w:fill="FFFFFF"/>
            <w:hideMark/>
          </w:tcPr>
          <w:p w14:paraId="70150A5F" w14:textId="1B5BB067" w:rsidR="00BD55A9" w:rsidRPr="00AF228C" w:rsidRDefault="00BD55A9" w:rsidP="00417231">
            <w:pPr>
              <w:spacing w:after="0" w:line="240" w:lineRule="auto"/>
              <w:jc w:val="both"/>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Peshk, i thar</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i kripur apo n</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w:t>
            </w:r>
            <w:r w:rsidR="00417231" w:rsidRPr="00AF228C">
              <w:rPr>
                <w:rFonts w:ascii="Garamond" w:eastAsia="Aptos" w:hAnsi="Garamond" w:cs="Times New Roman"/>
                <w:kern w:val="2"/>
                <w:szCs w:val="24"/>
                <w14:ligatures w14:val="standardContextual"/>
              </w:rPr>
              <w:t>ujë</w:t>
            </w:r>
            <w:r w:rsidRPr="00AF228C">
              <w:rPr>
                <w:rFonts w:ascii="Garamond" w:eastAsia="Aptos" w:hAnsi="Garamond" w:cs="Times New Roman"/>
                <w:kern w:val="2"/>
                <w:szCs w:val="24"/>
                <w14:ligatures w14:val="standardContextual"/>
              </w:rPr>
              <w:t xml:space="preserve"> me krip</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peshk i tymosur, n</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se </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sht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gatuar apo jo m</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par</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apo gjat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procesit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tymosjes;</w:t>
            </w:r>
          </w:p>
        </w:tc>
      </w:tr>
      <w:tr w:rsidR="00BD55A9" w:rsidRPr="00AF228C" w14:paraId="45C65D24" w14:textId="77777777" w:rsidTr="00FF0AB3">
        <w:tc>
          <w:tcPr>
            <w:tcW w:w="568"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DDBE439" w14:textId="4651BCCF"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c)</w:t>
            </w:r>
          </w:p>
        </w:tc>
        <w:tc>
          <w:tcPr>
            <w:tcW w:w="662" w:type="pct"/>
            <w:tcBorders>
              <w:top w:val="single" w:sz="6" w:space="0" w:color="000000"/>
              <w:left w:val="single" w:sz="6" w:space="0" w:color="000000"/>
              <w:bottom w:val="single" w:sz="6" w:space="0" w:color="000000"/>
              <w:right w:val="single" w:sz="6" w:space="0" w:color="000000"/>
            </w:tcBorders>
            <w:shd w:val="clear" w:color="auto" w:fill="FFFFFF"/>
            <w:hideMark/>
          </w:tcPr>
          <w:p w14:paraId="77CF6580"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0306</w:t>
            </w:r>
          </w:p>
        </w:tc>
        <w:tc>
          <w:tcPr>
            <w:tcW w:w="3770" w:type="pct"/>
            <w:tcBorders>
              <w:top w:val="single" w:sz="6" w:space="0" w:color="000000"/>
              <w:left w:val="single" w:sz="6" w:space="0" w:color="000000"/>
              <w:bottom w:val="single" w:sz="6" w:space="0" w:color="000000"/>
              <w:right w:val="single" w:sz="6" w:space="0" w:color="000000"/>
            </w:tcBorders>
            <w:shd w:val="clear" w:color="auto" w:fill="FFFFFF"/>
            <w:hideMark/>
          </w:tcPr>
          <w:p w14:paraId="6A75D702" w14:textId="77777777" w:rsidR="00BD55A9" w:rsidRPr="00AF228C" w:rsidRDefault="00BD55A9" w:rsidP="00417231">
            <w:pPr>
              <w:spacing w:after="0" w:line="240" w:lineRule="auto"/>
              <w:jc w:val="both"/>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Kafsh</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t guackore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n</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nujshme, n</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se jan</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apo jo n</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guack</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gjalla,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fresk</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ta,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ftohta,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ngrira,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thara,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kripura apo n</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uj</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me krip</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kafsh</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t guackore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n</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nujshme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tymosura n</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se jan</w:t>
            </w:r>
            <w:r w:rsidR="009E0A59" w:rsidRPr="00AF228C">
              <w:rPr>
                <w:rFonts w:ascii="Garamond" w:eastAsia="Aptos" w:hAnsi="Garamond" w:cs="Times New Roman"/>
                <w:kern w:val="2"/>
                <w:szCs w:val="24"/>
                <w14:ligatures w14:val="standardContextual"/>
              </w:rPr>
              <w:t>ë</w:t>
            </w:r>
            <w:r w:rsidR="00323711" w:rsidRPr="00AF228C">
              <w:rPr>
                <w:rFonts w:ascii="Garamond" w:eastAsia="Aptos" w:hAnsi="Garamond" w:cs="Times New Roman"/>
                <w:kern w:val="2"/>
                <w:szCs w:val="24"/>
                <w14:ligatures w14:val="standardContextual"/>
              </w:rPr>
              <w:t xml:space="preserve"> </w:t>
            </w:r>
            <w:r w:rsidRPr="00AF228C">
              <w:rPr>
                <w:rFonts w:ascii="Garamond" w:eastAsia="Aptos" w:hAnsi="Garamond" w:cs="Times New Roman"/>
                <w:kern w:val="2"/>
                <w:szCs w:val="24"/>
                <w14:ligatures w14:val="standardContextual"/>
              </w:rPr>
              <w:t>ose jo n</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guask</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n</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se jan</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ose jo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gatuara p</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rpara ose gjat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procesit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tymosjes; kafsh</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t guackore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n</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nujshme, n</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guack</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gatuar</w:t>
            </w:r>
            <w:r w:rsidR="00323711" w:rsidRPr="00AF228C">
              <w:rPr>
                <w:rFonts w:ascii="Garamond" w:eastAsia="Aptos" w:hAnsi="Garamond" w:cs="Times New Roman"/>
                <w:kern w:val="2"/>
                <w:szCs w:val="24"/>
                <w14:ligatures w14:val="standardContextual"/>
              </w:rPr>
              <w:t>a</w:t>
            </w:r>
            <w:r w:rsidRPr="00AF228C">
              <w:rPr>
                <w:rFonts w:ascii="Garamond" w:eastAsia="Aptos" w:hAnsi="Garamond" w:cs="Times New Roman"/>
                <w:kern w:val="2"/>
                <w:szCs w:val="24"/>
                <w14:ligatures w14:val="standardContextual"/>
              </w:rPr>
              <w:t xml:space="preserve"> nga avulli apo nga zierja n</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uj</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n</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se jan</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apo jo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ftohta,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ngrira,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thara,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kripura apo n</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uj</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me krip</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w:t>
            </w:r>
          </w:p>
        </w:tc>
      </w:tr>
      <w:tr w:rsidR="00BD55A9" w:rsidRPr="00AF228C" w14:paraId="7566C4DD" w14:textId="77777777" w:rsidTr="00FF0AB3">
        <w:tc>
          <w:tcPr>
            <w:tcW w:w="568"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EFF9C1"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p>
        </w:tc>
        <w:tc>
          <w:tcPr>
            <w:tcW w:w="662" w:type="pct"/>
            <w:tcBorders>
              <w:top w:val="single" w:sz="6" w:space="0" w:color="000000"/>
              <w:left w:val="single" w:sz="6" w:space="0" w:color="000000"/>
              <w:bottom w:val="single" w:sz="6" w:space="0" w:color="000000"/>
              <w:right w:val="single" w:sz="6" w:space="0" w:color="000000"/>
            </w:tcBorders>
            <w:shd w:val="clear" w:color="auto" w:fill="FFFFFF"/>
            <w:hideMark/>
          </w:tcPr>
          <w:p w14:paraId="424D4C7C"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0307</w:t>
            </w:r>
          </w:p>
        </w:tc>
        <w:tc>
          <w:tcPr>
            <w:tcW w:w="3770" w:type="pct"/>
            <w:tcBorders>
              <w:top w:val="single" w:sz="6" w:space="0" w:color="000000"/>
              <w:left w:val="single" w:sz="6" w:space="0" w:color="000000"/>
              <w:bottom w:val="single" w:sz="6" w:space="0" w:color="000000"/>
              <w:right w:val="single" w:sz="6" w:space="0" w:color="000000"/>
            </w:tcBorders>
            <w:shd w:val="clear" w:color="auto" w:fill="FFFFFF"/>
            <w:hideMark/>
          </w:tcPr>
          <w:p w14:paraId="2A7C160D" w14:textId="2C6D42A6" w:rsidR="00BD55A9" w:rsidRPr="00AF228C" w:rsidRDefault="00BD55A9" w:rsidP="00417231">
            <w:pPr>
              <w:spacing w:after="0" w:line="240" w:lineRule="auto"/>
              <w:jc w:val="both"/>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Molusqet, n</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se jan</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apo jo n</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guack</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gjalla,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fresk</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ta,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ftohta,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ngrira,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thara,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kripura apo n</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uj</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me krip</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molusqe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tymosura, n</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se jan</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ose jo n</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guask</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n</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se jan</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ose jo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gatuara p</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rpara ose gjat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procesit t</w:t>
            </w:r>
            <w:r w:rsidR="009E0A59" w:rsidRPr="00AF228C">
              <w:rPr>
                <w:rFonts w:ascii="Garamond" w:eastAsia="Aptos" w:hAnsi="Garamond" w:cs="Times New Roman"/>
                <w:kern w:val="2"/>
                <w:szCs w:val="24"/>
                <w14:ligatures w14:val="standardContextual"/>
              </w:rPr>
              <w:t>ë</w:t>
            </w:r>
            <w:r w:rsidR="00417231">
              <w:rPr>
                <w:rFonts w:ascii="Garamond" w:eastAsia="Aptos" w:hAnsi="Garamond" w:cs="Times New Roman"/>
                <w:kern w:val="2"/>
                <w:szCs w:val="24"/>
                <w14:ligatures w14:val="standardContextual"/>
              </w:rPr>
              <w:t xml:space="preserve"> tymosjes;</w:t>
            </w:r>
          </w:p>
        </w:tc>
      </w:tr>
      <w:tr w:rsidR="00BD55A9" w:rsidRPr="00AF228C" w14:paraId="53D67821" w14:textId="77777777" w:rsidTr="00FF0AB3">
        <w:tc>
          <w:tcPr>
            <w:tcW w:w="568"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029B51D1" w14:textId="4D170711"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d)</w:t>
            </w:r>
          </w:p>
        </w:tc>
        <w:tc>
          <w:tcPr>
            <w:tcW w:w="662"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1B9E7866"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 051</w:t>
            </w:r>
            <w:r w:rsidR="009B2839" w:rsidRPr="00AF228C">
              <w:rPr>
                <w:rFonts w:ascii="Garamond" w:eastAsia="Aptos" w:hAnsi="Garamond" w:cs="Times New Roman"/>
                <w:kern w:val="2"/>
                <w:szCs w:val="24"/>
                <w14:ligatures w14:val="standardContextual"/>
              </w:rPr>
              <w:t>1</w:t>
            </w:r>
          </w:p>
          <w:p w14:paraId="297DA0BF" w14:textId="77777777" w:rsidR="009B2839" w:rsidRPr="00AF228C" w:rsidRDefault="009B283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0511 91</w:t>
            </w:r>
          </w:p>
        </w:tc>
        <w:tc>
          <w:tcPr>
            <w:tcW w:w="3770" w:type="pct"/>
            <w:tcBorders>
              <w:top w:val="single" w:sz="6" w:space="0" w:color="000000"/>
              <w:left w:val="single" w:sz="6" w:space="0" w:color="000000"/>
              <w:bottom w:val="single" w:sz="6" w:space="0" w:color="000000"/>
              <w:right w:val="single" w:sz="6" w:space="0" w:color="000000"/>
            </w:tcBorders>
            <w:shd w:val="clear" w:color="auto" w:fill="FFFFFF"/>
            <w:hideMark/>
          </w:tcPr>
          <w:p w14:paraId="538C9900" w14:textId="36341792" w:rsidR="00BD55A9" w:rsidRPr="00AF228C" w:rsidRDefault="00BD55A9" w:rsidP="00417231">
            <w:pPr>
              <w:spacing w:after="0" w:line="240" w:lineRule="auto"/>
              <w:jc w:val="both"/>
              <w:rPr>
                <w:rFonts w:ascii="Garamond" w:eastAsia="Aptos" w:hAnsi="Garamond" w:cs="Times New Roman"/>
                <w:color w:val="000000"/>
                <w:kern w:val="2"/>
                <w:szCs w:val="24"/>
                <w:highlight w:val="red"/>
                <w14:ligatures w14:val="standardContextual"/>
              </w:rPr>
            </w:pPr>
            <w:r w:rsidRPr="00AF228C">
              <w:rPr>
                <w:rFonts w:ascii="Garamond" w:eastAsia="Aptos" w:hAnsi="Garamond" w:cs="Times New Roman"/>
                <w:color w:val="000000"/>
                <w:kern w:val="2"/>
                <w:szCs w:val="24"/>
                <w14:ligatures w14:val="standardContextual"/>
              </w:rPr>
              <w:t>Produktet me origjin</w:t>
            </w:r>
            <w:r w:rsidR="009E0A59" w:rsidRPr="00AF228C">
              <w:rPr>
                <w:rFonts w:ascii="Garamond" w:eastAsia="Aptos" w:hAnsi="Garamond" w:cs="Times New Roman"/>
                <w:color w:val="000000"/>
                <w:kern w:val="2"/>
                <w:szCs w:val="24"/>
                <w14:ligatures w14:val="standardContextual"/>
              </w:rPr>
              <w:t>ë</w:t>
            </w:r>
            <w:r w:rsidRPr="00AF228C">
              <w:rPr>
                <w:rFonts w:ascii="Garamond" w:eastAsia="Aptos" w:hAnsi="Garamond" w:cs="Times New Roman"/>
                <w:color w:val="000000"/>
                <w:kern w:val="2"/>
                <w:szCs w:val="24"/>
                <w14:ligatures w14:val="standardContextual"/>
              </w:rPr>
              <w:t xml:space="preserve"> prej kafsh</w:t>
            </w:r>
            <w:r w:rsidR="009E0A59" w:rsidRPr="00AF228C">
              <w:rPr>
                <w:rFonts w:ascii="Garamond" w:eastAsia="Aptos" w:hAnsi="Garamond" w:cs="Times New Roman"/>
                <w:color w:val="000000"/>
                <w:kern w:val="2"/>
                <w:szCs w:val="24"/>
                <w14:ligatures w14:val="standardContextual"/>
              </w:rPr>
              <w:t>ë</w:t>
            </w:r>
            <w:r w:rsidRPr="00AF228C">
              <w:rPr>
                <w:rFonts w:ascii="Garamond" w:eastAsia="Aptos" w:hAnsi="Garamond" w:cs="Times New Roman"/>
                <w:color w:val="000000"/>
                <w:kern w:val="2"/>
                <w:szCs w:val="24"/>
                <w14:ligatures w14:val="standardContextual"/>
              </w:rPr>
              <w:t>ve t</w:t>
            </w:r>
            <w:r w:rsidR="009E0A59" w:rsidRPr="00AF228C">
              <w:rPr>
                <w:rFonts w:ascii="Garamond" w:eastAsia="Aptos" w:hAnsi="Garamond" w:cs="Times New Roman"/>
                <w:color w:val="000000"/>
                <w:kern w:val="2"/>
                <w:szCs w:val="24"/>
                <w14:ligatures w14:val="standardContextual"/>
              </w:rPr>
              <w:t>ë</w:t>
            </w:r>
            <w:r w:rsidRPr="00AF228C">
              <w:rPr>
                <w:rFonts w:ascii="Garamond" w:eastAsia="Aptos" w:hAnsi="Garamond" w:cs="Times New Roman"/>
                <w:color w:val="000000"/>
                <w:kern w:val="2"/>
                <w:szCs w:val="24"/>
                <w14:ligatures w14:val="standardContextual"/>
              </w:rPr>
              <w:t xml:space="preserve"> pap</w:t>
            </w:r>
            <w:r w:rsidR="009E0A59" w:rsidRPr="00AF228C">
              <w:rPr>
                <w:rFonts w:ascii="Garamond" w:eastAsia="Aptos" w:hAnsi="Garamond" w:cs="Times New Roman"/>
                <w:color w:val="000000"/>
                <w:kern w:val="2"/>
                <w:szCs w:val="24"/>
                <w14:ligatures w14:val="standardContextual"/>
              </w:rPr>
              <w:t>ë</w:t>
            </w:r>
            <w:r w:rsidRPr="00AF228C">
              <w:rPr>
                <w:rFonts w:ascii="Garamond" w:eastAsia="Aptos" w:hAnsi="Garamond" w:cs="Times New Roman"/>
                <w:color w:val="000000"/>
                <w:kern w:val="2"/>
                <w:szCs w:val="24"/>
                <w14:ligatures w14:val="standardContextual"/>
              </w:rPr>
              <w:t>rfshira dhe t</w:t>
            </w:r>
            <w:r w:rsidR="009E0A59" w:rsidRPr="00AF228C">
              <w:rPr>
                <w:rFonts w:ascii="Garamond" w:eastAsia="Aptos" w:hAnsi="Garamond" w:cs="Times New Roman"/>
                <w:color w:val="000000"/>
                <w:kern w:val="2"/>
                <w:szCs w:val="24"/>
                <w14:ligatures w14:val="standardContextual"/>
              </w:rPr>
              <w:t>ë</w:t>
            </w:r>
            <w:r w:rsidRPr="00AF228C">
              <w:rPr>
                <w:rFonts w:ascii="Garamond" w:eastAsia="Aptos" w:hAnsi="Garamond" w:cs="Times New Roman"/>
                <w:color w:val="000000"/>
                <w:kern w:val="2"/>
                <w:szCs w:val="24"/>
                <w14:ligatures w14:val="standardContextual"/>
              </w:rPr>
              <w:t xml:space="preserve"> paspecifikuara diku tjet</w:t>
            </w:r>
            <w:r w:rsidR="009E0A59" w:rsidRPr="00AF228C">
              <w:rPr>
                <w:rFonts w:ascii="Garamond" w:eastAsia="Aptos" w:hAnsi="Garamond" w:cs="Times New Roman"/>
                <w:color w:val="000000"/>
                <w:kern w:val="2"/>
                <w:szCs w:val="24"/>
                <w14:ligatures w14:val="standardContextual"/>
              </w:rPr>
              <w:t>ë</w:t>
            </w:r>
            <w:r w:rsidRPr="00AF228C">
              <w:rPr>
                <w:rFonts w:ascii="Garamond" w:eastAsia="Aptos" w:hAnsi="Garamond" w:cs="Times New Roman"/>
                <w:color w:val="000000"/>
                <w:kern w:val="2"/>
                <w:szCs w:val="24"/>
                <w14:ligatures w14:val="standardContextual"/>
              </w:rPr>
              <w:t>r; kafsh</w:t>
            </w:r>
            <w:r w:rsidR="009E0A59" w:rsidRPr="00AF228C">
              <w:rPr>
                <w:rFonts w:ascii="Garamond" w:eastAsia="Aptos" w:hAnsi="Garamond" w:cs="Times New Roman"/>
                <w:color w:val="000000"/>
                <w:kern w:val="2"/>
                <w:szCs w:val="24"/>
                <w14:ligatures w14:val="standardContextual"/>
              </w:rPr>
              <w:t>ë</w:t>
            </w:r>
            <w:r w:rsidRPr="00AF228C">
              <w:rPr>
                <w:rFonts w:ascii="Garamond" w:eastAsia="Aptos" w:hAnsi="Garamond" w:cs="Times New Roman"/>
                <w:color w:val="000000"/>
                <w:kern w:val="2"/>
                <w:szCs w:val="24"/>
                <w14:ligatures w14:val="standardContextual"/>
              </w:rPr>
              <w:t>t e ngordhura</w:t>
            </w:r>
            <w:r w:rsidR="004E2852" w:rsidRPr="00AF228C">
              <w:rPr>
                <w:rFonts w:ascii="Garamond" w:eastAsia="Aptos" w:hAnsi="Garamond" w:cs="Times New Roman"/>
                <w:color w:val="000000"/>
                <w:kern w:val="2"/>
                <w:szCs w:val="24"/>
                <w14:ligatures w14:val="standardContextual"/>
              </w:rPr>
              <w:t>, të</w:t>
            </w:r>
            <w:r w:rsidRPr="00AF228C">
              <w:rPr>
                <w:rFonts w:ascii="Garamond" w:eastAsia="Aptos" w:hAnsi="Garamond" w:cs="Times New Roman"/>
                <w:color w:val="000000"/>
                <w:kern w:val="2"/>
                <w:szCs w:val="24"/>
                <w14:ligatures w14:val="standardContextual"/>
              </w:rPr>
              <w:t xml:space="preserve"> </w:t>
            </w:r>
            <w:r w:rsidR="00323711" w:rsidRPr="00AF228C">
              <w:rPr>
                <w:rFonts w:ascii="Garamond" w:eastAsia="Aptos" w:hAnsi="Garamond" w:cs="Times New Roman"/>
                <w:color w:val="000000"/>
                <w:kern w:val="2"/>
                <w:szCs w:val="24"/>
                <w14:ligatures w14:val="standardContextual"/>
              </w:rPr>
              <w:t>k</w:t>
            </w:r>
            <w:r w:rsidRPr="00AF228C">
              <w:rPr>
                <w:rFonts w:ascii="Garamond" w:eastAsia="Aptos" w:hAnsi="Garamond" w:cs="Times New Roman"/>
                <w:color w:val="000000"/>
                <w:kern w:val="2"/>
                <w:szCs w:val="24"/>
                <w14:ligatures w14:val="standardContextual"/>
              </w:rPr>
              <w:t>apitullit 1 apo 3, t</w:t>
            </w:r>
            <w:r w:rsidR="009E0A59" w:rsidRPr="00AF228C">
              <w:rPr>
                <w:rFonts w:ascii="Garamond" w:eastAsia="Aptos" w:hAnsi="Garamond" w:cs="Times New Roman"/>
                <w:color w:val="000000"/>
                <w:kern w:val="2"/>
                <w:szCs w:val="24"/>
                <w14:ligatures w14:val="standardContextual"/>
              </w:rPr>
              <w:t>ë</w:t>
            </w:r>
            <w:r w:rsidRPr="00AF228C">
              <w:rPr>
                <w:rFonts w:ascii="Garamond" w:eastAsia="Aptos" w:hAnsi="Garamond" w:cs="Times New Roman"/>
                <w:color w:val="000000"/>
                <w:kern w:val="2"/>
                <w:szCs w:val="24"/>
                <w14:ligatures w14:val="standardContextual"/>
              </w:rPr>
              <w:t xml:space="preserve"> pap</w:t>
            </w:r>
            <w:r w:rsidR="009E0A59" w:rsidRPr="00AF228C">
              <w:rPr>
                <w:rFonts w:ascii="Garamond" w:eastAsia="Aptos" w:hAnsi="Garamond" w:cs="Times New Roman"/>
                <w:color w:val="000000"/>
                <w:kern w:val="2"/>
                <w:szCs w:val="24"/>
                <w14:ligatures w14:val="standardContextual"/>
              </w:rPr>
              <w:t>ë</w:t>
            </w:r>
            <w:r w:rsidRPr="00AF228C">
              <w:rPr>
                <w:rFonts w:ascii="Garamond" w:eastAsia="Aptos" w:hAnsi="Garamond" w:cs="Times New Roman"/>
                <w:color w:val="000000"/>
                <w:kern w:val="2"/>
                <w:szCs w:val="24"/>
                <w14:ligatures w14:val="standardContextual"/>
              </w:rPr>
              <w:t>rshtatshme p</w:t>
            </w:r>
            <w:r w:rsidR="009E0A59" w:rsidRPr="00AF228C">
              <w:rPr>
                <w:rFonts w:ascii="Garamond" w:eastAsia="Aptos" w:hAnsi="Garamond" w:cs="Times New Roman"/>
                <w:color w:val="000000"/>
                <w:kern w:val="2"/>
                <w:szCs w:val="24"/>
                <w14:ligatures w14:val="standardContextual"/>
              </w:rPr>
              <w:t>ë</w:t>
            </w:r>
            <w:r w:rsidRPr="00AF228C">
              <w:rPr>
                <w:rFonts w:ascii="Garamond" w:eastAsia="Aptos" w:hAnsi="Garamond" w:cs="Times New Roman"/>
                <w:color w:val="000000"/>
                <w:kern w:val="2"/>
                <w:szCs w:val="24"/>
                <w14:ligatures w14:val="standardContextual"/>
              </w:rPr>
              <w:t>r konsum njer</w:t>
            </w:r>
            <w:r w:rsidR="009E0A59" w:rsidRPr="00AF228C">
              <w:rPr>
                <w:rFonts w:ascii="Garamond" w:eastAsia="Aptos" w:hAnsi="Garamond" w:cs="Times New Roman"/>
                <w:color w:val="000000"/>
                <w:kern w:val="2"/>
                <w:szCs w:val="24"/>
                <w14:ligatures w14:val="standardContextual"/>
              </w:rPr>
              <w:t>ë</w:t>
            </w:r>
            <w:r w:rsidR="00417231">
              <w:rPr>
                <w:rFonts w:ascii="Garamond" w:eastAsia="Aptos" w:hAnsi="Garamond" w:cs="Times New Roman"/>
                <w:color w:val="000000"/>
                <w:kern w:val="2"/>
                <w:szCs w:val="24"/>
                <w14:ligatures w14:val="standardContextual"/>
              </w:rPr>
              <w:t>zor;</w:t>
            </w:r>
          </w:p>
        </w:tc>
      </w:tr>
      <w:tr w:rsidR="00BD55A9" w:rsidRPr="00AF228C" w14:paraId="7D459EFA" w14:textId="77777777" w:rsidTr="00FF0AB3">
        <w:tc>
          <w:tcPr>
            <w:tcW w:w="568"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5CB6FBD"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p>
        </w:tc>
        <w:tc>
          <w:tcPr>
            <w:tcW w:w="662"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88A9920"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p>
        </w:tc>
        <w:tc>
          <w:tcPr>
            <w:tcW w:w="3770" w:type="pct"/>
            <w:tcBorders>
              <w:top w:val="single" w:sz="6" w:space="0" w:color="000000"/>
              <w:left w:val="single" w:sz="6" w:space="0" w:color="000000"/>
              <w:bottom w:val="single" w:sz="6" w:space="0" w:color="000000"/>
              <w:right w:val="single" w:sz="6" w:space="0" w:color="000000"/>
            </w:tcBorders>
            <w:shd w:val="clear" w:color="auto" w:fill="FFFFFF"/>
            <w:hideMark/>
          </w:tcPr>
          <w:p w14:paraId="082136F2" w14:textId="07790326" w:rsidR="00BD55A9" w:rsidRPr="00AF228C" w:rsidRDefault="00BD55A9" w:rsidP="00417231">
            <w:pPr>
              <w:spacing w:after="0" w:line="240" w:lineRule="auto"/>
              <w:jc w:val="both"/>
              <w:rPr>
                <w:rFonts w:ascii="Garamond" w:eastAsia="Aptos" w:hAnsi="Garamond" w:cs="Times New Roman"/>
                <w:color w:val="000000"/>
                <w:kern w:val="2"/>
                <w:szCs w:val="24"/>
                <w:highlight w:val="red"/>
                <w14:ligatures w14:val="standardContextual"/>
              </w:rPr>
            </w:pPr>
            <w:r w:rsidRPr="00AF228C">
              <w:rPr>
                <w:rFonts w:ascii="Garamond" w:eastAsia="Aptos" w:hAnsi="Garamond" w:cs="Times New Roman"/>
                <w:color w:val="000000"/>
                <w:kern w:val="2"/>
                <w:szCs w:val="24"/>
                <w14:ligatures w14:val="standardContextual"/>
              </w:rPr>
              <w:t>T</w:t>
            </w:r>
            <w:r w:rsidR="009E0A59" w:rsidRPr="00AF228C">
              <w:rPr>
                <w:rFonts w:ascii="Garamond" w:eastAsia="Aptos" w:hAnsi="Garamond" w:cs="Times New Roman"/>
                <w:color w:val="000000"/>
                <w:kern w:val="2"/>
                <w:szCs w:val="24"/>
                <w14:ligatures w14:val="standardContextual"/>
              </w:rPr>
              <w:t>ë</w:t>
            </w:r>
            <w:r w:rsidRPr="00AF228C">
              <w:rPr>
                <w:rFonts w:ascii="Garamond" w:eastAsia="Aptos" w:hAnsi="Garamond" w:cs="Times New Roman"/>
                <w:color w:val="000000"/>
                <w:kern w:val="2"/>
                <w:szCs w:val="24"/>
                <w14:ligatures w14:val="standardContextual"/>
              </w:rPr>
              <w:t xml:space="preserve"> tjera</w:t>
            </w:r>
            <w:r w:rsidR="00417231">
              <w:rPr>
                <w:rFonts w:ascii="Garamond" w:eastAsia="Aptos" w:hAnsi="Garamond" w:cs="Times New Roman"/>
                <w:color w:val="000000"/>
                <w:kern w:val="2"/>
                <w:szCs w:val="24"/>
                <w14:ligatures w14:val="standardContextual"/>
              </w:rPr>
              <w:t>;</w:t>
            </w:r>
          </w:p>
        </w:tc>
      </w:tr>
      <w:tr w:rsidR="00BD55A9" w:rsidRPr="00AF228C" w14:paraId="50B9E439" w14:textId="77777777" w:rsidTr="00FF0AB3">
        <w:tc>
          <w:tcPr>
            <w:tcW w:w="568"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2F0DE72"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p>
        </w:tc>
        <w:tc>
          <w:tcPr>
            <w:tcW w:w="662"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D929E8C"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p>
        </w:tc>
        <w:tc>
          <w:tcPr>
            <w:tcW w:w="3770" w:type="pct"/>
            <w:tcBorders>
              <w:top w:val="single" w:sz="6" w:space="0" w:color="000000"/>
              <w:left w:val="single" w:sz="6" w:space="0" w:color="000000"/>
              <w:bottom w:val="single" w:sz="6" w:space="0" w:color="000000"/>
              <w:right w:val="single" w:sz="6" w:space="0" w:color="000000"/>
            </w:tcBorders>
            <w:shd w:val="clear" w:color="auto" w:fill="FFFFFF"/>
            <w:hideMark/>
          </w:tcPr>
          <w:p w14:paraId="1CD92053" w14:textId="708F1E4D" w:rsidR="00BD55A9" w:rsidRPr="00AF228C" w:rsidRDefault="00BD55A9" w:rsidP="00417231">
            <w:pPr>
              <w:spacing w:after="0" w:line="240" w:lineRule="auto"/>
              <w:jc w:val="both"/>
              <w:rPr>
                <w:rFonts w:ascii="Garamond" w:eastAsia="Aptos" w:hAnsi="Garamond" w:cs="Times New Roman"/>
                <w:color w:val="000000"/>
                <w:kern w:val="2"/>
                <w:szCs w:val="24"/>
                <w:highlight w:val="red"/>
                <w14:ligatures w14:val="standardContextual"/>
              </w:rPr>
            </w:pPr>
            <w:r w:rsidRPr="00AF228C">
              <w:rPr>
                <w:rFonts w:ascii="Garamond" w:eastAsia="Aptos" w:hAnsi="Garamond" w:cs="Times New Roman"/>
                <w:color w:val="000000"/>
                <w:kern w:val="2"/>
                <w:szCs w:val="24"/>
                <w14:ligatures w14:val="standardContextual"/>
              </w:rPr>
              <w:t>Produkte t</w:t>
            </w:r>
            <w:r w:rsidR="009E0A59" w:rsidRPr="00AF228C">
              <w:rPr>
                <w:rFonts w:ascii="Garamond" w:eastAsia="Aptos" w:hAnsi="Garamond" w:cs="Times New Roman"/>
                <w:color w:val="000000"/>
                <w:kern w:val="2"/>
                <w:szCs w:val="24"/>
                <w14:ligatures w14:val="standardContextual"/>
              </w:rPr>
              <w:t>ë</w:t>
            </w:r>
            <w:r w:rsidRPr="00AF228C">
              <w:rPr>
                <w:rFonts w:ascii="Garamond" w:eastAsia="Aptos" w:hAnsi="Garamond" w:cs="Times New Roman"/>
                <w:color w:val="000000"/>
                <w:kern w:val="2"/>
                <w:szCs w:val="24"/>
                <w14:ligatures w14:val="standardContextual"/>
              </w:rPr>
              <w:t xml:space="preserve"> peshkut apo t</w:t>
            </w:r>
            <w:r w:rsidR="009E0A59" w:rsidRPr="00AF228C">
              <w:rPr>
                <w:rFonts w:ascii="Garamond" w:eastAsia="Aptos" w:hAnsi="Garamond" w:cs="Times New Roman"/>
                <w:color w:val="000000"/>
                <w:kern w:val="2"/>
                <w:szCs w:val="24"/>
                <w14:ligatures w14:val="standardContextual"/>
              </w:rPr>
              <w:t>ë</w:t>
            </w:r>
            <w:r w:rsidRPr="00AF228C">
              <w:rPr>
                <w:rFonts w:ascii="Garamond" w:eastAsia="Aptos" w:hAnsi="Garamond" w:cs="Times New Roman"/>
                <w:color w:val="000000"/>
                <w:kern w:val="2"/>
                <w:szCs w:val="24"/>
                <w14:ligatures w14:val="standardContextual"/>
              </w:rPr>
              <w:t xml:space="preserve"> kafsh</w:t>
            </w:r>
            <w:r w:rsidR="009E0A59" w:rsidRPr="00AF228C">
              <w:rPr>
                <w:rFonts w:ascii="Garamond" w:eastAsia="Aptos" w:hAnsi="Garamond" w:cs="Times New Roman"/>
                <w:color w:val="000000"/>
                <w:kern w:val="2"/>
                <w:szCs w:val="24"/>
                <w14:ligatures w14:val="standardContextual"/>
              </w:rPr>
              <w:t>ë</w:t>
            </w:r>
            <w:r w:rsidRPr="00AF228C">
              <w:rPr>
                <w:rFonts w:ascii="Garamond" w:eastAsia="Aptos" w:hAnsi="Garamond" w:cs="Times New Roman"/>
                <w:color w:val="000000"/>
                <w:kern w:val="2"/>
                <w:szCs w:val="24"/>
                <w14:ligatures w14:val="standardContextual"/>
              </w:rPr>
              <w:t>ve guackore t</w:t>
            </w:r>
            <w:r w:rsidR="009E0A59" w:rsidRPr="00AF228C">
              <w:rPr>
                <w:rFonts w:ascii="Garamond" w:eastAsia="Aptos" w:hAnsi="Garamond" w:cs="Times New Roman"/>
                <w:color w:val="000000"/>
                <w:kern w:val="2"/>
                <w:szCs w:val="24"/>
                <w14:ligatures w14:val="standardContextual"/>
              </w:rPr>
              <w:t>ë</w:t>
            </w:r>
            <w:r w:rsidRPr="00AF228C">
              <w:rPr>
                <w:rFonts w:ascii="Garamond" w:eastAsia="Aptos" w:hAnsi="Garamond" w:cs="Times New Roman"/>
                <w:color w:val="000000"/>
                <w:kern w:val="2"/>
                <w:szCs w:val="24"/>
                <w14:ligatures w14:val="standardContextual"/>
              </w:rPr>
              <w:t xml:space="preserve"> n</w:t>
            </w:r>
            <w:r w:rsidR="009E0A59" w:rsidRPr="00AF228C">
              <w:rPr>
                <w:rFonts w:ascii="Garamond" w:eastAsia="Aptos" w:hAnsi="Garamond" w:cs="Times New Roman"/>
                <w:color w:val="000000"/>
                <w:kern w:val="2"/>
                <w:szCs w:val="24"/>
                <w14:ligatures w14:val="standardContextual"/>
              </w:rPr>
              <w:t>ë</w:t>
            </w:r>
            <w:r w:rsidRPr="00AF228C">
              <w:rPr>
                <w:rFonts w:ascii="Garamond" w:eastAsia="Aptos" w:hAnsi="Garamond" w:cs="Times New Roman"/>
                <w:color w:val="000000"/>
                <w:kern w:val="2"/>
                <w:szCs w:val="24"/>
                <w14:ligatures w14:val="standardContextual"/>
              </w:rPr>
              <w:t>nujshme, molusqeve apo kafsh</w:t>
            </w:r>
            <w:r w:rsidR="009E0A59" w:rsidRPr="00AF228C">
              <w:rPr>
                <w:rFonts w:ascii="Garamond" w:eastAsia="Aptos" w:hAnsi="Garamond" w:cs="Times New Roman"/>
                <w:color w:val="000000"/>
                <w:kern w:val="2"/>
                <w:szCs w:val="24"/>
                <w14:ligatures w14:val="standardContextual"/>
              </w:rPr>
              <w:t>ë</w:t>
            </w:r>
            <w:r w:rsidRPr="00AF228C">
              <w:rPr>
                <w:rFonts w:ascii="Garamond" w:eastAsia="Aptos" w:hAnsi="Garamond" w:cs="Times New Roman"/>
                <w:color w:val="000000"/>
                <w:kern w:val="2"/>
                <w:szCs w:val="24"/>
                <w14:ligatures w14:val="standardContextual"/>
              </w:rPr>
              <w:t>ve t</w:t>
            </w:r>
            <w:r w:rsidR="009E0A59" w:rsidRPr="00AF228C">
              <w:rPr>
                <w:rFonts w:ascii="Garamond" w:eastAsia="Aptos" w:hAnsi="Garamond" w:cs="Times New Roman"/>
                <w:color w:val="000000"/>
                <w:kern w:val="2"/>
                <w:szCs w:val="24"/>
                <w14:ligatures w14:val="standardContextual"/>
              </w:rPr>
              <w:t>ë</w:t>
            </w:r>
            <w:r w:rsidRPr="00AF228C">
              <w:rPr>
                <w:rFonts w:ascii="Garamond" w:eastAsia="Aptos" w:hAnsi="Garamond" w:cs="Times New Roman"/>
                <w:color w:val="000000"/>
                <w:kern w:val="2"/>
                <w:szCs w:val="24"/>
                <w14:ligatures w14:val="standardContextual"/>
              </w:rPr>
              <w:t xml:space="preserve"> tjera jovertebrore ujore; kafsh</w:t>
            </w:r>
            <w:r w:rsidR="009E0A59" w:rsidRPr="00AF228C">
              <w:rPr>
                <w:rFonts w:ascii="Garamond" w:eastAsia="Aptos" w:hAnsi="Garamond" w:cs="Times New Roman"/>
                <w:color w:val="000000"/>
                <w:kern w:val="2"/>
                <w:szCs w:val="24"/>
                <w14:ligatures w14:val="standardContextual"/>
              </w:rPr>
              <w:t>ë</w:t>
            </w:r>
            <w:r w:rsidRPr="00AF228C">
              <w:rPr>
                <w:rFonts w:ascii="Garamond" w:eastAsia="Aptos" w:hAnsi="Garamond" w:cs="Times New Roman"/>
                <w:color w:val="000000"/>
                <w:kern w:val="2"/>
                <w:szCs w:val="24"/>
                <w14:ligatures w14:val="standardContextual"/>
              </w:rPr>
              <w:t xml:space="preserve"> t</w:t>
            </w:r>
            <w:r w:rsidR="009E0A59" w:rsidRPr="00AF228C">
              <w:rPr>
                <w:rFonts w:ascii="Garamond" w:eastAsia="Aptos" w:hAnsi="Garamond" w:cs="Times New Roman"/>
                <w:color w:val="000000"/>
                <w:kern w:val="2"/>
                <w:szCs w:val="24"/>
                <w14:ligatures w14:val="standardContextual"/>
              </w:rPr>
              <w:t>ë</w:t>
            </w:r>
            <w:r w:rsidRPr="00AF228C">
              <w:rPr>
                <w:rFonts w:ascii="Garamond" w:eastAsia="Aptos" w:hAnsi="Garamond" w:cs="Times New Roman"/>
                <w:color w:val="000000"/>
                <w:kern w:val="2"/>
                <w:szCs w:val="24"/>
                <w14:ligatures w14:val="standardContextual"/>
              </w:rPr>
              <w:t xml:space="preserve"> ngordhura</w:t>
            </w:r>
            <w:r w:rsidR="004E2852" w:rsidRPr="00AF228C">
              <w:rPr>
                <w:rFonts w:ascii="Garamond" w:eastAsia="Aptos" w:hAnsi="Garamond" w:cs="Times New Roman"/>
                <w:color w:val="000000"/>
                <w:kern w:val="2"/>
                <w:szCs w:val="24"/>
                <w14:ligatures w14:val="standardContextual"/>
              </w:rPr>
              <w:t>, të</w:t>
            </w:r>
            <w:r w:rsidRPr="00AF228C">
              <w:rPr>
                <w:rFonts w:ascii="Garamond" w:eastAsia="Aptos" w:hAnsi="Garamond" w:cs="Times New Roman"/>
                <w:color w:val="000000"/>
                <w:kern w:val="2"/>
                <w:szCs w:val="24"/>
                <w14:ligatures w14:val="standardContextual"/>
              </w:rPr>
              <w:t xml:space="preserve"> </w:t>
            </w:r>
            <w:r w:rsidR="00323711" w:rsidRPr="00AF228C">
              <w:rPr>
                <w:rFonts w:ascii="Garamond" w:eastAsia="Aptos" w:hAnsi="Garamond" w:cs="Times New Roman"/>
                <w:color w:val="000000"/>
                <w:kern w:val="2"/>
                <w:szCs w:val="24"/>
                <w14:ligatures w14:val="standardContextual"/>
              </w:rPr>
              <w:t>k</w:t>
            </w:r>
            <w:r w:rsidR="00417231">
              <w:rPr>
                <w:rFonts w:ascii="Garamond" w:eastAsia="Aptos" w:hAnsi="Garamond" w:cs="Times New Roman"/>
                <w:color w:val="000000"/>
                <w:kern w:val="2"/>
                <w:szCs w:val="24"/>
                <w14:ligatures w14:val="standardContextual"/>
              </w:rPr>
              <w:t>apitullit 3;</w:t>
            </w:r>
          </w:p>
        </w:tc>
      </w:tr>
      <w:tr w:rsidR="00BD55A9" w:rsidRPr="00AF228C" w14:paraId="65A0C1A6" w14:textId="77777777" w:rsidTr="00FF0AB3">
        <w:tc>
          <w:tcPr>
            <w:tcW w:w="568"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67530E8"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p>
        </w:tc>
        <w:tc>
          <w:tcPr>
            <w:tcW w:w="662" w:type="pct"/>
            <w:tcBorders>
              <w:top w:val="single" w:sz="6" w:space="0" w:color="000000"/>
              <w:left w:val="single" w:sz="6" w:space="0" w:color="000000"/>
              <w:bottom w:val="single" w:sz="6" w:space="0" w:color="000000"/>
              <w:right w:val="single" w:sz="6" w:space="0" w:color="000000"/>
            </w:tcBorders>
            <w:shd w:val="clear" w:color="auto" w:fill="FFFFFF"/>
            <w:hideMark/>
          </w:tcPr>
          <w:p w14:paraId="58E1F1B9"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0511 91 10</w:t>
            </w:r>
          </w:p>
        </w:tc>
        <w:tc>
          <w:tcPr>
            <w:tcW w:w="3770" w:type="pct"/>
            <w:tcBorders>
              <w:top w:val="single" w:sz="6" w:space="0" w:color="000000"/>
              <w:left w:val="single" w:sz="6" w:space="0" w:color="000000"/>
              <w:bottom w:val="single" w:sz="6" w:space="0" w:color="000000"/>
              <w:right w:val="single" w:sz="6" w:space="0" w:color="000000"/>
            </w:tcBorders>
            <w:shd w:val="clear" w:color="auto" w:fill="FFFFFF"/>
            <w:hideMark/>
          </w:tcPr>
          <w:p w14:paraId="6F031DF2" w14:textId="3D8A6024" w:rsidR="00BD55A9" w:rsidRPr="00AF228C" w:rsidRDefault="00BD55A9" w:rsidP="00417231">
            <w:pPr>
              <w:spacing w:after="0" w:line="240" w:lineRule="auto"/>
              <w:jc w:val="both"/>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Mbetje peshku</w:t>
            </w:r>
            <w:r w:rsidR="00417231">
              <w:rPr>
                <w:rFonts w:ascii="Garamond" w:eastAsia="Aptos" w:hAnsi="Garamond" w:cs="Times New Roman"/>
                <w:kern w:val="2"/>
                <w:szCs w:val="24"/>
                <w14:ligatures w14:val="standardContextual"/>
              </w:rPr>
              <w:t>;</w:t>
            </w:r>
          </w:p>
        </w:tc>
      </w:tr>
      <w:tr w:rsidR="00BD55A9" w:rsidRPr="00AF228C" w14:paraId="5E5ABF23" w14:textId="77777777" w:rsidTr="00FF0AB3">
        <w:tc>
          <w:tcPr>
            <w:tcW w:w="568"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6331FD81"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p>
        </w:tc>
        <w:tc>
          <w:tcPr>
            <w:tcW w:w="662" w:type="pct"/>
            <w:tcBorders>
              <w:top w:val="single" w:sz="6" w:space="0" w:color="000000"/>
              <w:left w:val="single" w:sz="6" w:space="0" w:color="000000"/>
              <w:bottom w:val="single" w:sz="6" w:space="0" w:color="000000"/>
              <w:right w:val="single" w:sz="6" w:space="0" w:color="000000"/>
            </w:tcBorders>
            <w:shd w:val="clear" w:color="auto" w:fill="FFFFFF"/>
            <w:hideMark/>
          </w:tcPr>
          <w:p w14:paraId="0FD735E7"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0511 91 90</w:t>
            </w:r>
          </w:p>
        </w:tc>
        <w:tc>
          <w:tcPr>
            <w:tcW w:w="3770" w:type="pct"/>
            <w:tcBorders>
              <w:top w:val="single" w:sz="6" w:space="0" w:color="000000"/>
              <w:left w:val="single" w:sz="6" w:space="0" w:color="000000"/>
              <w:bottom w:val="single" w:sz="6" w:space="0" w:color="000000"/>
              <w:right w:val="single" w:sz="6" w:space="0" w:color="000000"/>
            </w:tcBorders>
            <w:shd w:val="clear" w:color="auto" w:fill="FFFFFF"/>
            <w:hideMark/>
          </w:tcPr>
          <w:p w14:paraId="4E3B91F2" w14:textId="00971BC6" w:rsidR="00BD55A9" w:rsidRPr="00AF228C" w:rsidRDefault="00BD55A9" w:rsidP="00417231">
            <w:pPr>
              <w:spacing w:after="0" w:line="240" w:lineRule="auto"/>
              <w:jc w:val="both"/>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tjera</w:t>
            </w:r>
            <w:r w:rsidR="00417231">
              <w:rPr>
                <w:rFonts w:ascii="Garamond" w:eastAsia="Aptos" w:hAnsi="Garamond" w:cs="Times New Roman"/>
                <w:kern w:val="2"/>
                <w:szCs w:val="24"/>
                <w14:ligatures w14:val="standardContextual"/>
              </w:rPr>
              <w:t>;</w:t>
            </w:r>
          </w:p>
        </w:tc>
      </w:tr>
      <w:tr w:rsidR="00BD55A9" w:rsidRPr="00AF228C" w14:paraId="7D451711" w14:textId="77777777" w:rsidTr="00FF0AB3">
        <w:tc>
          <w:tcPr>
            <w:tcW w:w="568" w:type="pct"/>
            <w:tcBorders>
              <w:top w:val="single" w:sz="6" w:space="0" w:color="000000"/>
              <w:left w:val="single" w:sz="6" w:space="0" w:color="000000"/>
              <w:bottom w:val="single" w:sz="6" w:space="0" w:color="000000"/>
              <w:right w:val="single" w:sz="6" w:space="0" w:color="000000"/>
            </w:tcBorders>
            <w:shd w:val="clear" w:color="auto" w:fill="FFFFFF"/>
            <w:hideMark/>
          </w:tcPr>
          <w:p w14:paraId="5A6393D4" w14:textId="666581D6"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e)</w:t>
            </w:r>
          </w:p>
        </w:tc>
        <w:tc>
          <w:tcPr>
            <w:tcW w:w="662" w:type="pct"/>
            <w:tcBorders>
              <w:top w:val="single" w:sz="6" w:space="0" w:color="000000"/>
              <w:left w:val="single" w:sz="6" w:space="0" w:color="000000"/>
              <w:bottom w:val="single" w:sz="6" w:space="0" w:color="000000"/>
              <w:right w:val="single" w:sz="6" w:space="0" w:color="000000"/>
            </w:tcBorders>
            <w:shd w:val="clear" w:color="auto" w:fill="FFFFFF"/>
            <w:hideMark/>
          </w:tcPr>
          <w:p w14:paraId="392B1E5B"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1212 </w:t>
            </w:r>
          </w:p>
        </w:tc>
        <w:tc>
          <w:tcPr>
            <w:tcW w:w="3770" w:type="pct"/>
            <w:tcBorders>
              <w:top w:val="single" w:sz="6" w:space="0" w:color="000000"/>
              <w:left w:val="single" w:sz="6" w:space="0" w:color="000000"/>
              <w:bottom w:val="single" w:sz="6" w:space="0" w:color="000000"/>
              <w:right w:val="single" w:sz="6" w:space="0" w:color="000000"/>
            </w:tcBorders>
            <w:shd w:val="clear" w:color="auto" w:fill="FFFFFF"/>
            <w:hideMark/>
          </w:tcPr>
          <w:p w14:paraId="463869F1" w14:textId="4011347A" w:rsidR="00BD55A9" w:rsidRPr="00AF228C" w:rsidRDefault="00BD55A9" w:rsidP="00417231">
            <w:pPr>
              <w:spacing w:after="0" w:line="240" w:lineRule="auto"/>
              <w:jc w:val="both"/>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Leshterik</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t dhe alga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tjera</w:t>
            </w:r>
            <w:r w:rsidR="00417231">
              <w:rPr>
                <w:rFonts w:ascii="Garamond" w:eastAsia="Aptos" w:hAnsi="Garamond" w:cs="Times New Roman"/>
                <w:kern w:val="2"/>
                <w:szCs w:val="24"/>
                <w14:ligatures w14:val="standardContextual"/>
              </w:rPr>
              <w:t>;</w:t>
            </w:r>
          </w:p>
        </w:tc>
      </w:tr>
      <w:tr w:rsidR="00BD55A9" w:rsidRPr="00AF228C" w14:paraId="6A576707" w14:textId="77777777" w:rsidTr="00FF0AB3">
        <w:tc>
          <w:tcPr>
            <w:tcW w:w="568"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E92E32E" w14:textId="3E1458F6"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f)</w:t>
            </w:r>
          </w:p>
        </w:tc>
        <w:tc>
          <w:tcPr>
            <w:tcW w:w="662" w:type="pct"/>
            <w:tcBorders>
              <w:top w:val="single" w:sz="6" w:space="0" w:color="000000"/>
              <w:left w:val="single" w:sz="6" w:space="0" w:color="000000"/>
              <w:bottom w:val="single" w:sz="6" w:space="0" w:color="000000"/>
              <w:right w:val="single" w:sz="6" w:space="0" w:color="000000"/>
            </w:tcBorders>
            <w:shd w:val="clear" w:color="auto" w:fill="FFFFFF"/>
            <w:hideMark/>
          </w:tcPr>
          <w:p w14:paraId="44224D3A"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 1504</w:t>
            </w:r>
          </w:p>
        </w:tc>
        <w:tc>
          <w:tcPr>
            <w:tcW w:w="3770" w:type="pct"/>
            <w:tcBorders>
              <w:top w:val="single" w:sz="6" w:space="0" w:color="000000"/>
              <w:left w:val="single" w:sz="6" w:space="0" w:color="000000"/>
              <w:bottom w:val="single" w:sz="6" w:space="0" w:color="000000"/>
              <w:right w:val="single" w:sz="6" w:space="0" w:color="000000"/>
            </w:tcBorders>
            <w:shd w:val="clear" w:color="auto" w:fill="FFFFFF"/>
            <w:hideMark/>
          </w:tcPr>
          <w:p w14:paraId="72F98B06" w14:textId="0D77E796" w:rsidR="00BD55A9" w:rsidRPr="00AF228C" w:rsidRDefault="00417231" w:rsidP="00417231">
            <w:pPr>
              <w:spacing w:after="0" w:line="240" w:lineRule="auto"/>
              <w:jc w:val="both"/>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Dhjamëra</w:t>
            </w:r>
            <w:r w:rsidR="00BD55A9" w:rsidRPr="00AF228C">
              <w:rPr>
                <w:rFonts w:ascii="Garamond" w:eastAsia="Aptos" w:hAnsi="Garamond" w:cs="Times New Roman"/>
                <w:kern w:val="2"/>
                <w:szCs w:val="24"/>
                <w14:ligatures w14:val="standardContextual"/>
              </w:rPr>
              <w:t xml:space="preserve"> dhe vajra</w:t>
            </w:r>
            <w:r>
              <w:rPr>
                <w:rFonts w:ascii="Garamond" w:eastAsia="Aptos" w:hAnsi="Garamond" w:cs="Times New Roman"/>
                <w:kern w:val="2"/>
                <w:szCs w:val="24"/>
                <w14:ligatures w14:val="standardContextual"/>
              </w:rPr>
              <w:t>,</w:t>
            </w:r>
            <w:r w:rsidR="00BD55A9" w:rsidRPr="00AF228C">
              <w:rPr>
                <w:rFonts w:ascii="Garamond" w:eastAsia="Aptos" w:hAnsi="Garamond" w:cs="Times New Roman"/>
                <w:kern w:val="2"/>
                <w:szCs w:val="24"/>
                <w14:ligatures w14:val="standardContextual"/>
              </w:rPr>
              <w:t xml:space="preserve"> dhe fraksionet e tyre, t</w:t>
            </w:r>
            <w:r w:rsidR="009E0A59" w:rsidRPr="00AF228C">
              <w:rPr>
                <w:rFonts w:ascii="Garamond" w:eastAsia="Aptos" w:hAnsi="Garamond" w:cs="Times New Roman"/>
                <w:kern w:val="2"/>
                <w:szCs w:val="24"/>
                <w14:ligatures w14:val="standardContextual"/>
              </w:rPr>
              <w:t>ë</w:t>
            </w:r>
            <w:r w:rsidR="00BD55A9" w:rsidRPr="00AF228C">
              <w:rPr>
                <w:rFonts w:ascii="Garamond" w:eastAsia="Aptos" w:hAnsi="Garamond" w:cs="Times New Roman"/>
                <w:kern w:val="2"/>
                <w:szCs w:val="24"/>
                <w14:ligatures w14:val="standardContextual"/>
              </w:rPr>
              <w:t xml:space="preserve"> peshkut apo t</w:t>
            </w:r>
            <w:r w:rsidR="009E0A59" w:rsidRPr="00AF228C">
              <w:rPr>
                <w:rFonts w:ascii="Garamond" w:eastAsia="Aptos" w:hAnsi="Garamond" w:cs="Times New Roman"/>
                <w:kern w:val="2"/>
                <w:szCs w:val="24"/>
                <w14:ligatures w14:val="standardContextual"/>
              </w:rPr>
              <w:t>ë</w:t>
            </w:r>
            <w:r w:rsidR="00BD55A9" w:rsidRPr="00AF228C">
              <w:rPr>
                <w:rFonts w:ascii="Garamond" w:eastAsia="Aptos" w:hAnsi="Garamond" w:cs="Times New Roman"/>
                <w:kern w:val="2"/>
                <w:szCs w:val="24"/>
                <w14:ligatures w14:val="standardContextual"/>
              </w:rPr>
              <w:t xml:space="preserve"> gjitar</w:t>
            </w:r>
            <w:r w:rsidR="009E0A59" w:rsidRPr="00AF228C">
              <w:rPr>
                <w:rFonts w:ascii="Garamond" w:eastAsia="Aptos" w:hAnsi="Garamond" w:cs="Times New Roman"/>
                <w:kern w:val="2"/>
                <w:szCs w:val="24"/>
                <w14:ligatures w14:val="standardContextual"/>
              </w:rPr>
              <w:t>ë</w:t>
            </w:r>
            <w:r w:rsidR="00BD55A9" w:rsidRPr="00AF228C">
              <w:rPr>
                <w:rFonts w:ascii="Garamond" w:eastAsia="Aptos" w:hAnsi="Garamond" w:cs="Times New Roman"/>
                <w:kern w:val="2"/>
                <w:szCs w:val="24"/>
                <w14:ligatures w14:val="standardContextual"/>
              </w:rPr>
              <w:t>ve detar</w:t>
            </w:r>
            <w:r w:rsidR="009E0A59" w:rsidRPr="00AF228C">
              <w:rPr>
                <w:rFonts w:ascii="Garamond" w:eastAsia="Aptos" w:hAnsi="Garamond" w:cs="Times New Roman"/>
                <w:kern w:val="2"/>
                <w:szCs w:val="24"/>
                <w14:ligatures w14:val="standardContextual"/>
              </w:rPr>
              <w:t>ë</w:t>
            </w:r>
            <w:r w:rsidR="00BD55A9" w:rsidRPr="00AF228C">
              <w:rPr>
                <w:rFonts w:ascii="Garamond" w:eastAsia="Aptos" w:hAnsi="Garamond" w:cs="Times New Roman"/>
                <w:kern w:val="2"/>
                <w:szCs w:val="24"/>
                <w14:ligatures w14:val="standardContextual"/>
              </w:rPr>
              <w:t>, n</w:t>
            </w:r>
            <w:r w:rsidR="009E0A59" w:rsidRPr="00AF228C">
              <w:rPr>
                <w:rFonts w:ascii="Garamond" w:eastAsia="Aptos" w:hAnsi="Garamond" w:cs="Times New Roman"/>
                <w:kern w:val="2"/>
                <w:szCs w:val="24"/>
                <w14:ligatures w14:val="standardContextual"/>
              </w:rPr>
              <w:t>ë</w:t>
            </w:r>
            <w:r w:rsidR="00BD55A9" w:rsidRPr="00AF228C">
              <w:rPr>
                <w:rFonts w:ascii="Garamond" w:eastAsia="Aptos" w:hAnsi="Garamond" w:cs="Times New Roman"/>
                <w:kern w:val="2"/>
                <w:szCs w:val="24"/>
                <w14:ligatures w14:val="standardContextual"/>
              </w:rPr>
              <w:t>se jan</w:t>
            </w:r>
            <w:r w:rsidR="009E0A59" w:rsidRPr="00AF228C">
              <w:rPr>
                <w:rFonts w:ascii="Garamond" w:eastAsia="Aptos" w:hAnsi="Garamond" w:cs="Times New Roman"/>
                <w:kern w:val="2"/>
                <w:szCs w:val="24"/>
                <w14:ligatures w14:val="standardContextual"/>
              </w:rPr>
              <w:t>ë</w:t>
            </w:r>
            <w:r w:rsidR="00BD55A9" w:rsidRPr="00AF228C">
              <w:rPr>
                <w:rFonts w:ascii="Garamond" w:eastAsia="Aptos" w:hAnsi="Garamond" w:cs="Times New Roman"/>
                <w:kern w:val="2"/>
                <w:szCs w:val="24"/>
                <w14:ligatures w14:val="standardContextual"/>
              </w:rPr>
              <w:t xml:space="preserve"> apo jo t</w:t>
            </w:r>
            <w:r w:rsidR="009E0A59" w:rsidRPr="00AF228C">
              <w:rPr>
                <w:rFonts w:ascii="Garamond" w:eastAsia="Aptos" w:hAnsi="Garamond" w:cs="Times New Roman"/>
                <w:kern w:val="2"/>
                <w:szCs w:val="24"/>
                <w14:ligatures w14:val="standardContextual"/>
              </w:rPr>
              <w:t>ë</w:t>
            </w:r>
            <w:r w:rsidR="00BD55A9" w:rsidRPr="00AF228C">
              <w:rPr>
                <w:rFonts w:ascii="Garamond" w:eastAsia="Aptos" w:hAnsi="Garamond" w:cs="Times New Roman"/>
                <w:kern w:val="2"/>
                <w:szCs w:val="24"/>
                <w14:ligatures w14:val="standardContextual"/>
              </w:rPr>
              <w:t xml:space="preserve"> rafinuara, por jo t</w:t>
            </w:r>
            <w:r w:rsidR="009E0A59" w:rsidRPr="00AF228C">
              <w:rPr>
                <w:rFonts w:ascii="Garamond" w:eastAsia="Aptos" w:hAnsi="Garamond" w:cs="Times New Roman"/>
                <w:kern w:val="2"/>
                <w:szCs w:val="24"/>
                <w14:ligatures w14:val="standardContextual"/>
              </w:rPr>
              <w:t>ë</w:t>
            </w:r>
            <w:r w:rsidR="00D25767">
              <w:rPr>
                <w:rFonts w:ascii="Garamond" w:eastAsia="Aptos" w:hAnsi="Garamond" w:cs="Times New Roman"/>
                <w:kern w:val="2"/>
                <w:szCs w:val="24"/>
                <w14:ligatures w14:val="standardContextual"/>
              </w:rPr>
              <w:t xml:space="preserve"> modifikuara kimikisht;</w:t>
            </w:r>
          </w:p>
        </w:tc>
      </w:tr>
      <w:tr w:rsidR="00BD55A9" w:rsidRPr="00AF228C" w14:paraId="3DD75407" w14:textId="77777777" w:rsidTr="00FF0AB3">
        <w:tc>
          <w:tcPr>
            <w:tcW w:w="568"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36186F81"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p>
        </w:tc>
        <w:tc>
          <w:tcPr>
            <w:tcW w:w="662" w:type="pct"/>
            <w:tcBorders>
              <w:top w:val="single" w:sz="6" w:space="0" w:color="000000"/>
              <w:left w:val="single" w:sz="6" w:space="0" w:color="000000"/>
              <w:bottom w:val="single" w:sz="6" w:space="0" w:color="000000"/>
              <w:right w:val="single" w:sz="6" w:space="0" w:color="000000"/>
            </w:tcBorders>
            <w:shd w:val="clear" w:color="auto" w:fill="FFFFFF"/>
            <w:hideMark/>
          </w:tcPr>
          <w:p w14:paraId="627A7A48"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1504 10</w:t>
            </w:r>
          </w:p>
        </w:tc>
        <w:tc>
          <w:tcPr>
            <w:tcW w:w="3770" w:type="pct"/>
            <w:tcBorders>
              <w:top w:val="single" w:sz="6" w:space="0" w:color="000000"/>
              <w:left w:val="single" w:sz="6" w:space="0" w:color="000000"/>
              <w:bottom w:val="single" w:sz="6" w:space="0" w:color="000000"/>
              <w:right w:val="single" w:sz="6" w:space="0" w:color="000000"/>
            </w:tcBorders>
            <w:shd w:val="clear" w:color="auto" w:fill="FFFFFF"/>
            <w:hideMark/>
          </w:tcPr>
          <w:p w14:paraId="0FB214DE" w14:textId="4FB23E7A" w:rsidR="00BD55A9" w:rsidRPr="00AF228C" w:rsidRDefault="00BD55A9" w:rsidP="00417231">
            <w:pPr>
              <w:spacing w:after="0" w:line="240" w:lineRule="auto"/>
              <w:jc w:val="both"/>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Vajra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m</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l</w:t>
            </w:r>
            <w:r w:rsidR="009E0A59" w:rsidRPr="00AF228C">
              <w:rPr>
                <w:rFonts w:ascii="Garamond" w:eastAsia="Aptos" w:hAnsi="Garamond"/>
                <w:kern w:val="2"/>
                <w:szCs w:val="24"/>
                <w14:ligatures w14:val="standardContextual"/>
              </w:rPr>
              <w:t>ç</w:t>
            </w:r>
            <w:r w:rsidRPr="00AF228C">
              <w:rPr>
                <w:rFonts w:ascii="Garamond" w:eastAsia="Aptos" w:hAnsi="Garamond" w:cs="Times New Roman"/>
                <w:kern w:val="2"/>
                <w:szCs w:val="24"/>
                <w14:ligatures w14:val="standardContextual"/>
              </w:rPr>
              <w:t>ive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peshkut dhe fra</w:t>
            </w:r>
            <w:r w:rsidR="00D25767">
              <w:rPr>
                <w:rFonts w:ascii="Garamond" w:eastAsia="Aptos" w:hAnsi="Garamond" w:cs="Times New Roman"/>
                <w:kern w:val="2"/>
                <w:szCs w:val="24"/>
                <w14:ligatures w14:val="standardContextual"/>
              </w:rPr>
              <w:t>ksionet e tyre;</w:t>
            </w:r>
          </w:p>
        </w:tc>
      </w:tr>
      <w:tr w:rsidR="00BD55A9" w:rsidRPr="00AF228C" w14:paraId="0CA9A389" w14:textId="77777777" w:rsidTr="00FF0AB3">
        <w:tc>
          <w:tcPr>
            <w:tcW w:w="568"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08BF600C"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p>
        </w:tc>
        <w:tc>
          <w:tcPr>
            <w:tcW w:w="662" w:type="pct"/>
            <w:tcBorders>
              <w:top w:val="single" w:sz="6" w:space="0" w:color="000000"/>
              <w:left w:val="single" w:sz="6" w:space="0" w:color="000000"/>
              <w:bottom w:val="single" w:sz="6" w:space="0" w:color="000000"/>
              <w:right w:val="single" w:sz="6" w:space="0" w:color="000000"/>
            </w:tcBorders>
            <w:shd w:val="clear" w:color="auto" w:fill="FFFFFF"/>
            <w:hideMark/>
          </w:tcPr>
          <w:p w14:paraId="30D4551F"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1504 20</w:t>
            </w:r>
          </w:p>
        </w:tc>
        <w:tc>
          <w:tcPr>
            <w:tcW w:w="3770" w:type="pct"/>
            <w:tcBorders>
              <w:top w:val="single" w:sz="6" w:space="0" w:color="000000"/>
              <w:left w:val="single" w:sz="6" w:space="0" w:color="000000"/>
              <w:bottom w:val="single" w:sz="6" w:space="0" w:color="000000"/>
              <w:right w:val="single" w:sz="6" w:space="0" w:color="000000"/>
            </w:tcBorders>
            <w:shd w:val="clear" w:color="auto" w:fill="FFFFFF"/>
            <w:hideMark/>
          </w:tcPr>
          <w:p w14:paraId="5CD258E8" w14:textId="1A50390F" w:rsidR="00BD55A9" w:rsidRPr="00AF228C" w:rsidRDefault="00BD55A9" w:rsidP="00417231">
            <w:pPr>
              <w:spacing w:after="0" w:line="240" w:lineRule="auto"/>
              <w:jc w:val="both"/>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 xml:space="preserve">Vajrat dhe </w:t>
            </w:r>
            <w:r w:rsidR="00417231" w:rsidRPr="00AF228C">
              <w:rPr>
                <w:rFonts w:ascii="Garamond" w:eastAsia="Aptos" w:hAnsi="Garamond" w:cs="Times New Roman"/>
                <w:kern w:val="2"/>
                <w:szCs w:val="24"/>
                <w14:ligatures w14:val="standardContextual"/>
              </w:rPr>
              <w:t>dhjamërat</w:t>
            </w:r>
            <w:r w:rsidRPr="00AF228C">
              <w:rPr>
                <w:rFonts w:ascii="Garamond" w:eastAsia="Aptos" w:hAnsi="Garamond" w:cs="Times New Roman"/>
                <w:kern w:val="2"/>
                <w:szCs w:val="24"/>
                <w14:ligatures w14:val="standardContextual"/>
              </w:rPr>
              <w:t xml:space="preserve"> dhe fraksionet e</w:t>
            </w:r>
            <w:r w:rsidR="009E0A59" w:rsidRPr="00AF228C">
              <w:rPr>
                <w:rFonts w:ascii="Garamond" w:eastAsia="Aptos" w:hAnsi="Garamond" w:cs="Times New Roman"/>
                <w:kern w:val="2"/>
                <w:szCs w:val="24"/>
                <w14:ligatures w14:val="standardContextual"/>
              </w:rPr>
              <w:t xml:space="preserve"> </w:t>
            </w:r>
            <w:r w:rsidRPr="00AF228C">
              <w:rPr>
                <w:rFonts w:ascii="Garamond" w:eastAsia="Aptos" w:hAnsi="Garamond" w:cs="Times New Roman"/>
                <w:kern w:val="2"/>
                <w:szCs w:val="24"/>
                <w14:ligatures w14:val="standardContextual"/>
              </w:rPr>
              <w:t>tyre,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peshkut, ndryshe nga vajrat e m</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l</w:t>
            </w:r>
            <w:r w:rsidR="009E0A59" w:rsidRPr="00AF228C">
              <w:rPr>
                <w:rFonts w:ascii="Garamond" w:eastAsia="Aptos" w:hAnsi="Garamond" w:cs="Times New Roman"/>
                <w:kern w:val="2"/>
                <w:szCs w:val="24"/>
                <w14:ligatures w14:val="standardContextual"/>
              </w:rPr>
              <w:t>ç</w:t>
            </w:r>
            <w:r w:rsidR="00417231">
              <w:rPr>
                <w:rFonts w:ascii="Garamond" w:eastAsia="Aptos" w:hAnsi="Garamond" w:cs="Times New Roman"/>
                <w:kern w:val="2"/>
                <w:szCs w:val="24"/>
                <w14:ligatures w14:val="standardContextual"/>
              </w:rPr>
              <w:t>ive;</w:t>
            </w:r>
          </w:p>
        </w:tc>
      </w:tr>
      <w:tr w:rsidR="00BD55A9" w:rsidRPr="00AF228C" w14:paraId="1004EE0F" w14:textId="77777777" w:rsidTr="00FF0AB3">
        <w:tc>
          <w:tcPr>
            <w:tcW w:w="568" w:type="pct"/>
            <w:tcBorders>
              <w:top w:val="single" w:sz="6" w:space="0" w:color="000000"/>
              <w:left w:val="single" w:sz="6" w:space="0" w:color="000000"/>
              <w:bottom w:val="single" w:sz="6" w:space="0" w:color="000000"/>
              <w:right w:val="single" w:sz="6" w:space="0" w:color="000000"/>
            </w:tcBorders>
            <w:shd w:val="clear" w:color="auto" w:fill="FFFFFF"/>
            <w:hideMark/>
          </w:tcPr>
          <w:p w14:paraId="62F37DC8" w14:textId="4A2DBFAE"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g)</w:t>
            </w:r>
          </w:p>
        </w:tc>
        <w:tc>
          <w:tcPr>
            <w:tcW w:w="662" w:type="pct"/>
            <w:tcBorders>
              <w:top w:val="single" w:sz="6" w:space="0" w:color="000000"/>
              <w:left w:val="single" w:sz="6" w:space="0" w:color="000000"/>
              <w:bottom w:val="single" w:sz="6" w:space="0" w:color="000000"/>
              <w:right w:val="single" w:sz="6" w:space="0" w:color="000000"/>
            </w:tcBorders>
            <w:shd w:val="clear" w:color="auto" w:fill="FFFFFF"/>
            <w:hideMark/>
          </w:tcPr>
          <w:p w14:paraId="322D58A5"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1603 00</w:t>
            </w:r>
          </w:p>
        </w:tc>
        <w:tc>
          <w:tcPr>
            <w:tcW w:w="3770" w:type="pct"/>
            <w:tcBorders>
              <w:top w:val="single" w:sz="6" w:space="0" w:color="000000"/>
              <w:left w:val="single" w:sz="6" w:space="0" w:color="000000"/>
              <w:bottom w:val="single" w:sz="6" w:space="0" w:color="000000"/>
              <w:right w:val="single" w:sz="6" w:space="0" w:color="000000"/>
            </w:tcBorders>
            <w:shd w:val="clear" w:color="auto" w:fill="FFFFFF"/>
            <w:hideMark/>
          </w:tcPr>
          <w:p w14:paraId="10AE7681" w14:textId="209F3D2B" w:rsidR="00BD55A9" w:rsidRPr="00AF228C" w:rsidRDefault="00BD55A9" w:rsidP="00417231">
            <w:pPr>
              <w:spacing w:after="0" w:line="240" w:lineRule="auto"/>
              <w:jc w:val="both"/>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Ekstraktet dhe l</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ngjet e mishit, peshkut apo krustaceve, molusqeve apo kafsh</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ve t</w:t>
            </w:r>
            <w:r w:rsidR="009E0A59" w:rsidRPr="00AF228C">
              <w:rPr>
                <w:rFonts w:ascii="Garamond" w:eastAsia="Aptos" w:hAnsi="Garamond" w:cs="Times New Roman"/>
                <w:kern w:val="2"/>
                <w:szCs w:val="24"/>
                <w14:ligatures w14:val="standardContextual"/>
              </w:rPr>
              <w:t>ë</w:t>
            </w:r>
            <w:r w:rsidR="00417231">
              <w:rPr>
                <w:rFonts w:ascii="Garamond" w:eastAsia="Aptos" w:hAnsi="Garamond" w:cs="Times New Roman"/>
                <w:kern w:val="2"/>
                <w:szCs w:val="24"/>
                <w14:ligatures w14:val="standardContextual"/>
              </w:rPr>
              <w:t xml:space="preserve"> tjera jovertebrore ujore;</w:t>
            </w:r>
          </w:p>
        </w:tc>
      </w:tr>
      <w:tr w:rsidR="00BD55A9" w:rsidRPr="00AF228C" w14:paraId="761803CE" w14:textId="77777777" w:rsidTr="00FF0AB3">
        <w:tc>
          <w:tcPr>
            <w:tcW w:w="568" w:type="pct"/>
            <w:tcBorders>
              <w:top w:val="single" w:sz="6" w:space="0" w:color="000000"/>
              <w:left w:val="single" w:sz="6" w:space="0" w:color="000000"/>
              <w:bottom w:val="single" w:sz="6" w:space="0" w:color="000000"/>
              <w:right w:val="single" w:sz="6" w:space="0" w:color="000000"/>
            </w:tcBorders>
            <w:shd w:val="clear" w:color="auto" w:fill="FFFFFF"/>
            <w:hideMark/>
          </w:tcPr>
          <w:p w14:paraId="282D7BF5" w14:textId="473FF283"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h)</w:t>
            </w:r>
          </w:p>
        </w:tc>
        <w:tc>
          <w:tcPr>
            <w:tcW w:w="662" w:type="pct"/>
            <w:tcBorders>
              <w:top w:val="single" w:sz="6" w:space="0" w:color="000000"/>
              <w:left w:val="single" w:sz="6" w:space="0" w:color="000000"/>
              <w:bottom w:val="single" w:sz="6" w:space="0" w:color="000000"/>
              <w:right w:val="single" w:sz="6" w:space="0" w:color="000000"/>
            </w:tcBorders>
            <w:shd w:val="clear" w:color="auto" w:fill="FFFFFF"/>
            <w:hideMark/>
          </w:tcPr>
          <w:p w14:paraId="73F93CEB"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1604</w:t>
            </w:r>
          </w:p>
        </w:tc>
        <w:tc>
          <w:tcPr>
            <w:tcW w:w="3770" w:type="pct"/>
            <w:tcBorders>
              <w:top w:val="single" w:sz="6" w:space="0" w:color="000000"/>
              <w:left w:val="single" w:sz="6" w:space="0" w:color="000000"/>
              <w:bottom w:val="single" w:sz="6" w:space="0" w:color="000000"/>
              <w:right w:val="single" w:sz="6" w:space="0" w:color="000000"/>
            </w:tcBorders>
            <w:shd w:val="clear" w:color="auto" w:fill="FFFFFF"/>
            <w:hideMark/>
          </w:tcPr>
          <w:p w14:paraId="3BA2F82F" w14:textId="3A4539CD" w:rsidR="00BD55A9" w:rsidRPr="00AF228C" w:rsidRDefault="00BD55A9" w:rsidP="00417231">
            <w:pPr>
              <w:spacing w:after="0" w:line="240" w:lineRule="auto"/>
              <w:jc w:val="both"/>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Peshk i p</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rgatitur apo i konservuar; havjar dhe z</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vend</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suesit e havjarit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p</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rgatitur prej vez</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ve t</w:t>
            </w:r>
            <w:r w:rsidR="009E0A59" w:rsidRPr="00AF228C">
              <w:rPr>
                <w:rFonts w:ascii="Garamond" w:eastAsia="Aptos" w:hAnsi="Garamond" w:cs="Times New Roman"/>
                <w:kern w:val="2"/>
                <w:szCs w:val="24"/>
                <w14:ligatures w14:val="standardContextual"/>
              </w:rPr>
              <w:t>ë</w:t>
            </w:r>
            <w:r w:rsidR="00417231">
              <w:rPr>
                <w:rFonts w:ascii="Garamond" w:eastAsia="Aptos" w:hAnsi="Garamond" w:cs="Times New Roman"/>
                <w:kern w:val="2"/>
                <w:szCs w:val="24"/>
                <w14:ligatures w14:val="standardContextual"/>
              </w:rPr>
              <w:t xml:space="preserve"> peshkut;</w:t>
            </w:r>
          </w:p>
        </w:tc>
      </w:tr>
      <w:tr w:rsidR="00BD55A9" w:rsidRPr="00AF228C" w14:paraId="71462977" w14:textId="77777777" w:rsidTr="00FF0AB3">
        <w:tc>
          <w:tcPr>
            <w:tcW w:w="568" w:type="pct"/>
            <w:tcBorders>
              <w:top w:val="single" w:sz="6" w:space="0" w:color="000000"/>
              <w:left w:val="single" w:sz="6" w:space="0" w:color="000000"/>
              <w:bottom w:val="single" w:sz="6" w:space="0" w:color="000000"/>
              <w:right w:val="single" w:sz="6" w:space="0" w:color="000000"/>
            </w:tcBorders>
            <w:shd w:val="clear" w:color="auto" w:fill="FFFFFF"/>
            <w:hideMark/>
          </w:tcPr>
          <w:p w14:paraId="1256E2C9" w14:textId="7C2508FA"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i)</w:t>
            </w:r>
          </w:p>
        </w:tc>
        <w:tc>
          <w:tcPr>
            <w:tcW w:w="662" w:type="pct"/>
            <w:tcBorders>
              <w:top w:val="single" w:sz="6" w:space="0" w:color="000000"/>
              <w:left w:val="single" w:sz="6" w:space="0" w:color="000000"/>
              <w:bottom w:val="single" w:sz="6" w:space="0" w:color="000000"/>
              <w:right w:val="single" w:sz="6" w:space="0" w:color="000000"/>
            </w:tcBorders>
            <w:shd w:val="clear" w:color="auto" w:fill="FFFFFF"/>
            <w:hideMark/>
          </w:tcPr>
          <w:p w14:paraId="2A46F0B1"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1605</w:t>
            </w:r>
          </w:p>
        </w:tc>
        <w:tc>
          <w:tcPr>
            <w:tcW w:w="3770" w:type="pct"/>
            <w:tcBorders>
              <w:top w:val="single" w:sz="6" w:space="0" w:color="000000"/>
              <w:left w:val="single" w:sz="6" w:space="0" w:color="000000"/>
              <w:bottom w:val="single" w:sz="6" w:space="0" w:color="000000"/>
              <w:right w:val="single" w:sz="6" w:space="0" w:color="000000"/>
            </w:tcBorders>
            <w:shd w:val="clear" w:color="auto" w:fill="FFFFFF"/>
            <w:hideMark/>
          </w:tcPr>
          <w:p w14:paraId="7E8C8E90" w14:textId="44594778" w:rsidR="00BD55A9" w:rsidRPr="00AF228C" w:rsidRDefault="00BD55A9" w:rsidP="00417231">
            <w:pPr>
              <w:spacing w:after="0" w:line="240" w:lineRule="auto"/>
              <w:jc w:val="both"/>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Krustacet, molusqet dhe kafsh</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tjera jovertebrore ujore,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p</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rgatitur apo t</w:t>
            </w:r>
            <w:r w:rsidR="009E0A59" w:rsidRPr="00AF228C">
              <w:rPr>
                <w:rFonts w:ascii="Garamond" w:eastAsia="Aptos" w:hAnsi="Garamond" w:cs="Times New Roman"/>
                <w:kern w:val="2"/>
                <w:szCs w:val="24"/>
                <w14:ligatures w14:val="standardContextual"/>
              </w:rPr>
              <w:t>ë</w:t>
            </w:r>
            <w:r w:rsidR="00D25767">
              <w:rPr>
                <w:rFonts w:ascii="Garamond" w:eastAsia="Aptos" w:hAnsi="Garamond" w:cs="Times New Roman"/>
                <w:kern w:val="2"/>
                <w:szCs w:val="24"/>
                <w14:ligatures w14:val="standardContextual"/>
              </w:rPr>
              <w:t xml:space="preserve"> konservuar;</w:t>
            </w:r>
          </w:p>
        </w:tc>
      </w:tr>
      <w:tr w:rsidR="00BD55A9" w:rsidRPr="00AF228C" w14:paraId="4097C017" w14:textId="77777777" w:rsidTr="00FF0AB3">
        <w:tc>
          <w:tcPr>
            <w:tcW w:w="568"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2BB19D83" w14:textId="3FA6D658"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j)</w:t>
            </w:r>
          </w:p>
        </w:tc>
        <w:tc>
          <w:tcPr>
            <w:tcW w:w="662" w:type="pct"/>
            <w:tcBorders>
              <w:top w:val="single" w:sz="6" w:space="0" w:color="000000"/>
              <w:left w:val="single" w:sz="6" w:space="0" w:color="000000"/>
              <w:bottom w:val="single" w:sz="6" w:space="0" w:color="000000"/>
              <w:right w:val="single" w:sz="6" w:space="0" w:color="000000"/>
            </w:tcBorders>
            <w:shd w:val="clear" w:color="auto" w:fill="FFFFFF"/>
            <w:hideMark/>
          </w:tcPr>
          <w:p w14:paraId="57F477FD"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 1902</w:t>
            </w:r>
          </w:p>
          <w:p w14:paraId="58AC171A"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p>
        </w:tc>
        <w:tc>
          <w:tcPr>
            <w:tcW w:w="3770" w:type="pct"/>
            <w:tcBorders>
              <w:top w:val="single" w:sz="6" w:space="0" w:color="000000"/>
              <w:left w:val="single" w:sz="6" w:space="0" w:color="000000"/>
              <w:bottom w:val="single" w:sz="6" w:space="0" w:color="000000"/>
              <w:right w:val="single" w:sz="6" w:space="0" w:color="000000"/>
            </w:tcBorders>
            <w:shd w:val="clear" w:color="auto" w:fill="FFFFFF"/>
            <w:hideMark/>
          </w:tcPr>
          <w:p w14:paraId="5CFF1364" w14:textId="4AFA5263" w:rsidR="00BD55A9" w:rsidRPr="00AF228C" w:rsidRDefault="00D25767" w:rsidP="00417231">
            <w:pPr>
              <w:spacing w:after="0" w:line="240" w:lineRule="auto"/>
              <w:jc w:val="both"/>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Brumërat</w:t>
            </w:r>
            <w:r w:rsidR="00BD55A9" w:rsidRPr="00AF228C">
              <w:rPr>
                <w:rFonts w:ascii="Garamond" w:eastAsia="Aptos" w:hAnsi="Garamond" w:cs="Times New Roman"/>
                <w:kern w:val="2"/>
                <w:szCs w:val="24"/>
                <w14:ligatures w14:val="standardContextual"/>
              </w:rPr>
              <w:t xml:space="preserve"> n</w:t>
            </w:r>
            <w:r w:rsidR="009E0A59" w:rsidRPr="00AF228C">
              <w:rPr>
                <w:rFonts w:ascii="Garamond" w:eastAsia="Aptos" w:hAnsi="Garamond" w:cs="Times New Roman"/>
                <w:kern w:val="2"/>
                <w:szCs w:val="24"/>
                <w14:ligatures w14:val="standardContextual"/>
              </w:rPr>
              <w:t>ë</w:t>
            </w:r>
            <w:r w:rsidR="00BD55A9" w:rsidRPr="00AF228C">
              <w:rPr>
                <w:rFonts w:ascii="Garamond" w:eastAsia="Aptos" w:hAnsi="Garamond" w:cs="Times New Roman"/>
                <w:kern w:val="2"/>
                <w:szCs w:val="24"/>
                <w14:ligatures w14:val="standardContextual"/>
              </w:rPr>
              <w:t>se jan</w:t>
            </w:r>
            <w:r w:rsidR="009E0A59" w:rsidRPr="00AF228C">
              <w:rPr>
                <w:rFonts w:ascii="Garamond" w:eastAsia="Aptos" w:hAnsi="Garamond" w:cs="Times New Roman"/>
                <w:kern w:val="2"/>
                <w:szCs w:val="24"/>
                <w14:ligatures w14:val="standardContextual"/>
              </w:rPr>
              <w:t>ë</w:t>
            </w:r>
            <w:r w:rsidR="00BD55A9" w:rsidRPr="00AF228C">
              <w:rPr>
                <w:rFonts w:ascii="Garamond" w:eastAsia="Aptos" w:hAnsi="Garamond" w:cs="Times New Roman"/>
                <w:kern w:val="2"/>
                <w:szCs w:val="24"/>
                <w14:ligatures w14:val="standardContextual"/>
              </w:rPr>
              <w:t xml:space="preserve"> apo jo t</w:t>
            </w:r>
            <w:r w:rsidR="009E0A59" w:rsidRPr="00AF228C">
              <w:rPr>
                <w:rFonts w:ascii="Garamond" w:eastAsia="Aptos" w:hAnsi="Garamond" w:cs="Times New Roman"/>
                <w:kern w:val="2"/>
                <w:szCs w:val="24"/>
                <w14:ligatures w14:val="standardContextual"/>
              </w:rPr>
              <w:t>ë</w:t>
            </w:r>
            <w:r w:rsidR="00BD55A9" w:rsidRPr="00AF228C">
              <w:rPr>
                <w:rFonts w:ascii="Garamond" w:eastAsia="Aptos" w:hAnsi="Garamond" w:cs="Times New Roman"/>
                <w:kern w:val="2"/>
                <w:szCs w:val="24"/>
                <w14:ligatures w14:val="standardContextual"/>
              </w:rPr>
              <w:t xml:space="preserve"> gatuar</w:t>
            </w:r>
            <w:r w:rsidR="009E0A59" w:rsidRPr="00AF228C">
              <w:rPr>
                <w:rFonts w:ascii="Garamond" w:eastAsia="Aptos" w:hAnsi="Garamond" w:cs="Times New Roman"/>
                <w:kern w:val="2"/>
                <w:szCs w:val="24"/>
                <w14:ligatures w14:val="standardContextual"/>
              </w:rPr>
              <w:t>a</w:t>
            </w:r>
            <w:r w:rsidR="00BD55A9" w:rsidRPr="00AF228C">
              <w:rPr>
                <w:rFonts w:ascii="Garamond" w:eastAsia="Aptos" w:hAnsi="Garamond" w:cs="Times New Roman"/>
                <w:kern w:val="2"/>
                <w:szCs w:val="24"/>
                <w14:ligatures w14:val="standardContextual"/>
              </w:rPr>
              <w:t xml:space="preserve"> apo t</w:t>
            </w:r>
            <w:r w:rsidR="009E0A59" w:rsidRPr="00AF228C">
              <w:rPr>
                <w:rFonts w:ascii="Garamond" w:eastAsia="Aptos" w:hAnsi="Garamond" w:cs="Times New Roman"/>
                <w:kern w:val="2"/>
                <w:szCs w:val="24"/>
                <w14:ligatures w14:val="standardContextual"/>
              </w:rPr>
              <w:t>ë</w:t>
            </w:r>
            <w:r w:rsidR="00BD55A9" w:rsidRPr="00AF228C">
              <w:rPr>
                <w:rFonts w:ascii="Garamond" w:eastAsia="Aptos" w:hAnsi="Garamond" w:cs="Times New Roman"/>
                <w:kern w:val="2"/>
                <w:szCs w:val="24"/>
                <w14:ligatures w14:val="standardContextual"/>
              </w:rPr>
              <w:t xml:space="preserve"> mbushur</w:t>
            </w:r>
            <w:r w:rsidR="009E0A59" w:rsidRPr="00AF228C">
              <w:rPr>
                <w:rFonts w:ascii="Garamond" w:eastAsia="Aptos" w:hAnsi="Garamond" w:cs="Times New Roman"/>
                <w:kern w:val="2"/>
                <w:szCs w:val="24"/>
                <w14:ligatures w14:val="standardContextual"/>
              </w:rPr>
              <w:t>a</w:t>
            </w:r>
            <w:r w:rsidR="00BD55A9" w:rsidRPr="00AF228C">
              <w:rPr>
                <w:rFonts w:ascii="Garamond" w:eastAsia="Aptos" w:hAnsi="Garamond" w:cs="Times New Roman"/>
                <w:kern w:val="2"/>
                <w:szCs w:val="24"/>
                <w14:ligatures w14:val="standardContextual"/>
              </w:rPr>
              <w:t xml:space="preserve"> (me mish apo me substanca t</w:t>
            </w:r>
            <w:r w:rsidR="009E0A59" w:rsidRPr="00AF228C">
              <w:rPr>
                <w:rFonts w:ascii="Garamond" w:eastAsia="Aptos" w:hAnsi="Garamond" w:cs="Times New Roman"/>
                <w:kern w:val="2"/>
                <w:szCs w:val="24"/>
                <w14:ligatures w14:val="standardContextual"/>
              </w:rPr>
              <w:t>ë</w:t>
            </w:r>
            <w:r w:rsidR="00BD55A9" w:rsidRPr="00AF228C">
              <w:rPr>
                <w:rFonts w:ascii="Garamond" w:eastAsia="Aptos" w:hAnsi="Garamond" w:cs="Times New Roman"/>
                <w:kern w:val="2"/>
                <w:szCs w:val="24"/>
                <w14:ligatures w14:val="standardContextual"/>
              </w:rPr>
              <w:t xml:space="preserve"> tjera) apo t</w:t>
            </w:r>
            <w:r w:rsidR="009E0A59" w:rsidRPr="00AF228C">
              <w:rPr>
                <w:rFonts w:ascii="Garamond" w:eastAsia="Aptos" w:hAnsi="Garamond" w:cs="Times New Roman"/>
                <w:kern w:val="2"/>
                <w:szCs w:val="24"/>
                <w14:ligatures w14:val="standardContextual"/>
              </w:rPr>
              <w:t>ë</w:t>
            </w:r>
            <w:r w:rsidR="00BD55A9" w:rsidRPr="00AF228C">
              <w:rPr>
                <w:rFonts w:ascii="Garamond" w:eastAsia="Aptos" w:hAnsi="Garamond" w:cs="Times New Roman"/>
                <w:kern w:val="2"/>
                <w:szCs w:val="24"/>
                <w14:ligatures w14:val="standardContextual"/>
              </w:rPr>
              <w:t xml:space="preserve"> p</w:t>
            </w:r>
            <w:r w:rsidR="009E0A59" w:rsidRPr="00AF228C">
              <w:rPr>
                <w:rFonts w:ascii="Garamond" w:eastAsia="Aptos" w:hAnsi="Garamond" w:cs="Times New Roman"/>
                <w:kern w:val="2"/>
                <w:szCs w:val="24"/>
                <w14:ligatures w14:val="standardContextual"/>
              </w:rPr>
              <w:t>ë</w:t>
            </w:r>
            <w:r w:rsidR="00BD55A9" w:rsidRPr="00AF228C">
              <w:rPr>
                <w:rFonts w:ascii="Garamond" w:eastAsia="Aptos" w:hAnsi="Garamond" w:cs="Times New Roman"/>
                <w:kern w:val="2"/>
                <w:szCs w:val="24"/>
                <w14:ligatures w14:val="standardContextual"/>
              </w:rPr>
              <w:t>rgatitur</w:t>
            </w:r>
            <w:r w:rsidR="009E0A59" w:rsidRPr="00AF228C">
              <w:rPr>
                <w:rFonts w:ascii="Garamond" w:eastAsia="Aptos" w:hAnsi="Garamond" w:cs="Times New Roman"/>
                <w:kern w:val="2"/>
                <w:szCs w:val="24"/>
                <w14:ligatures w14:val="standardContextual"/>
              </w:rPr>
              <w:t>a</w:t>
            </w:r>
            <w:r w:rsidR="00BD55A9" w:rsidRPr="00AF228C">
              <w:rPr>
                <w:rFonts w:ascii="Garamond" w:eastAsia="Aptos" w:hAnsi="Garamond" w:cs="Times New Roman"/>
                <w:kern w:val="2"/>
                <w:szCs w:val="24"/>
                <w14:ligatures w14:val="standardContextual"/>
              </w:rPr>
              <w:t xml:space="preserve"> ndryshe, t</w:t>
            </w:r>
            <w:r w:rsidR="009E0A59" w:rsidRPr="00AF228C">
              <w:rPr>
                <w:rFonts w:ascii="Garamond" w:eastAsia="Aptos" w:hAnsi="Garamond" w:cs="Times New Roman"/>
                <w:kern w:val="2"/>
                <w:szCs w:val="24"/>
                <w14:ligatures w14:val="standardContextual"/>
              </w:rPr>
              <w:t>ë</w:t>
            </w:r>
            <w:r w:rsidR="00BD55A9" w:rsidRPr="00AF228C">
              <w:rPr>
                <w:rFonts w:ascii="Garamond" w:eastAsia="Aptos" w:hAnsi="Garamond" w:cs="Times New Roman"/>
                <w:kern w:val="2"/>
                <w:szCs w:val="24"/>
                <w14:ligatures w14:val="standardContextual"/>
              </w:rPr>
              <w:t xml:space="preserve"> tilla si spageti, makarona, makarona pete, lasanj</w:t>
            </w:r>
            <w:r w:rsidR="009E0A59" w:rsidRPr="00AF228C">
              <w:rPr>
                <w:rFonts w:ascii="Garamond" w:eastAsia="Aptos" w:hAnsi="Garamond" w:cs="Times New Roman"/>
                <w:kern w:val="2"/>
                <w:szCs w:val="24"/>
                <w14:ligatures w14:val="standardContextual"/>
              </w:rPr>
              <w:t>ë</w:t>
            </w:r>
            <w:r w:rsidR="00BD55A9" w:rsidRPr="00AF228C">
              <w:rPr>
                <w:rFonts w:ascii="Garamond" w:eastAsia="Aptos" w:hAnsi="Garamond" w:cs="Times New Roman"/>
                <w:kern w:val="2"/>
                <w:szCs w:val="24"/>
                <w14:ligatures w14:val="standardContextual"/>
              </w:rPr>
              <w:t>, gnocchi, ravioli, kaneloni; couscous n</w:t>
            </w:r>
            <w:r w:rsidR="009E0A59" w:rsidRPr="00AF228C">
              <w:rPr>
                <w:rFonts w:ascii="Garamond" w:eastAsia="Aptos" w:hAnsi="Garamond" w:cs="Times New Roman"/>
                <w:kern w:val="2"/>
                <w:szCs w:val="24"/>
                <w14:ligatures w14:val="standardContextual"/>
              </w:rPr>
              <w:t>ë</w:t>
            </w:r>
            <w:r w:rsidR="00BD55A9" w:rsidRPr="00AF228C">
              <w:rPr>
                <w:rFonts w:ascii="Garamond" w:eastAsia="Aptos" w:hAnsi="Garamond" w:cs="Times New Roman"/>
                <w:kern w:val="2"/>
                <w:szCs w:val="24"/>
                <w14:ligatures w14:val="standardContextual"/>
              </w:rPr>
              <w:t>se jan</w:t>
            </w:r>
            <w:r w:rsidR="009E0A59" w:rsidRPr="00AF228C">
              <w:rPr>
                <w:rFonts w:ascii="Garamond" w:eastAsia="Aptos" w:hAnsi="Garamond" w:cs="Times New Roman"/>
                <w:kern w:val="2"/>
                <w:szCs w:val="24"/>
                <w14:ligatures w14:val="standardContextual"/>
              </w:rPr>
              <w:t>ë</w:t>
            </w:r>
            <w:r w:rsidR="00BD55A9" w:rsidRPr="00AF228C">
              <w:rPr>
                <w:rFonts w:ascii="Garamond" w:eastAsia="Aptos" w:hAnsi="Garamond" w:cs="Times New Roman"/>
                <w:kern w:val="2"/>
                <w:szCs w:val="24"/>
                <w14:ligatures w14:val="standardContextual"/>
              </w:rPr>
              <w:t xml:space="preserve"> apo jo t</w:t>
            </w:r>
            <w:r w:rsidR="009E0A59" w:rsidRPr="00AF228C">
              <w:rPr>
                <w:rFonts w:ascii="Garamond" w:eastAsia="Aptos" w:hAnsi="Garamond" w:cs="Times New Roman"/>
                <w:kern w:val="2"/>
                <w:szCs w:val="24"/>
                <w14:ligatures w14:val="standardContextual"/>
              </w:rPr>
              <w:t>ë</w:t>
            </w:r>
            <w:r w:rsidR="00BD55A9" w:rsidRPr="00AF228C">
              <w:rPr>
                <w:rFonts w:ascii="Garamond" w:eastAsia="Aptos" w:hAnsi="Garamond" w:cs="Times New Roman"/>
                <w:kern w:val="2"/>
                <w:szCs w:val="24"/>
                <w14:ligatures w14:val="standardContextual"/>
              </w:rPr>
              <w:t xml:space="preserve"> p</w:t>
            </w:r>
            <w:r w:rsidR="009E0A59" w:rsidRPr="00AF228C">
              <w:rPr>
                <w:rFonts w:ascii="Garamond" w:eastAsia="Aptos" w:hAnsi="Garamond" w:cs="Times New Roman"/>
                <w:kern w:val="2"/>
                <w:szCs w:val="24"/>
                <w14:ligatures w14:val="standardContextual"/>
              </w:rPr>
              <w:t>ë</w:t>
            </w:r>
            <w:r w:rsidR="00BD55A9" w:rsidRPr="00AF228C">
              <w:rPr>
                <w:rFonts w:ascii="Garamond" w:eastAsia="Aptos" w:hAnsi="Garamond" w:cs="Times New Roman"/>
                <w:kern w:val="2"/>
                <w:szCs w:val="24"/>
                <w14:ligatures w14:val="standardContextual"/>
              </w:rPr>
              <w:t>rgatitur</w:t>
            </w:r>
            <w:r w:rsidR="009E0A59" w:rsidRPr="00AF228C">
              <w:rPr>
                <w:rFonts w:ascii="Garamond" w:eastAsia="Aptos" w:hAnsi="Garamond" w:cs="Times New Roman"/>
                <w:kern w:val="2"/>
                <w:szCs w:val="24"/>
                <w14:ligatures w14:val="standardContextual"/>
              </w:rPr>
              <w:t>a</w:t>
            </w:r>
            <w:r>
              <w:rPr>
                <w:rFonts w:ascii="Garamond" w:eastAsia="Aptos" w:hAnsi="Garamond" w:cs="Times New Roman"/>
                <w:kern w:val="2"/>
                <w:szCs w:val="24"/>
                <w14:ligatures w14:val="standardContextual"/>
              </w:rPr>
              <w:t>;</w:t>
            </w:r>
          </w:p>
        </w:tc>
      </w:tr>
      <w:tr w:rsidR="00BD55A9" w:rsidRPr="00AF228C" w14:paraId="2EB2DB32" w14:textId="77777777" w:rsidTr="00FF0AB3">
        <w:tc>
          <w:tcPr>
            <w:tcW w:w="568"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8B10740"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p>
        </w:tc>
        <w:tc>
          <w:tcPr>
            <w:tcW w:w="662" w:type="pct"/>
            <w:tcBorders>
              <w:top w:val="single" w:sz="6" w:space="0" w:color="000000"/>
              <w:left w:val="single" w:sz="6" w:space="0" w:color="000000"/>
              <w:bottom w:val="single" w:sz="6" w:space="0" w:color="000000"/>
              <w:right w:val="single" w:sz="6" w:space="0" w:color="000000"/>
            </w:tcBorders>
            <w:shd w:val="clear" w:color="auto" w:fill="FFFFFF"/>
            <w:hideMark/>
          </w:tcPr>
          <w:p w14:paraId="5A6FF45F"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1902 20</w:t>
            </w:r>
          </w:p>
        </w:tc>
        <w:tc>
          <w:tcPr>
            <w:tcW w:w="3770" w:type="pct"/>
            <w:tcBorders>
              <w:top w:val="single" w:sz="6" w:space="0" w:color="000000"/>
              <w:left w:val="single" w:sz="6" w:space="0" w:color="000000"/>
              <w:bottom w:val="single" w:sz="6" w:space="0" w:color="000000"/>
              <w:right w:val="single" w:sz="6" w:space="0" w:color="000000"/>
            </w:tcBorders>
            <w:shd w:val="clear" w:color="auto" w:fill="FFFFFF"/>
            <w:hideMark/>
          </w:tcPr>
          <w:p w14:paraId="13FEBD5A" w14:textId="673C79A5" w:rsidR="00BD55A9" w:rsidRPr="00AF228C" w:rsidRDefault="00D25767" w:rsidP="00417231">
            <w:pPr>
              <w:spacing w:after="0" w:line="240" w:lineRule="auto"/>
              <w:jc w:val="both"/>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Brumëra</w:t>
            </w:r>
            <w:r w:rsidR="00BD55A9" w:rsidRPr="00AF228C">
              <w:rPr>
                <w:rFonts w:ascii="Garamond" w:eastAsia="Aptos" w:hAnsi="Garamond" w:cs="Times New Roman"/>
                <w:kern w:val="2"/>
                <w:szCs w:val="24"/>
                <w14:ligatures w14:val="standardContextual"/>
              </w:rPr>
              <w:t xml:space="preserve"> t</w:t>
            </w:r>
            <w:r w:rsidR="009E0A59" w:rsidRPr="00AF228C">
              <w:rPr>
                <w:rFonts w:ascii="Garamond" w:eastAsia="Aptos" w:hAnsi="Garamond" w:cs="Times New Roman"/>
                <w:kern w:val="2"/>
                <w:szCs w:val="24"/>
                <w14:ligatures w14:val="standardContextual"/>
              </w:rPr>
              <w:t>ë</w:t>
            </w:r>
            <w:r w:rsidR="00BD55A9" w:rsidRPr="00AF228C">
              <w:rPr>
                <w:rFonts w:ascii="Garamond" w:eastAsia="Aptos" w:hAnsi="Garamond" w:cs="Times New Roman"/>
                <w:kern w:val="2"/>
                <w:szCs w:val="24"/>
                <w14:ligatures w14:val="standardContextual"/>
              </w:rPr>
              <w:t xml:space="preserve"> mbushura, n</w:t>
            </w:r>
            <w:r w:rsidR="009E0A59" w:rsidRPr="00AF228C">
              <w:rPr>
                <w:rFonts w:ascii="Garamond" w:eastAsia="Aptos" w:hAnsi="Garamond" w:cs="Times New Roman"/>
                <w:kern w:val="2"/>
                <w:szCs w:val="24"/>
                <w14:ligatures w14:val="standardContextual"/>
              </w:rPr>
              <w:t>ë</w:t>
            </w:r>
            <w:r w:rsidR="00BD55A9" w:rsidRPr="00AF228C">
              <w:rPr>
                <w:rFonts w:ascii="Garamond" w:eastAsia="Aptos" w:hAnsi="Garamond" w:cs="Times New Roman"/>
                <w:kern w:val="2"/>
                <w:szCs w:val="24"/>
                <w14:ligatures w14:val="standardContextual"/>
              </w:rPr>
              <w:t>se jan</w:t>
            </w:r>
            <w:r w:rsidR="009E0A59" w:rsidRPr="00AF228C">
              <w:rPr>
                <w:rFonts w:ascii="Garamond" w:eastAsia="Aptos" w:hAnsi="Garamond" w:cs="Times New Roman"/>
                <w:kern w:val="2"/>
                <w:szCs w:val="24"/>
                <w14:ligatures w14:val="standardContextual"/>
              </w:rPr>
              <w:t>ë</w:t>
            </w:r>
            <w:r w:rsidR="00BD55A9" w:rsidRPr="00AF228C">
              <w:rPr>
                <w:rFonts w:ascii="Garamond" w:eastAsia="Aptos" w:hAnsi="Garamond" w:cs="Times New Roman"/>
                <w:kern w:val="2"/>
                <w:szCs w:val="24"/>
                <w14:ligatures w14:val="standardContextual"/>
              </w:rPr>
              <w:t xml:space="preserve"> apo jo t</w:t>
            </w:r>
            <w:r w:rsidR="009E0A59" w:rsidRPr="00AF228C">
              <w:rPr>
                <w:rFonts w:ascii="Garamond" w:eastAsia="Aptos" w:hAnsi="Garamond" w:cs="Times New Roman"/>
                <w:kern w:val="2"/>
                <w:szCs w:val="24"/>
                <w14:ligatures w14:val="standardContextual"/>
              </w:rPr>
              <w:t>ë</w:t>
            </w:r>
            <w:r w:rsidR="00BD55A9" w:rsidRPr="00AF228C">
              <w:rPr>
                <w:rFonts w:ascii="Garamond" w:eastAsia="Aptos" w:hAnsi="Garamond" w:cs="Times New Roman"/>
                <w:kern w:val="2"/>
                <w:szCs w:val="24"/>
                <w14:ligatures w14:val="standardContextual"/>
              </w:rPr>
              <w:t xml:space="preserve"> gatuara apo t</w:t>
            </w:r>
            <w:r w:rsidR="009E0A59" w:rsidRPr="00AF228C">
              <w:rPr>
                <w:rFonts w:ascii="Garamond" w:eastAsia="Aptos" w:hAnsi="Garamond" w:cs="Times New Roman"/>
                <w:kern w:val="2"/>
                <w:szCs w:val="24"/>
                <w14:ligatures w14:val="standardContextual"/>
              </w:rPr>
              <w:t>ë</w:t>
            </w:r>
            <w:r w:rsidR="00BD55A9" w:rsidRPr="00AF228C">
              <w:rPr>
                <w:rFonts w:ascii="Garamond" w:eastAsia="Aptos" w:hAnsi="Garamond" w:cs="Times New Roman"/>
                <w:kern w:val="2"/>
                <w:szCs w:val="24"/>
                <w14:ligatures w14:val="standardContextual"/>
              </w:rPr>
              <w:t xml:space="preserve"> p</w:t>
            </w:r>
            <w:r w:rsidR="009E0A59" w:rsidRPr="00AF228C">
              <w:rPr>
                <w:rFonts w:ascii="Garamond" w:eastAsia="Aptos" w:hAnsi="Garamond" w:cs="Times New Roman"/>
                <w:kern w:val="2"/>
                <w:szCs w:val="24"/>
                <w14:ligatures w14:val="standardContextual"/>
              </w:rPr>
              <w:t>ë</w:t>
            </w:r>
            <w:r>
              <w:rPr>
                <w:rFonts w:ascii="Garamond" w:eastAsia="Aptos" w:hAnsi="Garamond" w:cs="Times New Roman"/>
                <w:kern w:val="2"/>
                <w:szCs w:val="24"/>
                <w14:ligatures w14:val="standardContextual"/>
              </w:rPr>
              <w:t>rgatitura ndryshe;</w:t>
            </w:r>
          </w:p>
        </w:tc>
      </w:tr>
      <w:tr w:rsidR="00BD55A9" w:rsidRPr="00AF228C" w14:paraId="442F0695" w14:textId="77777777" w:rsidTr="00FF0AB3">
        <w:tc>
          <w:tcPr>
            <w:tcW w:w="568"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1E8FDB2B"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p>
        </w:tc>
        <w:tc>
          <w:tcPr>
            <w:tcW w:w="662" w:type="pct"/>
            <w:tcBorders>
              <w:top w:val="single" w:sz="6" w:space="0" w:color="000000"/>
              <w:left w:val="single" w:sz="6" w:space="0" w:color="000000"/>
              <w:bottom w:val="single" w:sz="6" w:space="0" w:color="000000"/>
              <w:right w:val="single" w:sz="6" w:space="0" w:color="000000"/>
            </w:tcBorders>
            <w:shd w:val="clear" w:color="auto" w:fill="FFFFFF"/>
            <w:hideMark/>
          </w:tcPr>
          <w:p w14:paraId="0FD7B779"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1902 20 10</w:t>
            </w:r>
          </w:p>
        </w:tc>
        <w:tc>
          <w:tcPr>
            <w:tcW w:w="3770" w:type="pct"/>
            <w:tcBorders>
              <w:top w:val="single" w:sz="6" w:space="0" w:color="000000"/>
              <w:left w:val="single" w:sz="6" w:space="0" w:color="000000"/>
              <w:bottom w:val="single" w:sz="6" w:space="0" w:color="000000"/>
              <w:right w:val="single" w:sz="6" w:space="0" w:color="000000"/>
            </w:tcBorders>
            <w:shd w:val="clear" w:color="auto" w:fill="FFFFFF"/>
            <w:hideMark/>
          </w:tcPr>
          <w:p w14:paraId="61A64EEF" w14:textId="1613A0FC" w:rsidR="00BD55A9" w:rsidRPr="00AF228C" w:rsidRDefault="00BD55A9" w:rsidP="00417231">
            <w:pPr>
              <w:spacing w:after="0" w:line="240" w:lineRule="auto"/>
              <w:jc w:val="both"/>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Q</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p</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rmbajn</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m</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shum</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se 20 % ndaj pesh</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s peshk, krustac</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w:t>
            </w:r>
            <w:r w:rsidR="009E0A59" w:rsidRPr="00AF228C">
              <w:rPr>
                <w:rFonts w:ascii="Garamond" w:eastAsia="Aptos" w:hAnsi="Garamond" w:cs="Times New Roman"/>
                <w:kern w:val="2"/>
                <w:szCs w:val="24"/>
                <w14:ligatures w14:val="standardContextual"/>
              </w:rPr>
              <w:t xml:space="preserve"> </w:t>
            </w:r>
            <w:r w:rsidRPr="00AF228C">
              <w:rPr>
                <w:rFonts w:ascii="Garamond" w:eastAsia="Aptos" w:hAnsi="Garamond" w:cs="Times New Roman"/>
                <w:kern w:val="2"/>
                <w:szCs w:val="24"/>
                <w14:ligatures w14:val="standardContextual"/>
              </w:rPr>
              <w:t>molusqe apo kafsh</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tjera ujore jovertebrore</w:t>
            </w:r>
            <w:r w:rsidR="00D25767">
              <w:rPr>
                <w:rFonts w:ascii="Garamond" w:eastAsia="Aptos" w:hAnsi="Garamond" w:cs="Times New Roman"/>
                <w:kern w:val="2"/>
                <w:szCs w:val="24"/>
                <w14:ligatures w14:val="standardContextual"/>
              </w:rPr>
              <w:t>;</w:t>
            </w:r>
          </w:p>
        </w:tc>
      </w:tr>
      <w:tr w:rsidR="00BD55A9" w:rsidRPr="00AF228C" w14:paraId="19DAB5B7" w14:textId="77777777" w:rsidTr="00FF0AB3">
        <w:tc>
          <w:tcPr>
            <w:tcW w:w="568"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5B1C6136" w14:textId="337BC94B"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k)</w:t>
            </w:r>
          </w:p>
        </w:tc>
        <w:tc>
          <w:tcPr>
            <w:tcW w:w="662" w:type="pct"/>
            <w:tcBorders>
              <w:top w:val="single" w:sz="6" w:space="0" w:color="000000"/>
              <w:left w:val="single" w:sz="6" w:space="0" w:color="000000"/>
              <w:bottom w:val="single" w:sz="6" w:space="0" w:color="000000"/>
              <w:right w:val="single" w:sz="6" w:space="0" w:color="000000"/>
            </w:tcBorders>
            <w:shd w:val="clear" w:color="auto" w:fill="FFFFFF"/>
            <w:hideMark/>
          </w:tcPr>
          <w:p w14:paraId="6ACA41B6"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 2301</w:t>
            </w:r>
          </w:p>
        </w:tc>
        <w:tc>
          <w:tcPr>
            <w:tcW w:w="3770" w:type="pct"/>
            <w:tcBorders>
              <w:top w:val="single" w:sz="6" w:space="0" w:color="000000"/>
              <w:left w:val="single" w:sz="6" w:space="0" w:color="000000"/>
              <w:bottom w:val="single" w:sz="6" w:space="0" w:color="000000"/>
              <w:right w:val="single" w:sz="6" w:space="0" w:color="000000"/>
            </w:tcBorders>
            <w:shd w:val="clear" w:color="auto" w:fill="FFFFFF"/>
            <w:hideMark/>
          </w:tcPr>
          <w:p w14:paraId="6C47CEF0" w14:textId="6DF455AA" w:rsidR="00BD55A9" w:rsidRPr="00AF228C" w:rsidRDefault="00BD55A9" w:rsidP="00417231">
            <w:pPr>
              <w:spacing w:after="0" w:line="240" w:lineRule="auto"/>
              <w:jc w:val="both"/>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 xml:space="preserve">Miellrat, </w:t>
            </w:r>
            <w:r w:rsidR="00D25767" w:rsidRPr="00AF228C">
              <w:rPr>
                <w:rFonts w:ascii="Garamond" w:eastAsia="Aptos" w:hAnsi="Garamond" w:cs="Times New Roman"/>
                <w:kern w:val="2"/>
                <w:szCs w:val="24"/>
                <w14:ligatures w14:val="standardContextual"/>
              </w:rPr>
              <w:t>kokrrizat</w:t>
            </w:r>
            <w:r w:rsidRPr="00AF228C">
              <w:rPr>
                <w:rFonts w:ascii="Garamond" w:eastAsia="Aptos" w:hAnsi="Garamond" w:cs="Times New Roman"/>
                <w:kern w:val="2"/>
                <w:szCs w:val="24"/>
                <w14:ligatures w14:val="standardContextual"/>
              </w:rPr>
              <w:t xml:space="preserve"> dhe sferat,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mishit apo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brendshmeve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mishit,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peshkut apo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krustaceve, molusqeve dhe kafsh</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ve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tjera jovertebrore ujore,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pap</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rshtatshme p</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r konsum njer</w:t>
            </w:r>
            <w:r w:rsidR="009E0A59" w:rsidRPr="00AF228C">
              <w:rPr>
                <w:rFonts w:ascii="Garamond" w:eastAsia="Aptos" w:hAnsi="Garamond" w:cs="Times New Roman"/>
                <w:kern w:val="2"/>
                <w:szCs w:val="24"/>
                <w14:ligatures w14:val="standardContextual"/>
              </w:rPr>
              <w:t>ë</w:t>
            </w:r>
            <w:r w:rsidR="00D25767">
              <w:rPr>
                <w:rFonts w:ascii="Garamond" w:eastAsia="Aptos" w:hAnsi="Garamond" w:cs="Times New Roman"/>
                <w:kern w:val="2"/>
                <w:szCs w:val="24"/>
                <w14:ligatures w14:val="standardContextual"/>
              </w:rPr>
              <w:t>zor; zhigla;</w:t>
            </w:r>
          </w:p>
        </w:tc>
      </w:tr>
      <w:tr w:rsidR="00BD55A9" w:rsidRPr="00AF228C" w14:paraId="57E170AE" w14:textId="77777777" w:rsidTr="00FF0AB3">
        <w:tc>
          <w:tcPr>
            <w:tcW w:w="568"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7679EFF0"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p>
        </w:tc>
        <w:tc>
          <w:tcPr>
            <w:tcW w:w="662" w:type="pct"/>
            <w:tcBorders>
              <w:top w:val="single" w:sz="6" w:space="0" w:color="000000"/>
              <w:left w:val="single" w:sz="6" w:space="0" w:color="000000"/>
              <w:bottom w:val="single" w:sz="6" w:space="0" w:color="000000"/>
              <w:right w:val="single" w:sz="6" w:space="0" w:color="000000"/>
            </w:tcBorders>
            <w:shd w:val="clear" w:color="auto" w:fill="FFFFFF"/>
            <w:hideMark/>
          </w:tcPr>
          <w:p w14:paraId="3EF6CED0"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2301 20 00</w:t>
            </w:r>
          </w:p>
        </w:tc>
        <w:tc>
          <w:tcPr>
            <w:tcW w:w="3770" w:type="pct"/>
            <w:tcBorders>
              <w:top w:val="single" w:sz="6" w:space="0" w:color="000000"/>
              <w:left w:val="single" w:sz="6" w:space="0" w:color="000000"/>
              <w:bottom w:val="single" w:sz="6" w:space="0" w:color="000000"/>
              <w:right w:val="single" w:sz="6" w:space="0" w:color="000000"/>
            </w:tcBorders>
            <w:shd w:val="clear" w:color="auto" w:fill="FFFFFF"/>
            <w:hideMark/>
          </w:tcPr>
          <w:p w14:paraId="1D68C886" w14:textId="084BF3BF" w:rsidR="00BD55A9" w:rsidRPr="00AF228C" w:rsidRDefault="00BD55A9" w:rsidP="00417231">
            <w:pPr>
              <w:spacing w:after="0" w:line="240" w:lineRule="auto"/>
              <w:jc w:val="both"/>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 xml:space="preserve">Miellrat, </w:t>
            </w:r>
            <w:r w:rsidR="00D25767" w:rsidRPr="00AF228C">
              <w:rPr>
                <w:rFonts w:ascii="Garamond" w:eastAsia="Aptos" w:hAnsi="Garamond" w:cs="Times New Roman"/>
                <w:kern w:val="2"/>
                <w:szCs w:val="24"/>
                <w14:ligatures w14:val="standardContextual"/>
              </w:rPr>
              <w:t>kokrrizat</w:t>
            </w:r>
            <w:r w:rsidRPr="00AF228C">
              <w:rPr>
                <w:rFonts w:ascii="Garamond" w:eastAsia="Aptos" w:hAnsi="Garamond" w:cs="Times New Roman"/>
                <w:kern w:val="2"/>
                <w:szCs w:val="24"/>
                <w14:ligatures w14:val="standardContextual"/>
              </w:rPr>
              <w:t xml:space="preserve"> dhe sferat,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peshkut apo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krustaceve, molusqeve apo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kafsh</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ve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tjera jovertebrore ujore</w:t>
            </w:r>
            <w:r w:rsidR="00D25767">
              <w:rPr>
                <w:rFonts w:ascii="Garamond" w:eastAsia="Aptos" w:hAnsi="Garamond" w:cs="Times New Roman"/>
                <w:kern w:val="2"/>
                <w:szCs w:val="24"/>
                <w14:ligatures w14:val="standardContextual"/>
              </w:rPr>
              <w:t>;</w:t>
            </w:r>
          </w:p>
        </w:tc>
      </w:tr>
      <w:tr w:rsidR="00BD55A9" w:rsidRPr="00AF228C" w14:paraId="1AE6DAF1" w14:textId="77777777" w:rsidTr="00FF0AB3">
        <w:tc>
          <w:tcPr>
            <w:tcW w:w="568" w:type="pct"/>
            <w:vMerge w:val="restart"/>
            <w:tcBorders>
              <w:top w:val="single" w:sz="6" w:space="0" w:color="000000"/>
              <w:left w:val="single" w:sz="6" w:space="0" w:color="000000"/>
              <w:bottom w:val="single" w:sz="6" w:space="0" w:color="000000"/>
              <w:right w:val="single" w:sz="6" w:space="0" w:color="000000"/>
            </w:tcBorders>
            <w:shd w:val="clear" w:color="auto" w:fill="FFFFFF"/>
            <w:hideMark/>
          </w:tcPr>
          <w:p w14:paraId="7EAC9F4B" w14:textId="48835B32"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l)</w:t>
            </w:r>
          </w:p>
        </w:tc>
        <w:tc>
          <w:tcPr>
            <w:tcW w:w="662" w:type="pct"/>
            <w:tcBorders>
              <w:top w:val="single" w:sz="6" w:space="0" w:color="000000"/>
              <w:left w:val="single" w:sz="6" w:space="0" w:color="000000"/>
              <w:bottom w:val="single" w:sz="6" w:space="0" w:color="000000"/>
              <w:right w:val="single" w:sz="6" w:space="0" w:color="000000"/>
            </w:tcBorders>
            <w:shd w:val="clear" w:color="auto" w:fill="FFFFFF"/>
            <w:hideMark/>
          </w:tcPr>
          <w:p w14:paraId="3F680984"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 2309</w:t>
            </w:r>
          </w:p>
        </w:tc>
        <w:tc>
          <w:tcPr>
            <w:tcW w:w="3770" w:type="pct"/>
            <w:tcBorders>
              <w:top w:val="single" w:sz="6" w:space="0" w:color="000000"/>
              <w:left w:val="single" w:sz="6" w:space="0" w:color="000000"/>
              <w:bottom w:val="single" w:sz="6" w:space="0" w:color="000000"/>
              <w:right w:val="single" w:sz="6" w:space="0" w:color="000000"/>
            </w:tcBorders>
            <w:shd w:val="clear" w:color="auto" w:fill="FFFFFF"/>
            <w:hideMark/>
          </w:tcPr>
          <w:p w14:paraId="1541DDCE" w14:textId="05F0EE4A" w:rsidR="00BD55A9" w:rsidRPr="00AF228C" w:rsidRDefault="00BD55A9" w:rsidP="00417231">
            <w:pPr>
              <w:spacing w:after="0" w:line="240" w:lineRule="auto"/>
              <w:jc w:val="both"/>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P</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rgatitjet e nj</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lloji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p</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rdorur n</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ushqimin e kafsh</w:t>
            </w:r>
            <w:r w:rsidR="009E0A59" w:rsidRPr="00AF228C">
              <w:rPr>
                <w:rFonts w:ascii="Garamond" w:eastAsia="Aptos" w:hAnsi="Garamond" w:cs="Times New Roman"/>
                <w:kern w:val="2"/>
                <w:szCs w:val="24"/>
                <w14:ligatures w14:val="standardContextual"/>
              </w:rPr>
              <w:t>ë</w:t>
            </w:r>
            <w:r w:rsidR="00D25767">
              <w:rPr>
                <w:rFonts w:ascii="Garamond" w:eastAsia="Aptos" w:hAnsi="Garamond" w:cs="Times New Roman"/>
                <w:kern w:val="2"/>
                <w:szCs w:val="24"/>
                <w14:ligatures w14:val="standardContextual"/>
              </w:rPr>
              <w:t>ve;</w:t>
            </w:r>
          </w:p>
        </w:tc>
      </w:tr>
      <w:tr w:rsidR="00BD55A9" w:rsidRPr="00AF228C" w14:paraId="69E6563D" w14:textId="77777777" w:rsidTr="00FF0AB3">
        <w:tc>
          <w:tcPr>
            <w:tcW w:w="568"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569FE62"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p>
        </w:tc>
        <w:tc>
          <w:tcPr>
            <w:tcW w:w="662" w:type="pct"/>
            <w:tcBorders>
              <w:top w:val="single" w:sz="6" w:space="0" w:color="000000"/>
              <w:left w:val="single" w:sz="6" w:space="0" w:color="000000"/>
              <w:bottom w:val="single" w:sz="6" w:space="0" w:color="000000"/>
              <w:right w:val="single" w:sz="6" w:space="0" w:color="000000"/>
            </w:tcBorders>
            <w:shd w:val="clear" w:color="auto" w:fill="FFFFFF"/>
            <w:hideMark/>
          </w:tcPr>
          <w:p w14:paraId="6E50BD3B"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2309 90</w:t>
            </w:r>
          </w:p>
        </w:tc>
        <w:tc>
          <w:tcPr>
            <w:tcW w:w="3770" w:type="pct"/>
            <w:tcBorders>
              <w:top w:val="single" w:sz="6" w:space="0" w:color="000000"/>
              <w:left w:val="single" w:sz="6" w:space="0" w:color="000000"/>
              <w:bottom w:val="single" w:sz="6" w:space="0" w:color="000000"/>
              <w:right w:val="single" w:sz="6" w:space="0" w:color="000000"/>
            </w:tcBorders>
            <w:shd w:val="clear" w:color="auto" w:fill="FFFFFF"/>
            <w:hideMark/>
          </w:tcPr>
          <w:p w14:paraId="2A787327" w14:textId="06F23546" w:rsidR="00BD55A9" w:rsidRPr="00AF228C" w:rsidRDefault="00BD55A9" w:rsidP="00417231">
            <w:pPr>
              <w:spacing w:after="0" w:line="240" w:lineRule="auto"/>
              <w:jc w:val="both"/>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tjera</w:t>
            </w:r>
            <w:r w:rsidR="00D25767">
              <w:rPr>
                <w:rFonts w:ascii="Garamond" w:eastAsia="Aptos" w:hAnsi="Garamond" w:cs="Times New Roman"/>
                <w:kern w:val="2"/>
                <w:szCs w:val="24"/>
                <w14:ligatures w14:val="standardContextual"/>
              </w:rPr>
              <w:t>;</w:t>
            </w:r>
          </w:p>
        </w:tc>
      </w:tr>
      <w:tr w:rsidR="00BD55A9" w:rsidRPr="00AF228C" w14:paraId="1DE68C1E" w14:textId="77777777" w:rsidTr="00FF0AB3">
        <w:tc>
          <w:tcPr>
            <w:tcW w:w="568" w:type="pct"/>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44874F68"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p>
        </w:tc>
        <w:tc>
          <w:tcPr>
            <w:tcW w:w="662" w:type="pct"/>
            <w:tcBorders>
              <w:top w:val="single" w:sz="6" w:space="0" w:color="000000"/>
              <w:left w:val="single" w:sz="6" w:space="0" w:color="000000"/>
              <w:bottom w:val="single" w:sz="6" w:space="0" w:color="000000"/>
              <w:right w:val="single" w:sz="6" w:space="0" w:color="000000"/>
            </w:tcBorders>
            <w:shd w:val="clear" w:color="auto" w:fill="FFFFFF"/>
            <w:hideMark/>
          </w:tcPr>
          <w:p w14:paraId="15FE1C2E" w14:textId="77777777" w:rsidR="00BD55A9" w:rsidRPr="00AF228C" w:rsidRDefault="00BD55A9" w:rsidP="005C2955">
            <w:pPr>
              <w:spacing w:after="0" w:line="240" w:lineRule="auto"/>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ex 2309 90 10</w:t>
            </w:r>
          </w:p>
        </w:tc>
        <w:tc>
          <w:tcPr>
            <w:tcW w:w="3770" w:type="pct"/>
            <w:tcBorders>
              <w:top w:val="single" w:sz="6" w:space="0" w:color="000000"/>
              <w:left w:val="single" w:sz="6" w:space="0" w:color="000000"/>
              <w:bottom w:val="single" w:sz="6" w:space="0" w:color="000000"/>
              <w:right w:val="single" w:sz="6" w:space="0" w:color="000000"/>
            </w:tcBorders>
            <w:shd w:val="clear" w:color="auto" w:fill="FFFFFF"/>
            <w:hideMark/>
          </w:tcPr>
          <w:p w14:paraId="508BCA8E" w14:textId="724E6C05" w:rsidR="00BD55A9" w:rsidRPr="00AF228C" w:rsidRDefault="00BD55A9" w:rsidP="00417231">
            <w:pPr>
              <w:spacing w:after="0" w:line="240" w:lineRule="auto"/>
              <w:jc w:val="both"/>
              <w:rPr>
                <w:rFonts w:ascii="Garamond" w:eastAsia="Aptos" w:hAnsi="Garamond" w:cs="Times New Roman"/>
                <w:kern w:val="2"/>
                <w:szCs w:val="24"/>
                <w14:ligatures w14:val="standardContextual"/>
              </w:rPr>
            </w:pPr>
            <w:r w:rsidRPr="00AF228C">
              <w:rPr>
                <w:rFonts w:ascii="Garamond" w:eastAsia="Aptos" w:hAnsi="Garamond" w:cs="Times New Roman"/>
                <w:kern w:val="2"/>
                <w:szCs w:val="24"/>
                <w14:ligatures w14:val="standardContextual"/>
              </w:rPr>
              <w:t>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tretshme peshku apo t</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 xml:space="preserve"> gjitar</w:t>
            </w:r>
            <w:r w:rsidR="009E0A59" w:rsidRPr="00AF228C">
              <w:rPr>
                <w:rFonts w:ascii="Garamond" w:eastAsia="Aptos" w:hAnsi="Garamond" w:cs="Times New Roman"/>
                <w:kern w:val="2"/>
                <w:szCs w:val="24"/>
                <w14:ligatures w14:val="standardContextual"/>
              </w:rPr>
              <w:t>ë</w:t>
            </w:r>
            <w:r w:rsidRPr="00AF228C">
              <w:rPr>
                <w:rFonts w:ascii="Garamond" w:eastAsia="Aptos" w:hAnsi="Garamond" w:cs="Times New Roman"/>
                <w:kern w:val="2"/>
                <w:szCs w:val="24"/>
                <w14:ligatures w14:val="standardContextual"/>
              </w:rPr>
              <w:t>ve detar</w:t>
            </w:r>
            <w:r w:rsidR="009E0A59" w:rsidRPr="00AF228C">
              <w:rPr>
                <w:rFonts w:ascii="Garamond" w:eastAsia="Aptos" w:hAnsi="Garamond" w:cs="Times New Roman"/>
                <w:kern w:val="2"/>
                <w:szCs w:val="24"/>
                <w14:ligatures w14:val="standardContextual"/>
              </w:rPr>
              <w:t>ë</w:t>
            </w:r>
            <w:r w:rsidR="00D25767">
              <w:rPr>
                <w:rFonts w:ascii="Garamond" w:eastAsia="Aptos" w:hAnsi="Garamond" w:cs="Times New Roman"/>
                <w:kern w:val="2"/>
                <w:szCs w:val="24"/>
                <w14:ligatures w14:val="standardContextual"/>
              </w:rPr>
              <w:t>.</w:t>
            </w:r>
          </w:p>
        </w:tc>
      </w:tr>
    </w:tbl>
    <w:p w14:paraId="309A2F45" w14:textId="77777777" w:rsidR="00ED62DF" w:rsidRPr="00AF228C" w:rsidRDefault="00ED62DF" w:rsidP="005C2955">
      <w:pPr>
        <w:spacing w:after="0" w:line="240" w:lineRule="auto"/>
        <w:ind w:firstLine="284"/>
        <w:jc w:val="center"/>
        <w:rPr>
          <w:rFonts w:ascii="Garamond" w:eastAsia="Times New Roman" w:hAnsi="Garamond" w:cs="Times New Roman"/>
          <w:b/>
          <w:bCs/>
          <w:sz w:val="24"/>
          <w:szCs w:val="24"/>
          <w:lang w:eastAsia="en-GB"/>
        </w:rPr>
      </w:pPr>
    </w:p>
    <w:p w14:paraId="261431C6" w14:textId="77777777" w:rsidR="00D03A13" w:rsidRPr="00AF228C" w:rsidRDefault="00D03A13" w:rsidP="005C2955">
      <w:pPr>
        <w:spacing w:after="0" w:line="240" w:lineRule="auto"/>
        <w:ind w:firstLine="284"/>
        <w:jc w:val="center"/>
        <w:rPr>
          <w:rFonts w:ascii="Garamond" w:eastAsia="Times New Roman" w:hAnsi="Garamond" w:cs="Times New Roman"/>
          <w:b/>
          <w:bCs/>
          <w:sz w:val="24"/>
          <w:szCs w:val="24"/>
          <w:lang w:eastAsia="en-GB"/>
        </w:rPr>
      </w:pPr>
    </w:p>
    <w:p w14:paraId="6FC64C3F" w14:textId="77777777" w:rsidR="005C2955" w:rsidRPr="00AF228C" w:rsidRDefault="005C2955" w:rsidP="005C2955">
      <w:pPr>
        <w:spacing w:after="0" w:line="240" w:lineRule="auto"/>
        <w:ind w:firstLine="284"/>
        <w:jc w:val="center"/>
        <w:rPr>
          <w:rFonts w:ascii="Garamond" w:eastAsia="Times New Roman" w:hAnsi="Garamond" w:cs="Times New Roman"/>
          <w:b/>
          <w:bCs/>
          <w:sz w:val="24"/>
          <w:szCs w:val="24"/>
          <w:lang w:eastAsia="en-GB"/>
        </w:rPr>
      </w:pPr>
    </w:p>
    <w:p w14:paraId="25680C7E" w14:textId="77777777" w:rsidR="00D03A13" w:rsidRPr="00AF228C" w:rsidRDefault="00D03A13" w:rsidP="005C2955">
      <w:pPr>
        <w:spacing w:after="0" w:line="240" w:lineRule="auto"/>
        <w:ind w:firstLine="284"/>
        <w:jc w:val="center"/>
        <w:rPr>
          <w:rFonts w:ascii="Garamond" w:eastAsia="Times New Roman" w:hAnsi="Garamond" w:cs="Times New Roman"/>
          <w:b/>
          <w:bCs/>
          <w:sz w:val="24"/>
          <w:szCs w:val="24"/>
          <w:lang w:eastAsia="en-GB"/>
        </w:rPr>
      </w:pPr>
    </w:p>
    <w:p w14:paraId="23B3FE24" w14:textId="77777777" w:rsidR="00D03A13" w:rsidRPr="00AF228C" w:rsidRDefault="00D03A13" w:rsidP="005C2955">
      <w:pPr>
        <w:spacing w:after="0" w:line="240" w:lineRule="auto"/>
        <w:ind w:firstLine="284"/>
        <w:jc w:val="center"/>
        <w:rPr>
          <w:rFonts w:ascii="Garamond" w:eastAsia="Times New Roman" w:hAnsi="Garamond" w:cs="Times New Roman"/>
          <w:b/>
          <w:bCs/>
          <w:sz w:val="24"/>
          <w:szCs w:val="24"/>
          <w:lang w:eastAsia="en-GB"/>
        </w:rPr>
      </w:pPr>
    </w:p>
    <w:p w14:paraId="4B295FAD" w14:textId="77777777" w:rsidR="00D03A13" w:rsidRPr="00AF228C" w:rsidRDefault="00D03A13" w:rsidP="005C2955">
      <w:pPr>
        <w:spacing w:after="0" w:line="240" w:lineRule="auto"/>
        <w:ind w:firstLine="284"/>
        <w:jc w:val="center"/>
        <w:rPr>
          <w:rFonts w:ascii="Garamond" w:eastAsia="Times New Roman" w:hAnsi="Garamond" w:cs="Times New Roman"/>
          <w:b/>
          <w:bCs/>
          <w:sz w:val="24"/>
          <w:szCs w:val="24"/>
          <w:lang w:eastAsia="en-GB"/>
        </w:rPr>
      </w:pPr>
    </w:p>
    <w:p w14:paraId="0D485D52" w14:textId="77777777" w:rsidR="00ED62DF" w:rsidRPr="00AF228C" w:rsidRDefault="00ED62DF" w:rsidP="005C2955">
      <w:pPr>
        <w:spacing w:after="0" w:line="240" w:lineRule="auto"/>
        <w:ind w:firstLine="284"/>
        <w:jc w:val="center"/>
        <w:rPr>
          <w:rFonts w:ascii="Garamond" w:eastAsia="Times New Roman" w:hAnsi="Garamond" w:cs="Times New Roman"/>
          <w:b/>
          <w:bCs/>
          <w:sz w:val="24"/>
          <w:szCs w:val="24"/>
          <w:lang w:eastAsia="en-GB"/>
        </w:rPr>
      </w:pPr>
    </w:p>
    <w:p w14:paraId="2C30D4BA" w14:textId="77777777" w:rsidR="00BD55A9" w:rsidRPr="00D25767" w:rsidRDefault="00BD55A9" w:rsidP="005C2955">
      <w:pPr>
        <w:spacing w:after="0" w:line="240" w:lineRule="auto"/>
        <w:ind w:firstLine="284"/>
        <w:jc w:val="center"/>
        <w:rPr>
          <w:rFonts w:ascii="Garamond" w:eastAsia="Times New Roman" w:hAnsi="Garamond" w:cs="Times New Roman"/>
          <w:bCs/>
          <w:sz w:val="24"/>
          <w:szCs w:val="24"/>
          <w:lang w:eastAsia="en-GB"/>
        </w:rPr>
      </w:pPr>
      <w:r w:rsidRPr="00D25767">
        <w:rPr>
          <w:rFonts w:ascii="Garamond" w:eastAsia="Times New Roman" w:hAnsi="Garamond" w:cs="Times New Roman"/>
          <w:bCs/>
          <w:sz w:val="24"/>
          <w:szCs w:val="24"/>
          <w:lang w:eastAsia="en-GB"/>
        </w:rPr>
        <w:t xml:space="preserve">SHTOJCA II </w:t>
      </w:r>
    </w:p>
    <w:p w14:paraId="685DB76A" w14:textId="77777777" w:rsidR="00646199" w:rsidRPr="00D25767" w:rsidRDefault="00646199" w:rsidP="005C2955">
      <w:pPr>
        <w:spacing w:after="0" w:line="240" w:lineRule="auto"/>
        <w:ind w:firstLine="284"/>
        <w:jc w:val="center"/>
        <w:rPr>
          <w:rFonts w:ascii="Garamond" w:eastAsia="Times New Roman" w:hAnsi="Garamond" w:cs="Times New Roman"/>
          <w:bCs/>
          <w:sz w:val="24"/>
          <w:szCs w:val="24"/>
          <w:lang w:eastAsia="en-GB"/>
        </w:rPr>
      </w:pPr>
      <w:r w:rsidRPr="00D25767">
        <w:rPr>
          <w:rFonts w:ascii="Garamond" w:hAnsi="Garamond" w:cs="Times New Roman"/>
          <w:bCs/>
          <w:sz w:val="24"/>
          <w:szCs w:val="24"/>
        </w:rPr>
        <w:lastRenderedPageBreak/>
        <w:t>PRODUKTET E PESHKIMIT QË I NËNSHTROHEN MEKANIZMIT TË RUAJTJES</w:t>
      </w:r>
    </w:p>
    <w:p w14:paraId="6E524129" w14:textId="77777777" w:rsidR="008B6A6A" w:rsidRPr="00D25767" w:rsidRDefault="008B6A6A" w:rsidP="005C2955">
      <w:pPr>
        <w:spacing w:after="0" w:line="240" w:lineRule="auto"/>
        <w:ind w:firstLine="284"/>
        <w:rPr>
          <w:rFonts w:ascii="Garamond" w:hAnsi="Garamond" w:cs="Times New Roman"/>
          <w:sz w:val="24"/>
          <w:szCs w:val="24"/>
        </w:rPr>
      </w:pPr>
    </w:p>
    <w:tbl>
      <w:tblPr>
        <w:tblW w:w="9639" w:type="dxa"/>
        <w:tblCellSpacing w:w="15" w:type="dxa"/>
        <w:tblCellMar>
          <w:top w:w="15" w:type="dxa"/>
          <w:left w:w="15" w:type="dxa"/>
          <w:bottom w:w="15" w:type="dxa"/>
          <w:right w:w="15" w:type="dxa"/>
        </w:tblCellMar>
        <w:tblLook w:val="04A0" w:firstRow="1" w:lastRow="0" w:firstColumn="1" w:lastColumn="0" w:noHBand="0" w:noVBand="1"/>
      </w:tblPr>
      <w:tblGrid>
        <w:gridCol w:w="1260"/>
        <w:gridCol w:w="8379"/>
      </w:tblGrid>
      <w:tr w:rsidR="002978D1" w:rsidRPr="00AF228C" w14:paraId="3370C2C6" w14:textId="77777777" w:rsidTr="00D25767">
        <w:trPr>
          <w:tblHeader/>
          <w:tblCellSpacing w:w="15" w:type="dxa"/>
        </w:trPr>
        <w:tc>
          <w:tcPr>
            <w:tcW w:w="1215" w:type="dxa"/>
            <w:vAlign w:val="center"/>
            <w:hideMark/>
          </w:tcPr>
          <w:p w14:paraId="649AB20F" w14:textId="77777777" w:rsidR="002978D1" w:rsidRPr="00AF228C" w:rsidRDefault="002978D1" w:rsidP="005C2955">
            <w:pPr>
              <w:spacing w:after="0" w:line="240" w:lineRule="auto"/>
              <w:rPr>
                <w:rFonts w:ascii="Garamond" w:hAnsi="Garamond" w:cs="Times New Roman"/>
                <w:b/>
                <w:bCs/>
                <w:sz w:val="24"/>
                <w:szCs w:val="24"/>
              </w:rPr>
            </w:pPr>
            <w:r w:rsidRPr="00AF228C">
              <w:rPr>
                <w:rFonts w:ascii="Garamond" w:hAnsi="Garamond" w:cs="Times New Roman"/>
                <w:b/>
                <w:bCs/>
                <w:sz w:val="24"/>
                <w:szCs w:val="24"/>
              </w:rPr>
              <w:t>Kodi NK</w:t>
            </w:r>
          </w:p>
        </w:tc>
        <w:tc>
          <w:tcPr>
            <w:tcW w:w="8334" w:type="dxa"/>
            <w:vAlign w:val="center"/>
            <w:hideMark/>
          </w:tcPr>
          <w:p w14:paraId="1DADE682" w14:textId="77777777" w:rsidR="002978D1" w:rsidRPr="00AF228C" w:rsidRDefault="002978D1" w:rsidP="005C2955">
            <w:pPr>
              <w:spacing w:after="0" w:line="240" w:lineRule="auto"/>
              <w:rPr>
                <w:rFonts w:ascii="Garamond" w:hAnsi="Garamond" w:cs="Times New Roman"/>
                <w:b/>
                <w:bCs/>
                <w:sz w:val="24"/>
                <w:szCs w:val="24"/>
              </w:rPr>
            </w:pPr>
            <w:r w:rsidRPr="00AF228C">
              <w:rPr>
                <w:rFonts w:ascii="Garamond" w:hAnsi="Garamond" w:cs="Times New Roman"/>
                <w:b/>
                <w:bCs/>
                <w:sz w:val="24"/>
                <w:szCs w:val="24"/>
              </w:rPr>
              <w:t>Përshkrimi</w:t>
            </w:r>
          </w:p>
        </w:tc>
      </w:tr>
      <w:tr w:rsidR="002978D1" w:rsidRPr="00AF228C" w14:paraId="6E4EEB8A" w14:textId="77777777" w:rsidTr="00D25767">
        <w:trPr>
          <w:tblCellSpacing w:w="15" w:type="dxa"/>
        </w:trPr>
        <w:tc>
          <w:tcPr>
            <w:tcW w:w="1215" w:type="dxa"/>
            <w:vAlign w:val="center"/>
            <w:hideMark/>
          </w:tcPr>
          <w:p w14:paraId="07ECEC97"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0301 94</w:t>
            </w:r>
          </w:p>
        </w:tc>
        <w:tc>
          <w:tcPr>
            <w:tcW w:w="8334" w:type="dxa"/>
            <w:vAlign w:val="center"/>
            <w:hideMark/>
          </w:tcPr>
          <w:p w14:paraId="273D1B59"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Ton me fletë notuese blu i Atlantikut dhe Paqësorit (</w:t>
            </w:r>
            <w:r w:rsidRPr="00AF228C">
              <w:rPr>
                <w:rFonts w:ascii="Garamond" w:hAnsi="Garamond" w:cs="Times New Roman"/>
                <w:i/>
                <w:iCs/>
                <w:sz w:val="24"/>
                <w:szCs w:val="24"/>
              </w:rPr>
              <w:t>Thunnus thunnus</w:t>
            </w:r>
            <w:r w:rsidRPr="00AF228C">
              <w:rPr>
                <w:rFonts w:ascii="Garamond" w:hAnsi="Garamond" w:cs="Times New Roman"/>
                <w:sz w:val="24"/>
                <w:szCs w:val="24"/>
              </w:rPr>
              <w:t>)</w:t>
            </w:r>
          </w:p>
        </w:tc>
      </w:tr>
      <w:tr w:rsidR="002978D1" w:rsidRPr="00AF228C" w14:paraId="363C8256" w14:textId="77777777" w:rsidTr="00D25767">
        <w:trPr>
          <w:tblCellSpacing w:w="15" w:type="dxa"/>
        </w:trPr>
        <w:tc>
          <w:tcPr>
            <w:tcW w:w="1215" w:type="dxa"/>
            <w:vAlign w:val="center"/>
            <w:hideMark/>
          </w:tcPr>
          <w:p w14:paraId="64AEEE8A"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0302 21 10</w:t>
            </w:r>
          </w:p>
        </w:tc>
        <w:tc>
          <w:tcPr>
            <w:tcW w:w="8334" w:type="dxa"/>
            <w:vAlign w:val="center"/>
            <w:hideMark/>
          </w:tcPr>
          <w:p w14:paraId="26020312"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Rumbë “Lesser” apo Greenland (</w:t>
            </w:r>
            <w:r w:rsidRPr="00AF228C">
              <w:rPr>
                <w:rFonts w:ascii="Garamond" w:hAnsi="Garamond" w:cs="Times New Roman"/>
                <w:i/>
                <w:iCs/>
                <w:sz w:val="24"/>
                <w:szCs w:val="24"/>
              </w:rPr>
              <w:t>Reinhardtius hippoglossoides</w:t>
            </w:r>
            <w:r w:rsidRPr="00AF228C">
              <w:rPr>
                <w:rFonts w:ascii="Garamond" w:hAnsi="Garamond" w:cs="Times New Roman"/>
                <w:sz w:val="24"/>
                <w:szCs w:val="24"/>
              </w:rPr>
              <w:t>)</w:t>
            </w:r>
          </w:p>
        </w:tc>
      </w:tr>
      <w:tr w:rsidR="002978D1" w:rsidRPr="00AF228C" w14:paraId="4B7D0B13" w14:textId="77777777" w:rsidTr="00D25767">
        <w:trPr>
          <w:tblCellSpacing w:w="15" w:type="dxa"/>
        </w:trPr>
        <w:tc>
          <w:tcPr>
            <w:tcW w:w="1215" w:type="dxa"/>
            <w:vAlign w:val="center"/>
            <w:hideMark/>
          </w:tcPr>
          <w:p w14:paraId="4A60EAF1"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0302 22 00</w:t>
            </w:r>
          </w:p>
        </w:tc>
        <w:tc>
          <w:tcPr>
            <w:tcW w:w="8334" w:type="dxa"/>
            <w:vAlign w:val="center"/>
            <w:hideMark/>
          </w:tcPr>
          <w:p w14:paraId="03220741"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Gjuhëz (</w:t>
            </w:r>
            <w:r w:rsidRPr="00AF228C">
              <w:rPr>
                <w:rFonts w:ascii="Garamond" w:hAnsi="Garamond" w:cs="Times New Roman"/>
                <w:i/>
                <w:iCs/>
                <w:sz w:val="24"/>
                <w:szCs w:val="24"/>
              </w:rPr>
              <w:t>Pleuronectes platessa</w:t>
            </w:r>
            <w:r w:rsidRPr="00AF228C">
              <w:rPr>
                <w:rFonts w:ascii="Garamond" w:hAnsi="Garamond" w:cs="Times New Roman"/>
                <w:sz w:val="24"/>
                <w:szCs w:val="24"/>
              </w:rPr>
              <w:t>)</w:t>
            </w:r>
          </w:p>
        </w:tc>
      </w:tr>
      <w:tr w:rsidR="002978D1" w:rsidRPr="00AF228C" w14:paraId="669640E6" w14:textId="77777777" w:rsidTr="00D25767">
        <w:trPr>
          <w:tblCellSpacing w:w="15" w:type="dxa"/>
        </w:trPr>
        <w:tc>
          <w:tcPr>
            <w:tcW w:w="1215" w:type="dxa"/>
            <w:vAlign w:val="center"/>
            <w:hideMark/>
          </w:tcPr>
          <w:p w14:paraId="171EB62B"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0302 23 00</w:t>
            </w:r>
          </w:p>
        </w:tc>
        <w:tc>
          <w:tcPr>
            <w:tcW w:w="8334" w:type="dxa"/>
            <w:vAlign w:val="center"/>
            <w:hideMark/>
          </w:tcPr>
          <w:p w14:paraId="103F4712"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Sole (</w:t>
            </w:r>
            <w:r w:rsidRPr="00AF228C">
              <w:rPr>
                <w:rFonts w:ascii="Garamond" w:hAnsi="Garamond" w:cs="Times New Roman"/>
                <w:i/>
                <w:iCs/>
                <w:sz w:val="24"/>
                <w:szCs w:val="24"/>
              </w:rPr>
              <w:t>Solea spp.</w:t>
            </w:r>
            <w:r w:rsidRPr="00AF228C">
              <w:rPr>
                <w:rFonts w:ascii="Garamond" w:hAnsi="Garamond" w:cs="Times New Roman"/>
                <w:sz w:val="24"/>
                <w:szCs w:val="24"/>
              </w:rPr>
              <w:t>)</w:t>
            </w:r>
          </w:p>
        </w:tc>
      </w:tr>
      <w:tr w:rsidR="002978D1" w:rsidRPr="00AF228C" w14:paraId="7EE5BBA9" w14:textId="77777777" w:rsidTr="00D25767">
        <w:trPr>
          <w:tblCellSpacing w:w="15" w:type="dxa"/>
        </w:trPr>
        <w:tc>
          <w:tcPr>
            <w:tcW w:w="1215" w:type="dxa"/>
            <w:vAlign w:val="center"/>
            <w:hideMark/>
          </w:tcPr>
          <w:p w14:paraId="2D449CB6"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0302 29 10</w:t>
            </w:r>
          </w:p>
        </w:tc>
        <w:tc>
          <w:tcPr>
            <w:tcW w:w="8334" w:type="dxa"/>
            <w:vAlign w:val="center"/>
            <w:hideMark/>
          </w:tcPr>
          <w:p w14:paraId="3C3CADD6"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Megrim (</w:t>
            </w:r>
            <w:r w:rsidRPr="00AF228C">
              <w:rPr>
                <w:rFonts w:ascii="Garamond" w:hAnsi="Garamond" w:cs="Times New Roman"/>
                <w:i/>
                <w:iCs/>
                <w:sz w:val="24"/>
                <w:szCs w:val="24"/>
              </w:rPr>
              <w:t>Lepidorhombus spp.</w:t>
            </w:r>
            <w:r w:rsidRPr="00AF228C">
              <w:rPr>
                <w:rFonts w:ascii="Garamond" w:hAnsi="Garamond" w:cs="Times New Roman"/>
                <w:sz w:val="24"/>
                <w:szCs w:val="24"/>
              </w:rPr>
              <w:t>)</w:t>
            </w:r>
          </w:p>
        </w:tc>
      </w:tr>
      <w:tr w:rsidR="002978D1" w:rsidRPr="00AF228C" w14:paraId="4C971240" w14:textId="77777777" w:rsidTr="00D25767">
        <w:trPr>
          <w:tblCellSpacing w:w="15" w:type="dxa"/>
        </w:trPr>
        <w:tc>
          <w:tcPr>
            <w:tcW w:w="1215" w:type="dxa"/>
            <w:vAlign w:val="center"/>
            <w:hideMark/>
          </w:tcPr>
          <w:p w14:paraId="4E5D4931"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0302 31</w:t>
            </w:r>
          </w:p>
        </w:tc>
        <w:tc>
          <w:tcPr>
            <w:tcW w:w="8334" w:type="dxa"/>
            <w:vAlign w:val="center"/>
            <w:hideMark/>
          </w:tcPr>
          <w:p w14:paraId="6BCDADF2"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Ton i bardhë apo me fletë notuese të gjata (</w:t>
            </w:r>
            <w:r w:rsidRPr="00AF228C">
              <w:rPr>
                <w:rFonts w:ascii="Garamond" w:hAnsi="Garamond" w:cs="Times New Roman"/>
                <w:i/>
                <w:iCs/>
                <w:sz w:val="24"/>
                <w:szCs w:val="24"/>
              </w:rPr>
              <w:t>Thunnus alalunga</w:t>
            </w:r>
            <w:r w:rsidRPr="00AF228C">
              <w:rPr>
                <w:rFonts w:ascii="Garamond" w:hAnsi="Garamond" w:cs="Times New Roman"/>
                <w:sz w:val="24"/>
                <w:szCs w:val="24"/>
              </w:rPr>
              <w:t>)</w:t>
            </w:r>
          </w:p>
        </w:tc>
      </w:tr>
      <w:tr w:rsidR="002978D1" w:rsidRPr="00AF228C" w14:paraId="49EDA391" w14:textId="77777777" w:rsidTr="00D25767">
        <w:trPr>
          <w:tblCellSpacing w:w="15" w:type="dxa"/>
        </w:trPr>
        <w:tc>
          <w:tcPr>
            <w:tcW w:w="1215" w:type="dxa"/>
            <w:vAlign w:val="center"/>
            <w:hideMark/>
          </w:tcPr>
          <w:p w14:paraId="5AA40C79"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0302 31 90</w:t>
            </w:r>
          </w:p>
        </w:tc>
        <w:tc>
          <w:tcPr>
            <w:tcW w:w="8334" w:type="dxa"/>
            <w:vAlign w:val="center"/>
            <w:hideMark/>
          </w:tcPr>
          <w:p w14:paraId="627F5506"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Ton i bardhë apo me fletë notuese të gjata – të tjera (</w:t>
            </w:r>
            <w:r w:rsidRPr="00AF228C">
              <w:rPr>
                <w:rFonts w:ascii="Garamond" w:hAnsi="Garamond" w:cs="Times New Roman"/>
                <w:i/>
                <w:iCs/>
                <w:sz w:val="24"/>
                <w:szCs w:val="24"/>
              </w:rPr>
              <w:t>Thunnus alalunga</w:t>
            </w:r>
            <w:r w:rsidRPr="00AF228C">
              <w:rPr>
                <w:rFonts w:ascii="Garamond" w:hAnsi="Garamond" w:cs="Times New Roman"/>
                <w:sz w:val="24"/>
                <w:szCs w:val="24"/>
              </w:rPr>
              <w:t>)</w:t>
            </w:r>
          </w:p>
        </w:tc>
      </w:tr>
      <w:tr w:rsidR="002978D1" w:rsidRPr="00AF228C" w14:paraId="50DEEF97" w14:textId="77777777" w:rsidTr="00D25767">
        <w:trPr>
          <w:tblCellSpacing w:w="15" w:type="dxa"/>
        </w:trPr>
        <w:tc>
          <w:tcPr>
            <w:tcW w:w="1215" w:type="dxa"/>
            <w:vAlign w:val="center"/>
            <w:hideMark/>
          </w:tcPr>
          <w:p w14:paraId="3CA8CA17"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0302 32</w:t>
            </w:r>
          </w:p>
        </w:tc>
        <w:tc>
          <w:tcPr>
            <w:tcW w:w="8334" w:type="dxa"/>
            <w:vAlign w:val="center"/>
            <w:hideMark/>
          </w:tcPr>
          <w:p w14:paraId="325DBB15"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Ton me fletë notuese të verdha (</w:t>
            </w:r>
            <w:r w:rsidRPr="00AF228C">
              <w:rPr>
                <w:rFonts w:ascii="Garamond" w:hAnsi="Garamond" w:cs="Times New Roman"/>
                <w:i/>
                <w:iCs/>
                <w:sz w:val="24"/>
                <w:szCs w:val="24"/>
              </w:rPr>
              <w:t>Thunnus albacares</w:t>
            </w:r>
            <w:r w:rsidRPr="00AF228C">
              <w:rPr>
                <w:rFonts w:ascii="Garamond" w:hAnsi="Garamond" w:cs="Times New Roman"/>
                <w:sz w:val="24"/>
                <w:szCs w:val="24"/>
              </w:rPr>
              <w:t>)</w:t>
            </w:r>
          </w:p>
        </w:tc>
      </w:tr>
      <w:tr w:rsidR="002978D1" w:rsidRPr="00AF228C" w14:paraId="733656FC" w14:textId="77777777" w:rsidTr="00D25767">
        <w:trPr>
          <w:tblCellSpacing w:w="15" w:type="dxa"/>
        </w:trPr>
        <w:tc>
          <w:tcPr>
            <w:tcW w:w="1215" w:type="dxa"/>
            <w:vAlign w:val="center"/>
            <w:hideMark/>
          </w:tcPr>
          <w:p w14:paraId="139A6154"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0302 33</w:t>
            </w:r>
          </w:p>
        </w:tc>
        <w:tc>
          <w:tcPr>
            <w:tcW w:w="8334" w:type="dxa"/>
            <w:vAlign w:val="center"/>
            <w:hideMark/>
          </w:tcPr>
          <w:p w14:paraId="24949574"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Ton Skipjack (Bonito me bark vija-vija) (</w:t>
            </w:r>
            <w:r w:rsidRPr="00AF228C">
              <w:rPr>
                <w:rFonts w:ascii="Garamond" w:hAnsi="Garamond" w:cs="Times New Roman"/>
                <w:i/>
                <w:iCs/>
                <w:sz w:val="24"/>
                <w:szCs w:val="24"/>
              </w:rPr>
              <w:t>Katsu</w:t>
            </w:r>
            <w:r w:rsidR="009E0A59" w:rsidRPr="00AF228C">
              <w:rPr>
                <w:rFonts w:ascii="Garamond" w:hAnsi="Garamond" w:cs="Times New Roman"/>
                <w:i/>
                <w:iCs/>
                <w:sz w:val="24"/>
                <w:szCs w:val="24"/>
              </w:rPr>
              <w:t>ë</w:t>
            </w:r>
            <w:r w:rsidRPr="00AF228C">
              <w:rPr>
                <w:rFonts w:ascii="Garamond" w:hAnsi="Garamond" w:cs="Times New Roman"/>
                <w:i/>
                <w:iCs/>
                <w:sz w:val="24"/>
                <w:szCs w:val="24"/>
              </w:rPr>
              <w:t>onus pelamis</w:t>
            </w:r>
            <w:r w:rsidRPr="00AF228C">
              <w:rPr>
                <w:rFonts w:ascii="Garamond" w:hAnsi="Garamond" w:cs="Times New Roman"/>
                <w:sz w:val="24"/>
                <w:szCs w:val="24"/>
              </w:rPr>
              <w:t>)</w:t>
            </w:r>
          </w:p>
        </w:tc>
      </w:tr>
      <w:tr w:rsidR="002978D1" w:rsidRPr="00AF228C" w14:paraId="6DEED405" w14:textId="77777777" w:rsidTr="00D25767">
        <w:trPr>
          <w:tblCellSpacing w:w="15" w:type="dxa"/>
        </w:trPr>
        <w:tc>
          <w:tcPr>
            <w:tcW w:w="1215" w:type="dxa"/>
            <w:vAlign w:val="center"/>
            <w:hideMark/>
          </w:tcPr>
          <w:p w14:paraId="06B3E535"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0302 35</w:t>
            </w:r>
          </w:p>
        </w:tc>
        <w:tc>
          <w:tcPr>
            <w:tcW w:w="8334" w:type="dxa"/>
            <w:vAlign w:val="center"/>
            <w:hideMark/>
          </w:tcPr>
          <w:p w14:paraId="3E6CC5D8"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Ton me fletë notuese blu i Atlantikut dhe Paqësorit (</w:t>
            </w:r>
            <w:r w:rsidRPr="00AF228C">
              <w:rPr>
                <w:rFonts w:ascii="Garamond" w:hAnsi="Garamond" w:cs="Times New Roman"/>
                <w:i/>
                <w:iCs/>
                <w:sz w:val="24"/>
                <w:szCs w:val="24"/>
              </w:rPr>
              <w:t>Thunnus thunnus</w:t>
            </w:r>
            <w:r w:rsidRPr="00AF228C">
              <w:rPr>
                <w:rFonts w:ascii="Garamond" w:hAnsi="Garamond" w:cs="Times New Roman"/>
                <w:sz w:val="24"/>
                <w:szCs w:val="24"/>
              </w:rPr>
              <w:t>)</w:t>
            </w:r>
          </w:p>
        </w:tc>
      </w:tr>
      <w:tr w:rsidR="002978D1" w:rsidRPr="00AF228C" w14:paraId="00DD8F17" w14:textId="77777777" w:rsidTr="00D25767">
        <w:trPr>
          <w:tblCellSpacing w:w="15" w:type="dxa"/>
        </w:trPr>
        <w:tc>
          <w:tcPr>
            <w:tcW w:w="1215" w:type="dxa"/>
            <w:vAlign w:val="center"/>
            <w:hideMark/>
          </w:tcPr>
          <w:p w14:paraId="7E48BAE0"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0302 35 19</w:t>
            </w:r>
          </w:p>
        </w:tc>
        <w:tc>
          <w:tcPr>
            <w:tcW w:w="8334" w:type="dxa"/>
            <w:vAlign w:val="center"/>
            <w:hideMark/>
          </w:tcPr>
          <w:p w14:paraId="47361557"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 xml:space="preserve">Specie të tjera të tonit të familjes </w:t>
            </w:r>
            <w:r w:rsidRPr="00AF228C">
              <w:rPr>
                <w:rFonts w:ascii="Garamond" w:hAnsi="Garamond" w:cs="Times New Roman"/>
                <w:i/>
                <w:iCs/>
                <w:sz w:val="24"/>
                <w:szCs w:val="24"/>
              </w:rPr>
              <w:t>Thunnus</w:t>
            </w:r>
          </w:p>
        </w:tc>
      </w:tr>
      <w:tr w:rsidR="002978D1" w:rsidRPr="00AF228C" w14:paraId="40446A15" w14:textId="77777777" w:rsidTr="00D25767">
        <w:trPr>
          <w:tblCellSpacing w:w="15" w:type="dxa"/>
        </w:trPr>
        <w:tc>
          <w:tcPr>
            <w:tcW w:w="1215" w:type="dxa"/>
            <w:vAlign w:val="center"/>
            <w:hideMark/>
          </w:tcPr>
          <w:p w14:paraId="4EC708B9"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0302 41 00</w:t>
            </w:r>
          </w:p>
        </w:tc>
        <w:tc>
          <w:tcPr>
            <w:tcW w:w="8334" w:type="dxa"/>
            <w:vAlign w:val="center"/>
            <w:hideMark/>
          </w:tcPr>
          <w:p w14:paraId="44A670DB"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Harrenga (</w:t>
            </w:r>
            <w:r w:rsidRPr="00AF228C">
              <w:rPr>
                <w:rFonts w:ascii="Garamond" w:hAnsi="Garamond" w:cs="Times New Roman"/>
                <w:i/>
                <w:iCs/>
                <w:sz w:val="24"/>
                <w:szCs w:val="24"/>
              </w:rPr>
              <w:t>Clupea harengus, Clupea pallasii</w:t>
            </w:r>
            <w:r w:rsidRPr="00AF228C">
              <w:rPr>
                <w:rFonts w:ascii="Garamond" w:hAnsi="Garamond" w:cs="Times New Roman"/>
                <w:sz w:val="24"/>
                <w:szCs w:val="24"/>
              </w:rPr>
              <w:t>)</w:t>
            </w:r>
          </w:p>
        </w:tc>
      </w:tr>
      <w:tr w:rsidR="002978D1" w:rsidRPr="00AF228C" w14:paraId="226A1C56" w14:textId="77777777" w:rsidTr="00D25767">
        <w:trPr>
          <w:tblCellSpacing w:w="15" w:type="dxa"/>
        </w:trPr>
        <w:tc>
          <w:tcPr>
            <w:tcW w:w="1215" w:type="dxa"/>
            <w:vAlign w:val="center"/>
            <w:hideMark/>
          </w:tcPr>
          <w:p w14:paraId="1BA69062"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0302 43 10</w:t>
            </w:r>
          </w:p>
        </w:tc>
        <w:tc>
          <w:tcPr>
            <w:tcW w:w="8334" w:type="dxa"/>
            <w:vAlign w:val="center"/>
            <w:hideMark/>
          </w:tcPr>
          <w:p w14:paraId="5FFDB087"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Sardele (</w:t>
            </w:r>
            <w:r w:rsidRPr="00AF228C">
              <w:rPr>
                <w:rFonts w:ascii="Garamond" w:hAnsi="Garamond" w:cs="Times New Roman"/>
                <w:i/>
                <w:iCs/>
                <w:sz w:val="24"/>
                <w:szCs w:val="24"/>
              </w:rPr>
              <w:t>Sardina pilchardus</w:t>
            </w:r>
            <w:r w:rsidRPr="00AF228C">
              <w:rPr>
                <w:rFonts w:ascii="Garamond" w:hAnsi="Garamond" w:cs="Times New Roman"/>
                <w:sz w:val="24"/>
                <w:szCs w:val="24"/>
              </w:rPr>
              <w:t>)</w:t>
            </w:r>
          </w:p>
        </w:tc>
      </w:tr>
      <w:tr w:rsidR="002978D1" w:rsidRPr="00AF228C" w14:paraId="7CA3F37A" w14:textId="77777777" w:rsidTr="00D25767">
        <w:trPr>
          <w:tblCellSpacing w:w="15" w:type="dxa"/>
        </w:trPr>
        <w:tc>
          <w:tcPr>
            <w:tcW w:w="1215" w:type="dxa"/>
            <w:vAlign w:val="center"/>
            <w:hideMark/>
          </w:tcPr>
          <w:p w14:paraId="5BCDDB4B"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0302 43 90</w:t>
            </w:r>
          </w:p>
        </w:tc>
        <w:tc>
          <w:tcPr>
            <w:tcW w:w="8334" w:type="dxa"/>
            <w:vAlign w:val="center"/>
            <w:hideMark/>
          </w:tcPr>
          <w:p w14:paraId="0362B41A"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Sprat (</w:t>
            </w:r>
            <w:r w:rsidRPr="00AF228C">
              <w:rPr>
                <w:rFonts w:ascii="Garamond" w:hAnsi="Garamond" w:cs="Times New Roman"/>
                <w:i/>
                <w:iCs/>
                <w:sz w:val="24"/>
                <w:szCs w:val="24"/>
              </w:rPr>
              <w:t>Sprattus sprattus</w:t>
            </w:r>
            <w:r w:rsidRPr="00AF228C">
              <w:rPr>
                <w:rFonts w:ascii="Garamond" w:hAnsi="Garamond" w:cs="Times New Roman"/>
                <w:sz w:val="24"/>
                <w:szCs w:val="24"/>
              </w:rPr>
              <w:t>)</w:t>
            </w:r>
          </w:p>
        </w:tc>
      </w:tr>
      <w:tr w:rsidR="002978D1" w:rsidRPr="00AF228C" w14:paraId="49EE12A9" w14:textId="77777777" w:rsidTr="00D25767">
        <w:trPr>
          <w:tblCellSpacing w:w="15" w:type="dxa"/>
        </w:trPr>
        <w:tc>
          <w:tcPr>
            <w:tcW w:w="1215" w:type="dxa"/>
            <w:vAlign w:val="center"/>
            <w:hideMark/>
          </w:tcPr>
          <w:p w14:paraId="38C08BB4"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0302 44 00</w:t>
            </w:r>
          </w:p>
        </w:tc>
        <w:tc>
          <w:tcPr>
            <w:tcW w:w="8334" w:type="dxa"/>
            <w:vAlign w:val="center"/>
            <w:hideMark/>
          </w:tcPr>
          <w:p w14:paraId="4DBC3FF2"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Skumbri (</w:t>
            </w:r>
            <w:r w:rsidRPr="00AF228C">
              <w:rPr>
                <w:rFonts w:ascii="Garamond" w:hAnsi="Garamond" w:cs="Times New Roman"/>
                <w:i/>
                <w:iCs/>
                <w:sz w:val="24"/>
                <w:szCs w:val="24"/>
              </w:rPr>
              <w:t>Scomber scombrus, S. australasicus, S. japonicus</w:t>
            </w:r>
            <w:r w:rsidRPr="00AF228C">
              <w:rPr>
                <w:rFonts w:ascii="Garamond" w:hAnsi="Garamond" w:cs="Times New Roman"/>
                <w:sz w:val="24"/>
                <w:szCs w:val="24"/>
              </w:rPr>
              <w:t>)</w:t>
            </w:r>
          </w:p>
        </w:tc>
      </w:tr>
      <w:tr w:rsidR="002978D1" w:rsidRPr="00AF228C" w14:paraId="77BBE7D4" w14:textId="77777777" w:rsidTr="00D25767">
        <w:trPr>
          <w:tblCellSpacing w:w="15" w:type="dxa"/>
        </w:trPr>
        <w:tc>
          <w:tcPr>
            <w:tcW w:w="1215" w:type="dxa"/>
            <w:vAlign w:val="center"/>
            <w:hideMark/>
          </w:tcPr>
          <w:p w14:paraId="4D4EBEE0"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0302 51</w:t>
            </w:r>
          </w:p>
        </w:tc>
        <w:tc>
          <w:tcPr>
            <w:tcW w:w="8334" w:type="dxa"/>
            <w:vAlign w:val="center"/>
            <w:hideMark/>
          </w:tcPr>
          <w:p w14:paraId="60FD7D47"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Merluc (</w:t>
            </w:r>
            <w:r w:rsidRPr="00AF228C">
              <w:rPr>
                <w:rFonts w:ascii="Garamond" w:hAnsi="Garamond" w:cs="Times New Roman"/>
                <w:i/>
                <w:iCs/>
                <w:sz w:val="24"/>
                <w:szCs w:val="24"/>
              </w:rPr>
              <w:t>Gadus morhua, Gadus ogac, Gadus macrocephalus</w:t>
            </w:r>
            <w:r w:rsidRPr="00AF228C">
              <w:rPr>
                <w:rFonts w:ascii="Garamond" w:hAnsi="Garamond" w:cs="Times New Roman"/>
                <w:sz w:val="24"/>
                <w:szCs w:val="24"/>
              </w:rPr>
              <w:t>)</w:t>
            </w:r>
          </w:p>
        </w:tc>
      </w:tr>
      <w:tr w:rsidR="002978D1" w:rsidRPr="00AF228C" w14:paraId="5D580FD3" w14:textId="77777777" w:rsidTr="00D25767">
        <w:trPr>
          <w:tblCellSpacing w:w="15" w:type="dxa"/>
        </w:trPr>
        <w:tc>
          <w:tcPr>
            <w:tcW w:w="1215" w:type="dxa"/>
            <w:vAlign w:val="center"/>
            <w:hideMark/>
          </w:tcPr>
          <w:p w14:paraId="7EB9A473"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0302 52 00</w:t>
            </w:r>
          </w:p>
        </w:tc>
        <w:tc>
          <w:tcPr>
            <w:tcW w:w="8334" w:type="dxa"/>
            <w:vAlign w:val="center"/>
            <w:hideMark/>
          </w:tcPr>
          <w:p w14:paraId="32E6DA79"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Merluc (</w:t>
            </w:r>
            <w:r w:rsidRPr="00AF228C">
              <w:rPr>
                <w:rFonts w:ascii="Garamond" w:hAnsi="Garamond" w:cs="Times New Roman"/>
                <w:i/>
                <w:iCs/>
                <w:sz w:val="24"/>
                <w:szCs w:val="24"/>
              </w:rPr>
              <w:t>Melanogrammus aeglefinus</w:t>
            </w:r>
            <w:r w:rsidRPr="00AF228C">
              <w:rPr>
                <w:rFonts w:ascii="Garamond" w:hAnsi="Garamond" w:cs="Times New Roman"/>
                <w:sz w:val="24"/>
                <w:szCs w:val="24"/>
              </w:rPr>
              <w:t>)</w:t>
            </w:r>
          </w:p>
        </w:tc>
      </w:tr>
      <w:tr w:rsidR="002978D1" w:rsidRPr="00AF228C" w14:paraId="34942F7B" w14:textId="77777777" w:rsidTr="00D25767">
        <w:trPr>
          <w:tblCellSpacing w:w="15" w:type="dxa"/>
        </w:trPr>
        <w:tc>
          <w:tcPr>
            <w:tcW w:w="1215" w:type="dxa"/>
            <w:vAlign w:val="center"/>
            <w:hideMark/>
          </w:tcPr>
          <w:p w14:paraId="1663F084"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0302 53 00</w:t>
            </w:r>
          </w:p>
        </w:tc>
        <w:tc>
          <w:tcPr>
            <w:tcW w:w="8334" w:type="dxa"/>
            <w:vAlign w:val="center"/>
            <w:hideMark/>
          </w:tcPr>
          <w:p w14:paraId="130EA9C9"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Merluc i Alaskës (</w:t>
            </w:r>
            <w:r w:rsidRPr="00AF228C">
              <w:rPr>
                <w:rFonts w:ascii="Garamond" w:hAnsi="Garamond" w:cs="Times New Roman"/>
                <w:i/>
                <w:iCs/>
                <w:sz w:val="24"/>
                <w:szCs w:val="24"/>
              </w:rPr>
              <w:t>Pollachius virens</w:t>
            </w:r>
            <w:r w:rsidRPr="00AF228C">
              <w:rPr>
                <w:rFonts w:ascii="Garamond" w:hAnsi="Garamond" w:cs="Times New Roman"/>
                <w:sz w:val="24"/>
                <w:szCs w:val="24"/>
              </w:rPr>
              <w:t>)</w:t>
            </w:r>
          </w:p>
        </w:tc>
      </w:tr>
      <w:tr w:rsidR="002978D1" w:rsidRPr="00AF228C" w14:paraId="79350362" w14:textId="77777777" w:rsidTr="00D25767">
        <w:trPr>
          <w:tblCellSpacing w:w="15" w:type="dxa"/>
        </w:trPr>
        <w:tc>
          <w:tcPr>
            <w:tcW w:w="1215" w:type="dxa"/>
            <w:vAlign w:val="center"/>
            <w:hideMark/>
          </w:tcPr>
          <w:p w14:paraId="33EE42A6"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0302 59 30</w:t>
            </w:r>
          </w:p>
        </w:tc>
        <w:tc>
          <w:tcPr>
            <w:tcW w:w="8334" w:type="dxa"/>
            <w:vAlign w:val="center"/>
            <w:hideMark/>
          </w:tcPr>
          <w:p w14:paraId="567FA049"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Pollack (</w:t>
            </w:r>
            <w:r w:rsidRPr="00AF228C">
              <w:rPr>
                <w:rFonts w:ascii="Garamond" w:hAnsi="Garamond" w:cs="Times New Roman"/>
                <w:i/>
                <w:iCs/>
                <w:sz w:val="24"/>
                <w:szCs w:val="24"/>
              </w:rPr>
              <w:t>Pollachius pollachius</w:t>
            </w:r>
            <w:r w:rsidRPr="00AF228C">
              <w:rPr>
                <w:rFonts w:ascii="Garamond" w:hAnsi="Garamond" w:cs="Times New Roman"/>
                <w:sz w:val="24"/>
                <w:szCs w:val="24"/>
              </w:rPr>
              <w:t>)</w:t>
            </w:r>
          </w:p>
        </w:tc>
      </w:tr>
      <w:tr w:rsidR="002978D1" w:rsidRPr="00AF228C" w14:paraId="52B2531F" w14:textId="77777777" w:rsidTr="00D25767">
        <w:trPr>
          <w:tblCellSpacing w:w="15" w:type="dxa"/>
        </w:trPr>
        <w:tc>
          <w:tcPr>
            <w:tcW w:w="1215" w:type="dxa"/>
            <w:vAlign w:val="center"/>
            <w:hideMark/>
          </w:tcPr>
          <w:p w14:paraId="01CFB1E7"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0302 69 81</w:t>
            </w:r>
          </w:p>
        </w:tc>
        <w:tc>
          <w:tcPr>
            <w:tcW w:w="8334" w:type="dxa"/>
            <w:vAlign w:val="center"/>
            <w:hideMark/>
          </w:tcPr>
          <w:p w14:paraId="17E8A298"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Të tjera (peshq të freskët/të ftohtë)</w:t>
            </w:r>
          </w:p>
        </w:tc>
      </w:tr>
      <w:tr w:rsidR="002978D1" w:rsidRPr="00AF228C" w14:paraId="65B85B40" w14:textId="77777777" w:rsidTr="00D25767">
        <w:trPr>
          <w:tblCellSpacing w:w="15" w:type="dxa"/>
        </w:trPr>
        <w:tc>
          <w:tcPr>
            <w:tcW w:w="1215" w:type="dxa"/>
            <w:vAlign w:val="center"/>
            <w:hideMark/>
          </w:tcPr>
          <w:p w14:paraId="1E2BBC0F"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0302 81 15</w:t>
            </w:r>
          </w:p>
        </w:tc>
        <w:tc>
          <w:tcPr>
            <w:tcW w:w="8334" w:type="dxa"/>
            <w:vAlign w:val="center"/>
            <w:hideMark/>
          </w:tcPr>
          <w:p w14:paraId="0EDA3F3A"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Peshkaqen Picked (</w:t>
            </w:r>
            <w:r w:rsidRPr="00AF228C">
              <w:rPr>
                <w:rFonts w:ascii="Garamond" w:hAnsi="Garamond" w:cs="Times New Roman"/>
                <w:i/>
                <w:iCs/>
                <w:sz w:val="24"/>
                <w:szCs w:val="24"/>
              </w:rPr>
              <w:t>Squalus acanthias</w:t>
            </w:r>
            <w:r w:rsidRPr="00AF228C">
              <w:rPr>
                <w:rFonts w:ascii="Garamond" w:hAnsi="Garamond" w:cs="Times New Roman"/>
                <w:sz w:val="24"/>
                <w:szCs w:val="24"/>
              </w:rPr>
              <w:t xml:space="preserve">) dhe </w:t>
            </w:r>
            <w:r w:rsidRPr="00D25767">
              <w:rPr>
                <w:rFonts w:ascii="Garamond" w:hAnsi="Garamond" w:cs="Times New Roman"/>
                <w:i/>
                <w:sz w:val="24"/>
                <w:szCs w:val="24"/>
              </w:rPr>
              <w:t>cat sharks</w:t>
            </w:r>
            <w:r w:rsidRPr="00AF228C">
              <w:rPr>
                <w:rFonts w:ascii="Garamond" w:hAnsi="Garamond" w:cs="Times New Roman"/>
                <w:sz w:val="24"/>
                <w:szCs w:val="24"/>
              </w:rPr>
              <w:t xml:space="preserve"> (</w:t>
            </w:r>
            <w:r w:rsidRPr="00AF228C">
              <w:rPr>
                <w:rFonts w:ascii="Garamond" w:hAnsi="Garamond" w:cs="Times New Roman"/>
                <w:i/>
                <w:iCs/>
                <w:sz w:val="24"/>
                <w:szCs w:val="24"/>
              </w:rPr>
              <w:t>Scyliorhinus spp.</w:t>
            </w:r>
            <w:r w:rsidRPr="00AF228C">
              <w:rPr>
                <w:rFonts w:ascii="Garamond" w:hAnsi="Garamond" w:cs="Times New Roman"/>
                <w:sz w:val="24"/>
                <w:szCs w:val="24"/>
              </w:rPr>
              <w:t>)</w:t>
            </w:r>
          </w:p>
        </w:tc>
      </w:tr>
      <w:tr w:rsidR="002978D1" w:rsidRPr="00AF228C" w14:paraId="367666AA" w14:textId="77777777" w:rsidTr="00D25767">
        <w:trPr>
          <w:tblCellSpacing w:w="15" w:type="dxa"/>
        </w:trPr>
        <w:tc>
          <w:tcPr>
            <w:tcW w:w="1215" w:type="dxa"/>
            <w:vAlign w:val="center"/>
            <w:hideMark/>
          </w:tcPr>
          <w:p w14:paraId="6C919584"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0302 82 00</w:t>
            </w:r>
          </w:p>
        </w:tc>
        <w:tc>
          <w:tcPr>
            <w:tcW w:w="8334" w:type="dxa"/>
            <w:vAlign w:val="center"/>
            <w:hideMark/>
          </w:tcPr>
          <w:p w14:paraId="2821DF0B"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Rreze dhe skate (</w:t>
            </w:r>
            <w:r w:rsidRPr="00AF228C">
              <w:rPr>
                <w:rFonts w:ascii="Garamond" w:hAnsi="Garamond" w:cs="Times New Roman"/>
                <w:i/>
                <w:iCs/>
                <w:sz w:val="24"/>
                <w:szCs w:val="24"/>
              </w:rPr>
              <w:t>Rajidae</w:t>
            </w:r>
            <w:r w:rsidRPr="00AF228C">
              <w:rPr>
                <w:rFonts w:ascii="Garamond" w:hAnsi="Garamond" w:cs="Times New Roman"/>
                <w:sz w:val="24"/>
                <w:szCs w:val="24"/>
              </w:rPr>
              <w:t>)</w:t>
            </w:r>
          </w:p>
        </w:tc>
      </w:tr>
      <w:tr w:rsidR="002978D1" w:rsidRPr="00AF228C" w14:paraId="03012D9E" w14:textId="77777777" w:rsidTr="00D25767">
        <w:trPr>
          <w:tblCellSpacing w:w="15" w:type="dxa"/>
        </w:trPr>
        <w:tc>
          <w:tcPr>
            <w:tcW w:w="1215" w:type="dxa"/>
            <w:vAlign w:val="center"/>
            <w:hideMark/>
          </w:tcPr>
          <w:p w14:paraId="774D4E0A"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0302 85</w:t>
            </w:r>
          </w:p>
        </w:tc>
        <w:tc>
          <w:tcPr>
            <w:tcW w:w="8334" w:type="dxa"/>
            <w:vAlign w:val="center"/>
            <w:hideMark/>
          </w:tcPr>
          <w:p w14:paraId="6BB7BE01"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Koce (</w:t>
            </w:r>
            <w:r w:rsidRPr="00AF228C">
              <w:rPr>
                <w:rFonts w:ascii="Garamond" w:hAnsi="Garamond" w:cs="Times New Roman"/>
                <w:i/>
                <w:iCs/>
                <w:sz w:val="24"/>
                <w:szCs w:val="24"/>
              </w:rPr>
              <w:t>Sparidae</w:t>
            </w:r>
            <w:r w:rsidRPr="00AF228C">
              <w:rPr>
                <w:rFonts w:ascii="Garamond" w:hAnsi="Garamond" w:cs="Times New Roman"/>
                <w:sz w:val="24"/>
                <w:szCs w:val="24"/>
              </w:rPr>
              <w:t>)</w:t>
            </w:r>
          </w:p>
        </w:tc>
      </w:tr>
      <w:tr w:rsidR="002978D1" w:rsidRPr="00AF228C" w14:paraId="73FA4629" w14:textId="77777777" w:rsidTr="00D25767">
        <w:trPr>
          <w:tblCellSpacing w:w="15" w:type="dxa"/>
        </w:trPr>
        <w:tc>
          <w:tcPr>
            <w:tcW w:w="1215" w:type="dxa"/>
            <w:vAlign w:val="center"/>
            <w:hideMark/>
          </w:tcPr>
          <w:p w14:paraId="5F3FC69C"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0302 85 10</w:t>
            </w:r>
          </w:p>
        </w:tc>
        <w:tc>
          <w:tcPr>
            <w:tcW w:w="8334" w:type="dxa"/>
            <w:vAlign w:val="center"/>
            <w:hideMark/>
          </w:tcPr>
          <w:p w14:paraId="2CB34211"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Koce (</w:t>
            </w:r>
            <w:r w:rsidRPr="00AF228C">
              <w:rPr>
                <w:rFonts w:ascii="Garamond" w:hAnsi="Garamond" w:cs="Times New Roman"/>
                <w:i/>
                <w:iCs/>
                <w:sz w:val="24"/>
                <w:szCs w:val="24"/>
              </w:rPr>
              <w:t>Dentex dentex</w:t>
            </w:r>
            <w:r w:rsidRPr="00AF228C">
              <w:rPr>
                <w:rFonts w:ascii="Garamond" w:hAnsi="Garamond" w:cs="Times New Roman"/>
                <w:sz w:val="24"/>
                <w:szCs w:val="24"/>
              </w:rPr>
              <w:t xml:space="preserve"> ose </w:t>
            </w:r>
            <w:r w:rsidRPr="00AF228C">
              <w:rPr>
                <w:rFonts w:ascii="Garamond" w:hAnsi="Garamond" w:cs="Times New Roman"/>
                <w:i/>
                <w:iCs/>
                <w:sz w:val="24"/>
                <w:szCs w:val="24"/>
              </w:rPr>
              <w:t>Pagellus spp.</w:t>
            </w:r>
            <w:r w:rsidRPr="00AF228C">
              <w:rPr>
                <w:rFonts w:ascii="Garamond" w:hAnsi="Garamond" w:cs="Times New Roman"/>
                <w:sz w:val="24"/>
                <w:szCs w:val="24"/>
              </w:rPr>
              <w:t>)</w:t>
            </w:r>
          </w:p>
        </w:tc>
      </w:tr>
      <w:tr w:rsidR="002978D1" w:rsidRPr="00AF228C" w14:paraId="168B0599" w14:textId="77777777" w:rsidTr="00D25767">
        <w:trPr>
          <w:tblCellSpacing w:w="15" w:type="dxa"/>
        </w:trPr>
        <w:tc>
          <w:tcPr>
            <w:tcW w:w="1215" w:type="dxa"/>
            <w:vAlign w:val="center"/>
            <w:hideMark/>
          </w:tcPr>
          <w:p w14:paraId="636297BE"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0302 85 90</w:t>
            </w:r>
          </w:p>
        </w:tc>
        <w:tc>
          <w:tcPr>
            <w:tcW w:w="8334" w:type="dxa"/>
            <w:vAlign w:val="center"/>
            <w:hideMark/>
          </w:tcPr>
          <w:p w14:paraId="58642FCF"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Koce (</w:t>
            </w:r>
            <w:r w:rsidRPr="00AF228C">
              <w:rPr>
                <w:rFonts w:ascii="Garamond" w:hAnsi="Garamond" w:cs="Times New Roman"/>
                <w:i/>
                <w:iCs/>
                <w:sz w:val="24"/>
                <w:szCs w:val="24"/>
              </w:rPr>
              <w:t>Sparidae</w:t>
            </w:r>
            <w:r w:rsidRPr="00AF228C">
              <w:rPr>
                <w:rFonts w:ascii="Garamond" w:hAnsi="Garamond" w:cs="Times New Roman"/>
                <w:sz w:val="24"/>
                <w:szCs w:val="24"/>
              </w:rPr>
              <w:t>) – të tjera</w:t>
            </w:r>
          </w:p>
        </w:tc>
      </w:tr>
      <w:tr w:rsidR="002978D1" w:rsidRPr="00AF228C" w14:paraId="27078ADF" w14:textId="77777777" w:rsidTr="00D25767">
        <w:trPr>
          <w:tblCellSpacing w:w="15" w:type="dxa"/>
        </w:trPr>
        <w:tc>
          <w:tcPr>
            <w:tcW w:w="1215" w:type="dxa"/>
            <w:vAlign w:val="center"/>
            <w:hideMark/>
          </w:tcPr>
          <w:p w14:paraId="6E62798C"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0302 89 31</w:t>
            </w:r>
          </w:p>
        </w:tc>
        <w:tc>
          <w:tcPr>
            <w:tcW w:w="8334" w:type="dxa"/>
            <w:vAlign w:val="center"/>
            <w:hideMark/>
          </w:tcPr>
          <w:p w14:paraId="52DDEE30"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Peshk i kuq (</w:t>
            </w:r>
            <w:r w:rsidRPr="00AF228C">
              <w:rPr>
                <w:rFonts w:ascii="Garamond" w:hAnsi="Garamond" w:cs="Times New Roman"/>
                <w:i/>
                <w:iCs/>
                <w:sz w:val="24"/>
                <w:szCs w:val="24"/>
              </w:rPr>
              <w:t>Sebastes spp.</w:t>
            </w:r>
            <w:r w:rsidRPr="00AF228C">
              <w:rPr>
                <w:rFonts w:ascii="Garamond" w:hAnsi="Garamond" w:cs="Times New Roman"/>
                <w:sz w:val="24"/>
                <w:szCs w:val="24"/>
              </w:rPr>
              <w:t xml:space="preserve">, </w:t>
            </w:r>
            <w:r w:rsidRPr="00AF228C">
              <w:rPr>
                <w:rFonts w:ascii="Garamond" w:hAnsi="Garamond" w:cs="Times New Roman"/>
                <w:i/>
                <w:iCs/>
                <w:sz w:val="24"/>
                <w:szCs w:val="24"/>
              </w:rPr>
              <w:t>Sebastes marinus</w:t>
            </w:r>
            <w:r w:rsidRPr="00AF228C">
              <w:rPr>
                <w:rFonts w:ascii="Garamond" w:hAnsi="Garamond" w:cs="Times New Roman"/>
                <w:sz w:val="24"/>
                <w:szCs w:val="24"/>
              </w:rPr>
              <w:t>)</w:t>
            </w:r>
          </w:p>
        </w:tc>
      </w:tr>
      <w:tr w:rsidR="002978D1" w:rsidRPr="00AF228C" w14:paraId="7DFF53F0" w14:textId="77777777" w:rsidTr="00D25767">
        <w:trPr>
          <w:tblCellSpacing w:w="15" w:type="dxa"/>
        </w:trPr>
        <w:tc>
          <w:tcPr>
            <w:tcW w:w="1215" w:type="dxa"/>
            <w:vAlign w:val="center"/>
            <w:hideMark/>
          </w:tcPr>
          <w:p w14:paraId="676741E9"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0302 89 40</w:t>
            </w:r>
          </w:p>
        </w:tc>
        <w:tc>
          <w:tcPr>
            <w:tcW w:w="8334" w:type="dxa"/>
            <w:vAlign w:val="center"/>
            <w:hideMark/>
          </w:tcPr>
          <w:p w14:paraId="7F586A9F"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Krap i rrezeve (</w:t>
            </w:r>
            <w:r w:rsidRPr="00AF228C">
              <w:rPr>
                <w:rFonts w:ascii="Garamond" w:hAnsi="Garamond" w:cs="Times New Roman"/>
                <w:i/>
                <w:iCs/>
                <w:sz w:val="24"/>
                <w:szCs w:val="24"/>
              </w:rPr>
              <w:t>Brama spp.</w:t>
            </w:r>
            <w:r w:rsidRPr="00AF228C">
              <w:rPr>
                <w:rFonts w:ascii="Garamond" w:hAnsi="Garamond" w:cs="Times New Roman"/>
                <w:sz w:val="24"/>
                <w:szCs w:val="24"/>
              </w:rPr>
              <w:t>)</w:t>
            </w:r>
          </w:p>
        </w:tc>
      </w:tr>
      <w:tr w:rsidR="002978D1" w:rsidRPr="00AF228C" w14:paraId="5CDE4BD2" w14:textId="77777777" w:rsidTr="00D25767">
        <w:trPr>
          <w:tblCellSpacing w:w="15" w:type="dxa"/>
        </w:trPr>
        <w:tc>
          <w:tcPr>
            <w:tcW w:w="1215" w:type="dxa"/>
            <w:vAlign w:val="center"/>
            <w:hideMark/>
          </w:tcPr>
          <w:p w14:paraId="474419E5"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0303 29 00</w:t>
            </w:r>
          </w:p>
        </w:tc>
        <w:tc>
          <w:tcPr>
            <w:tcW w:w="8334" w:type="dxa"/>
            <w:vAlign w:val="center"/>
            <w:hideMark/>
          </w:tcPr>
          <w:p w14:paraId="1AA23BD6"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Conger (</w:t>
            </w:r>
            <w:r w:rsidRPr="00AF228C">
              <w:rPr>
                <w:rFonts w:ascii="Garamond" w:hAnsi="Garamond" w:cs="Times New Roman"/>
                <w:i/>
                <w:iCs/>
                <w:sz w:val="24"/>
                <w:szCs w:val="24"/>
              </w:rPr>
              <w:t>Conger conger</w:t>
            </w:r>
            <w:r w:rsidRPr="00AF228C">
              <w:rPr>
                <w:rFonts w:ascii="Garamond" w:hAnsi="Garamond" w:cs="Times New Roman"/>
                <w:sz w:val="24"/>
                <w:szCs w:val="24"/>
              </w:rPr>
              <w:t>) dhe ngjala të tjera</w:t>
            </w:r>
          </w:p>
        </w:tc>
      </w:tr>
      <w:tr w:rsidR="002978D1" w:rsidRPr="00AF228C" w14:paraId="785EB090" w14:textId="77777777" w:rsidTr="00D25767">
        <w:trPr>
          <w:tblCellSpacing w:w="15" w:type="dxa"/>
        </w:trPr>
        <w:tc>
          <w:tcPr>
            <w:tcW w:w="1215" w:type="dxa"/>
            <w:vAlign w:val="center"/>
            <w:hideMark/>
          </w:tcPr>
          <w:p w14:paraId="570F9147"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0303 55</w:t>
            </w:r>
          </w:p>
        </w:tc>
        <w:tc>
          <w:tcPr>
            <w:tcW w:w="8334" w:type="dxa"/>
            <w:vAlign w:val="center"/>
            <w:hideMark/>
          </w:tcPr>
          <w:p w14:paraId="0B453068"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Jack dhe horse mackerel (</w:t>
            </w:r>
            <w:r w:rsidRPr="00AF228C">
              <w:rPr>
                <w:rFonts w:ascii="Garamond" w:hAnsi="Garamond" w:cs="Times New Roman"/>
                <w:i/>
                <w:iCs/>
                <w:sz w:val="24"/>
                <w:szCs w:val="24"/>
              </w:rPr>
              <w:t>Trachurus spp.</w:t>
            </w:r>
            <w:r w:rsidRPr="00AF228C">
              <w:rPr>
                <w:rFonts w:ascii="Garamond" w:hAnsi="Garamond" w:cs="Times New Roman"/>
                <w:sz w:val="24"/>
                <w:szCs w:val="24"/>
              </w:rPr>
              <w:t>)</w:t>
            </w:r>
          </w:p>
        </w:tc>
      </w:tr>
      <w:tr w:rsidR="002978D1" w:rsidRPr="00AF228C" w14:paraId="7B99D21B" w14:textId="77777777" w:rsidTr="00D25767">
        <w:trPr>
          <w:tblCellSpacing w:w="15" w:type="dxa"/>
        </w:trPr>
        <w:tc>
          <w:tcPr>
            <w:tcW w:w="1215" w:type="dxa"/>
            <w:vAlign w:val="center"/>
            <w:hideMark/>
          </w:tcPr>
          <w:p w14:paraId="63A879A6"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0303 57 00</w:t>
            </w:r>
          </w:p>
        </w:tc>
        <w:tc>
          <w:tcPr>
            <w:tcW w:w="8334" w:type="dxa"/>
            <w:vAlign w:val="center"/>
            <w:hideMark/>
          </w:tcPr>
          <w:p w14:paraId="514FC087"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Peshk shpatë (</w:t>
            </w:r>
            <w:r w:rsidRPr="00AF228C">
              <w:rPr>
                <w:rFonts w:ascii="Garamond" w:hAnsi="Garamond" w:cs="Times New Roman"/>
                <w:i/>
                <w:iCs/>
                <w:sz w:val="24"/>
                <w:szCs w:val="24"/>
              </w:rPr>
              <w:t>Xiphias gladius</w:t>
            </w:r>
            <w:r w:rsidRPr="00AF228C">
              <w:rPr>
                <w:rFonts w:ascii="Garamond" w:hAnsi="Garamond" w:cs="Times New Roman"/>
                <w:sz w:val="24"/>
                <w:szCs w:val="24"/>
              </w:rPr>
              <w:t>)</w:t>
            </w:r>
          </w:p>
        </w:tc>
      </w:tr>
      <w:tr w:rsidR="002978D1" w:rsidRPr="00AF228C" w14:paraId="02C03C63" w14:textId="77777777" w:rsidTr="00D25767">
        <w:trPr>
          <w:tblCellSpacing w:w="15" w:type="dxa"/>
        </w:trPr>
        <w:tc>
          <w:tcPr>
            <w:tcW w:w="1215" w:type="dxa"/>
            <w:vAlign w:val="center"/>
            <w:hideMark/>
          </w:tcPr>
          <w:p w14:paraId="571E588F"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0303 66</w:t>
            </w:r>
          </w:p>
        </w:tc>
        <w:tc>
          <w:tcPr>
            <w:tcW w:w="8334" w:type="dxa"/>
            <w:vAlign w:val="center"/>
            <w:hideMark/>
          </w:tcPr>
          <w:p w14:paraId="42383E71"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Hake (</w:t>
            </w:r>
            <w:r w:rsidRPr="00AF228C">
              <w:rPr>
                <w:rFonts w:ascii="Garamond" w:hAnsi="Garamond" w:cs="Times New Roman"/>
                <w:i/>
                <w:iCs/>
                <w:sz w:val="24"/>
                <w:szCs w:val="24"/>
              </w:rPr>
              <w:t>Merluccius spp., Urophycis spp.</w:t>
            </w:r>
            <w:r w:rsidRPr="00AF228C">
              <w:rPr>
                <w:rFonts w:ascii="Garamond" w:hAnsi="Garamond" w:cs="Times New Roman"/>
                <w:sz w:val="24"/>
                <w:szCs w:val="24"/>
              </w:rPr>
              <w:t>)</w:t>
            </w:r>
          </w:p>
        </w:tc>
      </w:tr>
      <w:tr w:rsidR="002978D1" w:rsidRPr="00AF228C" w14:paraId="28DB9AFA" w14:textId="77777777" w:rsidTr="00D25767">
        <w:trPr>
          <w:tblCellSpacing w:w="15" w:type="dxa"/>
        </w:trPr>
        <w:tc>
          <w:tcPr>
            <w:tcW w:w="1215" w:type="dxa"/>
            <w:vAlign w:val="center"/>
            <w:hideMark/>
          </w:tcPr>
          <w:p w14:paraId="23D95272"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0303 68 10</w:t>
            </w:r>
          </w:p>
        </w:tc>
        <w:tc>
          <w:tcPr>
            <w:tcW w:w="8334" w:type="dxa"/>
            <w:vAlign w:val="center"/>
            <w:hideMark/>
          </w:tcPr>
          <w:p w14:paraId="633CA6E5" w14:textId="77777777" w:rsidR="002978D1" w:rsidRPr="00AF228C" w:rsidRDefault="004E2852" w:rsidP="005C2955">
            <w:pPr>
              <w:spacing w:after="0" w:line="240" w:lineRule="auto"/>
              <w:rPr>
                <w:rFonts w:ascii="Garamond" w:hAnsi="Garamond" w:cs="Times New Roman"/>
                <w:sz w:val="24"/>
                <w:szCs w:val="24"/>
              </w:rPr>
            </w:pPr>
            <w:r w:rsidRPr="00AF228C">
              <w:rPr>
                <w:rFonts w:ascii="Garamond" w:hAnsi="Garamond" w:cs="Times New Roman"/>
                <w:i/>
                <w:iCs/>
                <w:sz w:val="24"/>
                <w:szCs w:val="24"/>
              </w:rPr>
              <w:t>W</w:t>
            </w:r>
            <w:r w:rsidR="002978D1" w:rsidRPr="00AF228C">
              <w:rPr>
                <w:rFonts w:ascii="Garamond" w:hAnsi="Garamond" w:cs="Times New Roman"/>
                <w:i/>
                <w:iCs/>
                <w:sz w:val="24"/>
                <w:szCs w:val="24"/>
              </w:rPr>
              <w:t>hiting blu</w:t>
            </w:r>
            <w:r w:rsidR="002978D1" w:rsidRPr="00AF228C">
              <w:rPr>
                <w:rFonts w:ascii="Garamond" w:hAnsi="Garamond" w:cs="Times New Roman"/>
                <w:sz w:val="24"/>
                <w:szCs w:val="24"/>
              </w:rPr>
              <w:t xml:space="preserve"> (</w:t>
            </w:r>
            <w:r w:rsidR="002978D1" w:rsidRPr="00AF228C">
              <w:rPr>
                <w:rFonts w:ascii="Garamond" w:hAnsi="Garamond" w:cs="Times New Roman"/>
                <w:i/>
                <w:iCs/>
                <w:sz w:val="24"/>
                <w:szCs w:val="24"/>
              </w:rPr>
              <w:t>Micromesistius poutassou</w:t>
            </w:r>
            <w:r w:rsidR="002978D1" w:rsidRPr="00AF228C">
              <w:rPr>
                <w:rFonts w:ascii="Garamond" w:hAnsi="Garamond" w:cs="Times New Roman"/>
                <w:sz w:val="24"/>
                <w:szCs w:val="24"/>
              </w:rPr>
              <w:t>)</w:t>
            </w:r>
          </w:p>
        </w:tc>
      </w:tr>
      <w:tr w:rsidR="002978D1" w:rsidRPr="00AF228C" w14:paraId="10A6C49D" w14:textId="77777777" w:rsidTr="00D25767">
        <w:trPr>
          <w:tblCellSpacing w:w="15" w:type="dxa"/>
        </w:trPr>
        <w:tc>
          <w:tcPr>
            <w:tcW w:w="1215" w:type="dxa"/>
            <w:vAlign w:val="center"/>
            <w:hideMark/>
          </w:tcPr>
          <w:p w14:paraId="0BD51EFF"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0303 69 30</w:t>
            </w:r>
          </w:p>
        </w:tc>
        <w:tc>
          <w:tcPr>
            <w:tcW w:w="8334" w:type="dxa"/>
            <w:vAlign w:val="center"/>
            <w:hideMark/>
          </w:tcPr>
          <w:p w14:paraId="0A12DCA1" w14:textId="77777777" w:rsidR="002978D1" w:rsidRPr="00AF228C" w:rsidRDefault="004E2852" w:rsidP="005C2955">
            <w:pPr>
              <w:spacing w:after="0" w:line="240" w:lineRule="auto"/>
              <w:rPr>
                <w:rFonts w:ascii="Garamond" w:hAnsi="Garamond" w:cs="Times New Roman"/>
                <w:sz w:val="24"/>
                <w:szCs w:val="24"/>
              </w:rPr>
            </w:pPr>
            <w:r w:rsidRPr="00AF228C">
              <w:rPr>
                <w:rFonts w:ascii="Garamond" w:hAnsi="Garamond" w:cs="Times New Roman"/>
                <w:sz w:val="24"/>
                <w:szCs w:val="24"/>
              </w:rPr>
              <w:t>W</w:t>
            </w:r>
            <w:r w:rsidR="002978D1" w:rsidRPr="00AF228C">
              <w:rPr>
                <w:rFonts w:ascii="Garamond" w:hAnsi="Garamond" w:cs="Times New Roman"/>
                <w:sz w:val="24"/>
                <w:szCs w:val="24"/>
              </w:rPr>
              <w:t>hiting (</w:t>
            </w:r>
            <w:r w:rsidR="002978D1" w:rsidRPr="00AF228C">
              <w:rPr>
                <w:rFonts w:ascii="Garamond" w:hAnsi="Garamond" w:cs="Times New Roman"/>
                <w:i/>
                <w:iCs/>
                <w:sz w:val="24"/>
                <w:szCs w:val="24"/>
              </w:rPr>
              <w:t>Merlangius merlangus</w:t>
            </w:r>
            <w:r w:rsidR="002978D1" w:rsidRPr="00AF228C">
              <w:rPr>
                <w:rFonts w:ascii="Garamond" w:hAnsi="Garamond" w:cs="Times New Roman"/>
                <w:sz w:val="24"/>
                <w:szCs w:val="24"/>
              </w:rPr>
              <w:t>)</w:t>
            </w:r>
          </w:p>
        </w:tc>
      </w:tr>
      <w:tr w:rsidR="002978D1" w:rsidRPr="00AF228C" w14:paraId="08786000" w14:textId="77777777" w:rsidTr="00D25767">
        <w:trPr>
          <w:tblCellSpacing w:w="15" w:type="dxa"/>
        </w:trPr>
        <w:tc>
          <w:tcPr>
            <w:tcW w:w="1215" w:type="dxa"/>
            <w:vAlign w:val="center"/>
            <w:hideMark/>
          </w:tcPr>
          <w:p w14:paraId="68D17062"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0303 69 80</w:t>
            </w:r>
          </w:p>
        </w:tc>
        <w:tc>
          <w:tcPr>
            <w:tcW w:w="8334" w:type="dxa"/>
            <w:vAlign w:val="center"/>
            <w:hideMark/>
          </w:tcPr>
          <w:p w14:paraId="45D14607"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Ling (</w:t>
            </w:r>
            <w:r w:rsidRPr="00AF228C">
              <w:rPr>
                <w:rFonts w:ascii="Garamond" w:hAnsi="Garamond" w:cs="Times New Roman"/>
                <w:i/>
                <w:iCs/>
                <w:sz w:val="24"/>
                <w:szCs w:val="24"/>
              </w:rPr>
              <w:t>Molva spp.</w:t>
            </w:r>
            <w:r w:rsidRPr="00AF228C">
              <w:rPr>
                <w:rFonts w:ascii="Garamond" w:hAnsi="Garamond" w:cs="Times New Roman"/>
                <w:sz w:val="24"/>
                <w:szCs w:val="24"/>
              </w:rPr>
              <w:t>)</w:t>
            </w:r>
          </w:p>
        </w:tc>
      </w:tr>
      <w:tr w:rsidR="002978D1" w:rsidRPr="00AF228C" w14:paraId="266E00F2" w14:textId="77777777" w:rsidTr="00D25767">
        <w:trPr>
          <w:tblCellSpacing w:w="15" w:type="dxa"/>
        </w:trPr>
        <w:tc>
          <w:tcPr>
            <w:tcW w:w="1215" w:type="dxa"/>
            <w:vAlign w:val="center"/>
            <w:hideMark/>
          </w:tcPr>
          <w:p w14:paraId="0D07913B"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0304 74</w:t>
            </w:r>
          </w:p>
        </w:tc>
        <w:tc>
          <w:tcPr>
            <w:tcW w:w="8334" w:type="dxa"/>
            <w:vAlign w:val="center"/>
            <w:hideMark/>
          </w:tcPr>
          <w:p w14:paraId="765B44DE"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Merluc (</w:t>
            </w:r>
            <w:r w:rsidRPr="00AF228C">
              <w:rPr>
                <w:rFonts w:ascii="Garamond" w:hAnsi="Garamond" w:cs="Times New Roman"/>
                <w:i/>
                <w:iCs/>
                <w:sz w:val="24"/>
                <w:szCs w:val="24"/>
              </w:rPr>
              <w:t>Merluccius spp., Urophycis spp.</w:t>
            </w:r>
            <w:r w:rsidRPr="00AF228C">
              <w:rPr>
                <w:rFonts w:ascii="Garamond" w:hAnsi="Garamond" w:cs="Times New Roman"/>
                <w:sz w:val="24"/>
                <w:szCs w:val="24"/>
              </w:rPr>
              <w:t>)</w:t>
            </w:r>
          </w:p>
        </w:tc>
      </w:tr>
      <w:tr w:rsidR="002978D1" w:rsidRPr="00AF228C" w14:paraId="26E3A7A6" w14:textId="77777777" w:rsidTr="00D25767">
        <w:trPr>
          <w:tblCellSpacing w:w="15" w:type="dxa"/>
        </w:trPr>
        <w:tc>
          <w:tcPr>
            <w:tcW w:w="1215" w:type="dxa"/>
            <w:vAlign w:val="center"/>
            <w:hideMark/>
          </w:tcPr>
          <w:p w14:paraId="652706F9"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0304 83</w:t>
            </w:r>
          </w:p>
        </w:tc>
        <w:tc>
          <w:tcPr>
            <w:tcW w:w="8334" w:type="dxa"/>
            <w:vAlign w:val="center"/>
            <w:hideMark/>
          </w:tcPr>
          <w:p w14:paraId="25436E1A"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Peshq të rrafshët (</w:t>
            </w:r>
            <w:r w:rsidRPr="00AF228C">
              <w:rPr>
                <w:rFonts w:ascii="Garamond" w:hAnsi="Garamond" w:cs="Times New Roman"/>
                <w:i/>
                <w:iCs/>
                <w:sz w:val="24"/>
                <w:szCs w:val="24"/>
              </w:rPr>
              <w:t>Pleuronectidae, Bothidae, Soleidae</w:t>
            </w:r>
            <w:r w:rsidRPr="00AF228C">
              <w:rPr>
                <w:rFonts w:ascii="Garamond" w:hAnsi="Garamond" w:cs="Times New Roman"/>
                <w:sz w:val="24"/>
                <w:szCs w:val="24"/>
              </w:rPr>
              <w:t>, etj.)</w:t>
            </w:r>
          </w:p>
        </w:tc>
      </w:tr>
      <w:tr w:rsidR="002978D1" w:rsidRPr="00AF228C" w14:paraId="7D2AC91E" w14:textId="77777777" w:rsidTr="00D25767">
        <w:trPr>
          <w:tblCellSpacing w:w="15" w:type="dxa"/>
        </w:trPr>
        <w:tc>
          <w:tcPr>
            <w:tcW w:w="1215" w:type="dxa"/>
            <w:vAlign w:val="center"/>
            <w:hideMark/>
          </w:tcPr>
          <w:p w14:paraId="06A35ABC"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0304 83 30</w:t>
            </w:r>
          </w:p>
        </w:tc>
        <w:tc>
          <w:tcPr>
            <w:tcW w:w="8334" w:type="dxa"/>
            <w:vAlign w:val="center"/>
            <w:hideMark/>
          </w:tcPr>
          <w:p w14:paraId="43DC8017"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Shojzë, ushojzë e zezë (</w:t>
            </w:r>
            <w:r w:rsidRPr="00AF228C">
              <w:rPr>
                <w:rFonts w:ascii="Garamond" w:hAnsi="Garamond" w:cs="Times New Roman"/>
                <w:i/>
                <w:iCs/>
                <w:sz w:val="24"/>
                <w:szCs w:val="24"/>
              </w:rPr>
              <w:t>Platichthys flesus</w:t>
            </w:r>
            <w:r w:rsidRPr="00AF228C">
              <w:rPr>
                <w:rFonts w:ascii="Garamond" w:hAnsi="Garamond" w:cs="Times New Roman"/>
                <w:sz w:val="24"/>
                <w:szCs w:val="24"/>
              </w:rPr>
              <w:t>)</w:t>
            </w:r>
          </w:p>
        </w:tc>
      </w:tr>
      <w:tr w:rsidR="002978D1" w:rsidRPr="00AF228C" w14:paraId="558A5035" w14:textId="77777777" w:rsidTr="00D25767">
        <w:trPr>
          <w:tblCellSpacing w:w="15" w:type="dxa"/>
        </w:trPr>
        <w:tc>
          <w:tcPr>
            <w:tcW w:w="1215" w:type="dxa"/>
            <w:vAlign w:val="center"/>
            <w:hideMark/>
          </w:tcPr>
          <w:p w14:paraId="6D729123"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0304 95</w:t>
            </w:r>
          </w:p>
        </w:tc>
        <w:tc>
          <w:tcPr>
            <w:tcW w:w="8334" w:type="dxa"/>
            <w:vAlign w:val="center"/>
            <w:hideMark/>
          </w:tcPr>
          <w:p w14:paraId="5F36D4B0"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 xml:space="preserve">Peshq të familjeve </w:t>
            </w:r>
            <w:r w:rsidRPr="00AF228C">
              <w:rPr>
                <w:rFonts w:ascii="Garamond" w:hAnsi="Garamond" w:cs="Times New Roman"/>
                <w:i/>
                <w:iCs/>
                <w:sz w:val="24"/>
                <w:szCs w:val="24"/>
              </w:rPr>
              <w:t>Gadidae, Merlucciidae, Macrouridae</w:t>
            </w:r>
            <w:r w:rsidRPr="00AF228C">
              <w:rPr>
                <w:rFonts w:ascii="Garamond" w:hAnsi="Garamond" w:cs="Times New Roman"/>
                <w:sz w:val="24"/>
                <w:szCs w:val="24"/>
              </w:rPr>
              <w:t>, etj.</w:t>
            </w:r>
          </w:p>
        </w:tc>
      </w:tr>
      <w:tr w:rsidR="002978D1" w:rsidRPr="00AF228C" w14:paraId="6C7DFA5D" w14:textId="77777777" w:rsidTr="00D25767">
        <w:trPr>
          <w:tblCellSpacing w:w="15" w:type="dxa"/>
        </w:trPr>
        <w:tc>
          <w:tcPr>
            <w:tcW w:w="1215" w:type="dxa"/>
            <w:vAlign w:val="center"/>
            <w:hideMark/>
          </w:tcPr>
          <w:p w14:paraId="3633ED27"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0304 99 65</w:t>
            </w:r>
          </w:p>
        </w:tc>
        <w:tc>
          <w:tcPr>
            <w:tcW w:w="8334" w:type="dxa"/>
            <w:vAlign w:val="center"/>
            <w:hideMark/>
          </w:tcPr>
          <w:p w14:paraId="011DBA3A" w14:textId="42032888"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Peshku majmu</w:t>
            </w:r>
            <w:r w:rsidR="00D25767">
              <w:rPr>
                <w:rFonts w:ascii="Garamond" w:hAnsi="Garamond" w:cs="Times New Roman"/>
                <w:sz w:val="24"/>
                <w:szCs w:val="24"/>
              </w:rPr>
              <w:t>n/</w:t>
            </w:r>
            <w:r w:rsidRPr="00AF228C">
              <w:rPr>
                <w:rFonts w:ascii="Garamond" w:hAnsi="Garamond" w:cs="Times New Roman"/>
                <w:sz w:val="24"/>
                <w:szCs w:val="24"/>
              </w:rPr>
              <w:t>Monkfish (</w:t>
            </w:r>
            <w:r w:rsidRPr="00AF228C">
              <w:rPr>
                <w:rFonts w:ascii="Garamond" w:hAnsi="Garamond" w:cs="Times New Roman"/>
                <w:i/>
                <w:iCs/>
                <w:sz w:val="24"/>
                <w:szCs w:val="24"/>
              </w:rPr>
              <w:t>Lophius spp.</w:t>
            </w:r>
            <w:r w:rsidRPr="00AF228C">
              <w:rPr>
                <w:rFonts w:ascii="Garamond" w:hAnsi="Garamond" w:cs="Times New Roman"/>
                <w:sz w:val="24"/>
                <w:szCs w:val="24"/>
              </w:rPr>
              <w:t>)</w:t>
            </w:r>
          </w:p>
        </w:tc>
      </w:tr>
      <w:tr w:rsidR="002978D1" w:rsidRPr="00AF228C" w14:paraId="4C95F2A1" w14:textId="77777777" w:rsidTr="00D25767">
        <w:trPr>
          <w:tblCellSpacing w:w="15" w:type="dxa"/>
        </w:trPr>
        <w:tc>
          <w:tcPr>
            <w:tcW w:w="1215" w:type="dxa"/>
            <w:vAlign w:val="center"/>
            <w:hideMark/>
          </w:tcPr>
          <w:p w14:paraId="37FAC3F0"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lastRenderedPageBreak/>
              <w:t>0305 54 50</w:t>
            </w:r>
          </w:p>
        </w:tc>
        <w:tc>
          <w:tcPr>
            <w:tcW w:w="8334" w:type="dxa"/>
            <w:vAlign w:val="center"/>
            <w:hideMark/>
          </w:tcPr>
          <w:p w14:paraId="2A3BA0D6"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Açuge (</w:t>
            </w:r>
            <w:r w:rsidRPr="00AF228C">
              <w:rPr>
                <w:rFonts w:ascii="Garamond" w:hAnsi="Garamond" w:cs="Times New Roman"/>
                <w:i/>
                <w:iCs/>
                <w:sz w:val="24"/>
                <w:szCs w:val="24"/>
              </w:rPr>
              <w:t>Engraulis spp.</w:t>
            </w:r>
            <w:r w:rsidRPr="00AF228C">
              <w:rPr>
                <w:rFonts w:ascii="Garamond" w:hAnsi="Garamond" w:cs="Times New Roman"/>
                <w:sz w:val="24"/>
                <w:szCs w:val="24"/>
              </w:rPr>
              <w:t>)</w:t>
            </w:r>
          </w:p>
        </w:tc>
      </w:tr>
      <w:tr w:rsidR="002978D1" w:rsidRPr="00AF228C" w14:paraId="4BB289FD" w14:textId="77777777" w:rsidTr="00D25767">
        <w:trPr>
          <w:tblCellSpacing w:w="15" w:type="dxa"/>
        </w:trPr>
        <w:tc>
          <w:tcPr>
            <w:tcW w:w="1215" w:type="dxa"/>
            <w:vAlign w:val="center"/>
            <w:hideMark/>
          </w:tcPr>
          <w:p w14:paraId="2F89EFDE"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0306 14 30</w:t>
            </w:r>
          </w:p>
        </w:tc>
        <w:tc>
          <w:tcPr>
            <w:tcW w:w="8334" w:type="dxa"/>
            <w:vAlign w:val="center"/>
            <w:hideMark/>
          </w:tcPr>
          <w:p w14:paraId="59C3E845"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Gaforre (</w:t>
            </w:r>
            <w:r w:rsidRPr="00AF228C">
              <w:rPr>
                <w:rFonts w:ascii="Garamond" w:hAnsi="Garamond" w:cs="Times New Roman"/>
                <w:i/>
                <w:iCs/>
                <w:sz w:val="24"/>
                <w:szCs w:val="24"/>
              </w:rPr>
              <w:t>Cancer pagurus</w:t>
            </w:r>
            <w:r w:rsidRPr="00AF228C">
              <w:rPr>
                <w:rFonts w:ascii="Garamond" w:hAnsi="Garamond" w:cs="Times New Roman"/>
                <w:sz w:val="24"/>
                <w:szCs w:val="24"/>
              </w:rPr>
              <w:t>)</w:t>
            </w:r>
          </w:p>
        </w:tc>
      </w:tr>
      <w:tr w:rsidR="002978D1" w:rsidRPr="00AF228C" w14:paraId="364E465D" w14:textId="77777777" w:rsidTr="00D25767">
        <w:trPr>
          <w:tblCellSpacing w:w="15" w:type="dxa"/>
        </w:trPr>
        <w:tc>
          <w:tcPr>
            <w:tcW w:w="1215" w:type="dxa"/>
            <w:vAlign w:val="center"/>
            <w:hideMark/>
          </w:tcPr>
          <w:p w14:paraId="1B649078"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0306 15 00</w:t>
            </w:r>
          </w:p>
        </w:tc>
        <w:tc>
          <w:tcPr>
            <w:tcW w:w="8334" w:type="dxa"/>
            <w:vAlign w:val="center"/>
            <w:hideMark/>
          </w:tcPr>
          <w:p w14:paraId="7C071219"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Gaforre e detit të Norvegjisë (</w:t>
            </w:r>
            <w:r w:rsidRPr="00AF228C">
              <w:rPr>
                <w:rFonts w:ascii="Garamond" w:hAnsi="Garamond" w:cs="Times New Roman"/>
                <w:i/>
                <w:iCs/>
                <w:sz w:val="24"/>
                <w:szCs w:val="24"/>
              </w:rPr>
              <w:t>Nephrops norvegicus</w:t>
            </w:r>
            <w:r w:rsidRPr="00AF228C">
              <w:rPr>
                <w:rFonts w:ascii="Garamond" w:hAnsi="Garamond" w:cs="Times New Roman"/>
                <w:sz w:val="24"/>
                <w:szCs w:val="24"/>
              </w:rPr>
              <w:t>)</w:t>
            </w:r>
          </w:p>
        </w:tc>
      </w:tr>
      <w:tr w:rsidR="002978D1" w:rsidRPr="00AF228C" w14:paraId="61807A44" w14:textId="77777777" w:rsidTr="00D25767">
        <w:trPr>
          <w:tblCellSpacing w:w="15" w:type="dxa"/>
        </w:trPr>
        <w:tc>
          <w:tcPr>
            <w:tcW w:w="1215" w:type="dxa"/>
            <w:vAlign w:val="center"/>
            <w:hideMark/>
          </w:tcPr>
          <w:p w14:paraId="73EE2C3B"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0306 16</w:t>
            </w:r>
          </w:p>
        </w:tc>
        <w:tc>
          <w:tcPr>
            <w:tcW w:w="8334" w:type="dxa"/>
            <w:vAlign w:val="center"/>
            <w:hideMark/>
          </w:tcPr>
          <w:p w14:paraId="1323DA75" w14:textId="0A2B3936"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 xml:space="preserve">Karkaleca të ujërave të ftohta dhe </w:t>
            </w:r>
            <w:r w:rsidR="00D25767" w:rsidRPr="00AF228C">
              <w:rPr>
                <w:rFonts w:ascii="Garamond" w:hAnsi="Garamond" w:cs="Times New Roman"/>
                <w:sz w:val="24"/>
                <w:szCs w:val="24"/>
              </w:rPr>
              <w:t>gaforre</w:t>
            </w:r>
            <w:r w:rsidRPr="00AF228C">
              <w:rPr>
                <w:rFonts w:ascii="Garamond" w:hAnsi="Garamond" w:cs="Times New Roman"/>
                <w:sz w:val="24"/>
                <w:szCs w:val="24"/>
              </w:rPr>
              <w:t xml:space="preserve"> (</w:t>
            </w:r>
            <w:r w:rsidRPr="00AF228C">
              <w:rPr>
                <w:rFonts w:ascii="Garamond" w:hAnsi="Garamond" w:cs="Times New Roman"/>
                <w:i/>
                <w:iCs/>
                <w:sz w:val="24"/>
                <w:szCs w:val="24"/>
              </w:rPr>
              <w:t>Pandalus spp., Crangon crangon</w:t>
            </w:r>
            <w:r w:rsidRPr="00AF228C">
              <w:rPr>
                <w:rFonts w:ascii="Garamond" w:hAnsi="Garamond" w:cs="Times New Roman"/>
                <w:sz w:val="24"/>
                <w:szCs w:val="24"/>
              </w:rPr>
              <w:t>)</w:t>
            </w:r>
          </w:p>
        </w:tc>
      </w:tr>
      <w:tr w:rsidR="002978D1" w:rsidRPr="00AF228C" w14:paraId="1A5FDAC2" w14:textId="77777777" w:rsidTr="00D25767">
        <w:trPr>
          <w:tblCellSpacing w:w="15" w:type="dxa"/>
        </w:trPr>
        <w:tc>
          <w:tcPr>
            <w:tcW w:w="1215" w:type="dxa"/>
            <w:vAlign w:val="center"/>
            <w:hideMark/>
          </w:tcPr>
          <w:p w14:paraId="18DF72A6"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0306 17</w:t>
            </w:r>
          </w:p>
        </w:tc>
        <w:tc>
          <w:tcPr>
            <w:tcW w:w="8334" w:type="dxa"/>
            <w:vAlign w:val="center"/>
            <w:hideMark/>
          </w:tcPr>
          <w:p w14:paraId="4F3E0C04" w14:textId="3B19E233"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 xml:space="preserve">Karkaleca dhe </w:t>
            </w:r>
            <w:r w:rsidR="00D25767" w:rsidRPr="00AF228C">
              <w:rPr>
                <w:rFonts w:ascii="Garamond" w:hAnsi="Garamond" w:cs="Times New Roman"/>
                <w:sz w:val="24"/>
                <w:szCs w:val="24"/>
              </w:rPr>
              <w:t>gaforre</w:t>
            </w:r>
            <w:r w:rsidRPr="00AF228C">
              <w:rPr>
                <w:rFonts w:ascii="Garamond" w:hAnsi="Garamond" w:cs="Times New Roman"/>
                <w:sz w:val="24"/>
                <w:szCs w:val="24"/>
              </w:rPr>
              <w:t xml:space="preserve"> – kategori</w:t>
            </w:r>
          </w:p>
        </w:tc>
      </w:tr>
      <w:tr w:rsidR="002978D1" w:rsidRPr="00AF228C" w14:paraId="0B6BCF17" w14:textId="77777777" w:rsidTr="00D25767">
        <w:trPr>
          <w:tblCellSpacing w:w="15" w:type="dxa"/>
        </w:trPr>
        <w:tc>
          <w:tcPr>
            <w:tcW w:w="1215" w:type="dxa"/>
            <w:vAlign w:val="center"/>
            <w:hideMark/>
          </w:tcPr>
          <w:p w14:paraId="6A580E21"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0306 17 91</w:t>
            </w:r>
          </w:p>
        </w:tc>
        <w:tc>
          <w:tcPr>
            <w:tcW w:w="8334" w:type="dxa"/>
            <w:vAlign w:val="center"/>
            <w:hideMark/>
          </w:tcPr>
          <w:p w14:paraId="4F22F708"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Karkalec i kuq i thellësisë (</w:t>
            </w:r>
            <w:r w:rsidRPr="00AF228C">
              <w:rPr>
                <w:rFonts w:ascii="Garamond" w:hAnsi="Garamond" w:cs="Times New Roman"/>
                <w:i/>
                <w:iCs/>
                <w:sz w:val="24"/>
                <w:szCs w:val="24"/>
              </w:rPr>
              <w:t>Parapenaeus longirostris</w:t>
            </w:r>
            <w:r w:rsidRPr="00AF228C">
              <w:rPr>
                <w:rFonts w:ascii="Garamond" w:hAnsi="Garamond" w:cs="Times New Roman"/>
                <w:sz w:val="24"/>
                <w:szCs w:val="24"/>
              </w:rPr>
              <w:t>)</w:t>
            </w:r>
          </w:p>
        </w:tc>
      </w:tr>
      <w:tr w:rsidR="002978D1" w:rsidRPr="00AF228C" w14:paraId="1CF90E34" w14:textId="77777777" w:rsidTr="00D25767">
        <w:trPr>
          <w:tblCellSpacing w:w="15" w:type="dxa"/>
        </w:trPr>
        <w:tc>
          <w:tcPr>
            <w:tcW w:w="1215" w:type="dxa"/>
            <w:vAlign w:val="center"/>
            <w:hideMark/>
          </w:tcPr>
          <w:p w14:paraId="41F46F63"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0306 17 92</w:t>
            </w:r>
          </w:p>
        </w:tc>
        <w:tc>
          <w:tcPr>
            <w:tcW w:w="8334" w:type="dxa"/>
            <w:vAlign w:val="center"/>
            <w:hideMark/>
          </w:tcPr>
          <w:p w14:paraId="5961EE1F"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 xml:space="preserve">Karkaleca të llojit </w:t>
            </w:r>
            <w:r w:rsidRPr="00AF228C">
              <w:rPr>
                <w:rFonts w:ascii="Garamond" w:hAnsi="Garamond" w:cs="Times New Roman"/>
                <w:i/>
                <w:iCs/>
                <w:sz w:val="24"/>
                <w:szCs w:val="24"/>
              </w:rPr>
              <w:t>Penaeus</w:t>
            </w:r>
          </w:p>
        </w:tc>
      </w:tr>
      <w:tr w:rsidR="002978D1" w:rsidRPr="00AF228C" w14:paraId="73D14908" w14:textId="77777777" w:rsidTr="00D25767">
        <w:trPr>
          <w:tblCellSpacing w:w="15" w:type="dxa"/>
        </w:trPr>
        <w:tc>
          <w:tcPr>
            <w:tcW w:w="1215" w:type="dxa"/>
            <w:vAlign w:val="center"/>
            <w:hideMark/>
          </w:tcPr>
          <w:p w14:paraId="19A2ACCC"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0306 17 93</w:t>
            </w:r>
          </w:p>
        </w:tc>
        <w:tc>
          <w:tcPr>
            <w:tcW w:w="8334" w:type="dxa"/>
            <w:vAlign w:val="center"/>
            <w:hideMark/>
          </w:tcPr>
          <w:p w14:paraId="10CBC1AA"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 xml:space="preserve">Karkaleca të familjes </w:t>
            </w:r>
            <w:r w:rsidRPr="00AF228C">
              <w:rPr>
                <w:rFonts w:ascii="Garamond" w:hAnsi="Garamond" w:cs="Times New Roman"/>
                <w:i/>
                <w:iCs/>
                <w:sz w:val="24"/>
                <w:szCs w:val="24"/>
              </w:rPr>
              <w:t>Pandalidae</w:t>
            </w:r>
            <w:r w:rsidRPr="00AF228C">
              <w:rPr>
                <w:rFonts w:ascii="Garamond" w:hAnsi="Garamond" w:cs="Times New Roman"/>
                <w:sz w:val="24"/>
                <w:szCs w:val="24"/>
              </w:rPr>
              <w:t xml:space="preserve"> (të tjerë)</w:t>
            </w:r>
          </w:p>
        </w:tc>
      </w:tr>
      <w:tr w:rsidR="002978D1" w:rsidRPr="00AF228C" w14:paraId="65F74B44" w14:textId="77777777" w:rsidTr="00D25767">
        <w:trPr>
          <w:tblCellSpacing w:w="15" w:type="dxa"/>
        </w:trPr>
        <w:tc>
          <w:tcPr>
            <w:tcW w:w="1215" w:type="dxa"/>
            <w:vAlign w:val="center"/>
            <w:hideMark/>
          </w:tcPr>
          <w:p w14:paraId="3EEBB38A"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0306 17 94</w:t>
            </w:r>
          </w:p>
        </w:tc>
        <w:tc>
          <w:tcPr>
            <w:tcW w:w="8334" w:type="dxa"/>
            <w:vAlign w:val="center"/>
            <w:hideMark/>
          </w:tcPr>
          <w:p w14:paraId="735383E1"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 xml:space="preserve">Karkaleca të llojit </w:t>
            </w:r>
            <w:r w:rsidRPr="00AF228C">
              <w:rPr>
                <w:rFonts w:ascii="Garamond" w:hAnsi="Garamond" w:cs="Times New Roman"/>
                <w:i/>
                <w:iCs/>
                <w:sz w:val="24"/>
                <w:szCs w:val="24"/>
              </w:rPr>
              <w:t>Crangon</w:t>
            </w:r>
            <w:r w:rsidRPr="00AF228C">
              <w:rPr>
                <w:rFonts w:ascii="Garamond" w:hAnsi="Garamond" w:cs="Times New Roman"/>
                <w:sz w:val="24"/>
                <w:szCs w:val="24"/>
              </w:rPr>
              <w:t xml:space="preserve"> (të tjerë)</w:t>
            </w:r>
          </w:p>
        </w:tc>
      </w:tr>
      <w:tr w:rsidR="002978D1" w:rsidRPr="00AF228C" w14:paraId="21428828" w14:textId="77777777" w:rsidTr="00D25767">
        <w:trPr>
          <w:tblCellSpacing w:w="15" w:type="dxa"/>
        </w:trPr>
        <w:tc>
          <w:tcPr>
            <w:tcW w:w="1215" w:type="dxa"/>
            <w:vAlign w:val="center"/>
            <w:hideMark/>
          </w:tcPr>
          <w:p w14:paraId="5B0F6BB5"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0306 17 99</w:t>
            </w:r>
          </w:p>
        </w:tc>
        <w:tc>
          <w:tcPr>
            <w:tcW w:w="8334" w:type="dxa"/>
            <w:vAlign w:val="center"/>
            <w:hideMark/>
          </w:tcPr>
          <w:p w14:paraId="79A3F031" w14:textId="78397435"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 xml:space="preserve">Karkaleca dhe </w:t>
            </w:r>
            <w:r w:rsidR="00D25767" w:rsidRPr="00AF228C">
              <w:rPr>
                <w:rFonts w:ascii="Garamond" w:hAnsi="Garamond" w:cs="Times New Roman"/>
                <w:sz w:val="24"/>
                <w:szCs w:val="24"/>
              </w:rPr>
              <w:t>gaforre</w:t>
            </w:r>
            <w:r w:rsidRPr="00AF228C">
              <w:rPr>
                <w:rFonts w:ascii="Garamond" w:hAnsi="Garamond" w:cs="Times New Roman"/>
                <w:sz w:val="24"/>
                <w:szCs w:val="24"/>
              </w:rPr>
              <w:t xml:space="preserve"> – të tjera</w:t>
            </w:r>
          </w:p>
        </w:tc>
      </w:tr>
      <w:tr w:rsidR="002978D1" w:rsidRPr="00AF228C" w14:paraId="106CB5EB" w14:textId="77777777" w:rsidTr="00D25767">
        <w:trPr>
          <w:tblCellSpacing w:w="15" w:type="dxa"/>
        </w:trPr>
        <w:tc>
          <w:tcPr>
            <w:tcW w:w="1215" w:type="dxa"/>
            <w:vAlign w:val="center"/>
            <w:hideMark/>
          </w:tcPr>
          <w:p w14:paraId="106E1FDB"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0307 22 10</w:t>
            </w:r>
          </w:p>
        </w:tc>
        <w:tc>
          <w:tcPr>
            <w:tcW w:w="8334" w:type="dxa"/>
            <w:vAlign w:val="center"/>
            <w:hideMark/>
          </w:tcPr>
          <w:p w14:paraId="6BC8C64F"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i/>
                <w:iCs/>
                <w:sz w:val="24"/>
                <w:szCs w:val="24"/>
              </w:rPr>
              <w:t xml:space="preserve">Coquilles </w:t>
            </w:r>
            <w:r w:rsidRPr="00AF228C">
              <w:rPr>
                <w:rFonts w:ascii="Garamond" w:hAnsi="Garamond" w:cs="Times New Roman"/>
                <w:sz w:val="24"/>
                <w:szCs w:val="24"/>
              </w:rPr>
              <w:t>St. Jacques (</w:t>
            </w:r>
            <w:r w:rsidRPr="00AF228C">
              <w:rPr>
                <w:rFonts w:ascii="Garamond" w:hAnsi="Garamond" w:cs="Times New Roman"/>
                <w:i/>
                <w:iCs/>
                <w:sz w:val="24"/>
                <w:szCs w:val="24"/>
              </w:rPr>
              <w:t>Pecten maximus</w:t>
            </w:r>
            <w:r w:rsidRPr="00AF228C">
              <w:rPr>
                <w:rFonts w:ascii="Garamond" w:hAnsi="Garamond" w:cs="Times New Roman"/>
                <w:sz w:val="24"/>
                <w:szCs w:val="24"/>
              </w:rPr>
              <w:t>)</w:t>
            </w:r>
          </w:p>
        </w:tc>
      </w:tr>
      <w:tr w:rsidR="002978D1" w:rsidRPr="00AF228C" w14:paraId="1B2E4D74" w14:textId="77777777" w:rsidTr="00D25767">
        <w:trPr>
          <w:tblCellSpacing w:w="15" w:type="dxa"/>
        </w:trPr>
        <w:tc>
          <w:tcPr>
            <w:tcW w:w="1215" w:type="dxa"/>
            <w:vAlign w:val="center"/>
            <w:hideMark/>
          </w:tcPr>
          <w:p w14:paraId="358BBD88"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0307 42 10</w:t>
            </w:r>
          </w:p>
        </w:tc>
        <w:tc>
          <w:tcPr>
            <w:tcW w:w="8334" w:type="dxa"/>
            <w:vAlign w:val="center"/>
            <w:hideMark/>
          </w:tcPr>
          <w:p w14:paraId="4CF2D6FC"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Sepie (</w:t>
            </w:r>
            <w:r w:rsidRPr="00AF228C">
              <w:rPr>
                <w:rFonts w:ascii="Garamond" w:hAnsi="Garamond" w:cs="Times New Roman"/>
                <w:i/>
                <w:iCs/>
                <w:sz w:val="24"/>
                <w:szCs w:val="24"/>
              </w:rPr>
              <w:t>Sepia officinalis, Rossia macrosoma, Sepiola spp.</w:t>
            </w:r>
            <w:r w:rsidRPr="00AF228C">
              <w:rPr>
                <w:rFonts w:ascii="Garamond" w:hAnsi="Garamond" w:cs="Times New Roman"/>
                <w:sz w:val="24"/>
                <w:szCs w:val="24"/>
              </w:rPr>
              <w:t>)</w:t>
            </w:r>
          </w:p>
        </w:tc>
      </w:tr>
      <w:tr w:rsidR="002978D1" w:rsidRPr="00AF228C" w14:paraId="26A116D2" w14:textId="77777777" w:rsidTr="00D25767">
        <w:trPr>
          <w:tblCellSpacing w:w="15" w:type="dxa"/>
        </w:trPr>
        <w:tc>
          <w:tcPr>
            <w:tcW w:w="1215" w:type="dxa"/>
            <w:vAlign w:val="center"/>
            <w:hideMark/>
          </w:tcPr>
          <w:p w14:paraId="5A5E0EB1"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0307 42 20</w:t>
            </w:r>
          </w:p>
        </w:tc>
        <w:tc>
          <w:tcPr>
            <w:tcW w:w="8334" w:type="dxa"/>
            <w:vAlign w:val="center"/>
            <w:hideMark/>
          </w:tcPr>
          <w:p w14:paraId="656674F0"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i/>
                <w:iCs/>
                <w:sz w:val="24"/>
                <w:szCs w:val="24"/>
              </w:rPr>
              <w:t>Loligo spp.</w:t>
            </w:r>
          </w:p>
        </w:tc>
      </w:tr>
      <w:tr w:rsidR="002978D1" w:rsidRPr="00AF228C" w14:paraId="6EF5C82F" w14:textId="77777777" w:rsidTr="00D25767">
        <w:trPr>
          <w:tblCellSpacing w:w="15" w:type="dxa"/>
        </w:trPr>
        <w:tc>
          <w:tcPr>
            <w:tcW w:w="1215" w:type="dxa"/>
            <w:vAlign w:val="center"/>
            <w:hideMark/>
          </w:tcPr>
          <w:p w14:paraId="0CF544E4"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0307 42 30</w:t>
            </w:r>
          </w:p>
        </w:tc>
        <w:tc>
          <w:tcPr>
            <w:tcW w:w="8334" w:type="dxa"/>
            <w:vAlign w:val="center"/>
            <w:hideMark/>
          </w:tcPr>
          <w:p w14:paraId="3860A70F"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Kallamar (</w:t>
            </w:r>
            <w:r w:rsidRPr="00AF228C">
              <w:rPr>
                <w:rFonts w:ascii="Garamond" w:hAnsi="Garamond" w:cs="Times New Roman"/>
                <w:i/>
                <w:iCs/>
                <w:sz w:val="24"/>
                <w:szCs w:val="24"/>
              </w:rPr>
              <w:t>Ommastrephes, Loligo, Nototodarus, Sepioteuthis spp.</w:t>
            </w:r>
            <w:r w:rsidRPr="00AF228C">
              <w:rPr>
                <w:rFonts w:ascii="Garamond" w:hAnsi="Garamond" w:cs="Times New Roman"/>
                <w:sz w:val="24"/>
                <w:szCs w:val="24"/>
              </w:rPr>
              <w:t>)</w:t>
            </w:r>
          </w:p>
        </w:tc>
      </w:tr>
      <w:tr w:rsidR="002978D1" w:rsidRPr="00AF228C" w14:paraId="6ED7EB54" w14:textId="77777777" w:rsidTr="00D25767">
        <w:trPr>
          <w:tblCellSpacing w:w="15" w:type="dxa"/>
        </w:trPr>
        <w:tc>
          <w:tcPr>
            <w:tcW w:w="1215" w:type="dxa"/>
            <w:vAlign w:val="center"/>
            <w:hideMark/>
          </w:tcPr>
          <w:p w14:paraId="660D95D4"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0307 43</w:t>
            </w:r>
          </w:p>
        </w:tc>
        <w:tc>
          <w:tcPr>
            <w:tcW w:w="8334" w:type="dxa"/>
            <w:vAlign w:val="center"/>
            <w:hideMark/>
          </w:tcPr>
          <w:p w14:paraId="3239CF71"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Sepie – të ngrira</w:t>
            </w:r>
          </w:p>
        </w:tc>
      </w:tr>
      <w:tr w:rsidR="002978D1" w:rsidRPr="00AF228C" w14:paraId="313CEA30" w14:textId="77777777" w:rsidTr="00D25767">
        <w:trPr>
          <w:tblCellSpacing w:w="15" w:type="dxa"/>
        </w:trPr>
        <w:tc>
          <w:tcPr>
            <w:tcW w:w="1215" w:type="dxa"/>
            <w:vAlign w:val="center"/>
            <w:hideMark/>
          </w:tcPr>
          <w:p w14:paraId="6C6BE814"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0307 43 21</w:t>
            </w:r>
          </w:p>
        </w:tc>
        <w:tc>
          <w:tcPr>
            <w:tcW w:w="8334" w:type="dxa"/>
            <w:vAlign w:val="center"/>
            <w:hideMark/>
          </w:tcPr>
          <w:p w14:paraId="02B33D22"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 xml:space="preserve">Sepie </w:t>
            </w:r>
            <w:r w:rsidRPr="00AF228C">
              <w:rPr>
                <w:rFonts w:ascii="Garamond" w:hAnsi="Garamond" w:cs="Times New Roman"/>
                <w:i/>
                <w:iCs/>
                <w:sz w:val="24"/>
                <w:szCs w:val="24"/>
              </w:rPr>
              <w:t>lesser</w:t>
            </w:r>
            <w:r w:rsidRPr="00AF228C">
              <w:rPr>
                <w:rFonts w:ascii="Garamond" w:hAnsi="Garamond" w:cs="Times New Roman"/>
                <w:sz w:val="24"/>
                <w:szCs w:val="24"/>
              </w:rPr>
              <w:t xml:space="preserve"> (</w:t>
            </w:r>
            <w:r w:rsidRPr="00AF228C">
              <w:rPr>
                <w:rFonts w:ascii="Garamond" w:hAnsi="Garamond" w:cs="Times New Roman"/>
                <w:i/>
                <w:iCs/>
                <w:sz w:val="24"/>
                <w:szCs w:val="24"/>
              </w:rPr>
              <w:t>Sepiola rondeleti</w:t>
            </w:r>
            <w:r w:rsidRPr="00AF228C">
              <w:rPr>
                <w:rFonts w:ascii="Garamond" w:hAnsi="Garamond" w:cs="Times New Roman"/>
                <w:sz w:val="24"/>
                <w:szCs w:val="24"/>
              </w:rPr>
              <w:t>)</w:t>
            </w:r>
          </w:p>
        </w:tc>
      </w:tr>
      <w:tr w:rsidR="002978D1" w:rsidRPr="00AF228C" w14:paraId="557D9F3E" w14:textId="77777777" w:rsidTr="00D25767">
        <w:trPr>
          <w:tblCellSpacing w:w="15" w:type="dxa"/>
        </w:trPr>
        <w:tc>
          <w:tcPr>
            <w:tcW w:w="1215" w:type="dxa"/>
            <w:vAlign w:val="center"/>
            <w:hideMark/>
          </w:tcPr>
          <w:p w14:paraId="08F10D0F"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0307 43 25</w:t>
            </w:r>
          </w:p>
        </w:tc>
        <w:tc>
          <w:tcPr>
            <w:tcW w:w="8334" w:type="dxa"/>
            <w:vAlign w:val="center"/>
            <w:hideMark/>
          </w:tcPr>
          <w:p w14:paraId="228EA5DC"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Sepie – të tjera</w:t>
            </w:r>
          </w:p>
        </w:tc>
      </w:tr>
      <w:tr w:rsidR="002978D1" w:rsidRPr="00AF228C" w14:paraId="5136E14C" w14:textId="77777777" w:rsidTr="00D25767">
        <w:trPr>
          <w:tblCellSpacing w:w="15" w:type="dxa"/>
        </w:trPr>
        <w:tc>
          <w:tcPr>
            <w:tcW w:w="1215" w:type="dxa"/>
            <w:vAlign w:val="center"/>
            <w:hideMark/>
          </w:tcPr>
          <w:p w14:paraId="4F5301D0"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0307 43 92</w:t>
            </w:r>
          </w:p>
        </w:tc>
        <w:tc>
          <w:tcPr>
            <w:tcW w:w="8334" w:type="dxa"/>
            <w:vAlign w:val="center"/>
            <w:hideMark/>
          </w:tcPr>
          <w:p w14:paraId="3E795ECE"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i/>
                <w:iCs/>
                <w:sz w:val="24"/>
                <w:szCs w:val="24"/>
              </w:rPr>
              <w:t>Illex spp.</w:t>
            </w:r>
          </w:p>
        </w:tc>
      </w:tr>
      <w:tr w:rsidR="002978D1" w:rsidRPr="00AF228C" w14:paraId="623CB413" w14:textId="77777777" w:rsidTr="00D25767">
        <w:trPr>
          <w:tblCellSpacing w:w="15" w:type="dxa"/>
        </w:trPr>
        <w:tc>
          <w:tcPr>
            <w:tcW w:w="1215" w:type="dxa"/>
            <w:vAlign w:val="center"/>
            <w:hideMark/>
          </w:tcPr>
          <w:p w14:paraId="416DFFFE"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0307 51 00</w:t>
            </w:r>
          </w:p>
        </w:tc>
        <w:tc>
          <w:tcPr>
            <w:tcW w:w="8334" w:type="dxa"/>
            <w:vAlign w:val="center"/>
            <w:hideMark/>
          </w:tcPr>
          <w:p w14:paraId="340295E1" w14:textId="77777777" w:rsidR="002978D1" w:rsidRPr="00AF228C" w:rsidRDefault="002978D1" w:rsidP="005C2955">
            <w:pPr>
              <w:spacing w:after="0" w:line="240" w:lineRule="auto"/>
              <w:rPr>
                <w:rFonts w:ascii="Garamond" w:hAnsi="Garamond" w:cs="Times New Roman"/>
                <w:sz w:val="24"/>
                <w:szCs w:val="24"/>
              </w:rPr>
            </w:pPr>
            <w:r w:rsidRPr="00AF228C">
              <w:rPr>
                <w:rFonts w:ascii="Garamond" w:hAnsi="Garamond" w:cs="Times New Roman"/>
                <w:sz w:val="24"/>
                <w:szCs w:val="24"/>
              </w:rPr>
              <w:t>Oktapod (</w:t>
            </w:r>
            <w:r w:rsidRPr="00AF228C">
              <w:rPr>
                <w:rFonts w:ascii="Garamond" w:hAnsi="Garamond" w:cs="Times New Roman"/>
                <w:i/>
                <w:iCs/>
                <w:sz w:val="24"/>
                <w:szCs w:val="24"/>
              </w:rPr>
              <w:t>Octopus spp.</w:t>
            </w:r>
            <w:r w:rsidRPr="00AF228C">
              <w:rPr>
                <w:rFonts w:ascii="Garamond" w:hAnsi="Garamond" w:cs="Times New Roman"/>
                <w:sz w:val="24"/>
                <w:szCs w:val="24"/>
              </w:rPr>
              <w:t>)</w:t>
            </w:r>
          </w:p>
        </w:tc>
      </w:tr>
    </w:tbl>
    <w:p w14:paraId="4DD526DA" w14:textId="77777777" w:rsidR="002978D1" w:rsidRPr="00AF228C" w:rsidRDefault="002978D1" w:rsidP="005C2955">
      <w:pPr>
        <w:spacing w:after="0" w:line="240" w:lineRule="auto"/>
        <w:ind w:firstLine="284"/>
        <w:rPr>
          <w:rFonts w:ascii="Garamond" w:hAnsi="Garamond" w:cs="Times New Roman"/>
          <w:sz w:val="24"/>
          <w:szCs w:val="24"/>
        </w:rPr>
      </w:pPr>
    </w:p>
    <w:p w14:paraId="05404CE5" w14:textId="77777777" w:rsidR="005C2348" w:rsidRPr="00D25767" w:rsidRDefault="005C2348" w:rsidP="005C2955">
      <w:pPr>
        <w:spacing w:after="0" w:line="240" w:lineRule="auto"/>
        <w:ind w:firstLine="284"/>
        <w:jc w:val="center"/>
        <w:rPr>
          <w:rFonts w:ascii="Garamond" w:hAnsi="Garamond" w:cs="Times New Roman"/>
          <w:bCs/>
          <w:sz w:val="24"/>
          <w:szCs w:val="24"/>
        </w:rPr>
      </w:pPr>
      <w:r w:rsidRPr="00D25767">
        <w:rPr>
          <w:rFonts w:ascii="Garamond" w:hAnsi="Garamond" w:cs="Times New Roman"/>
          <w:bCs/>
          <w:sz w:val="24"/>
          <w:szCs w:val="24"/>
        </w:rPr>
        <w:t>SHTOJCA III</w:t>
      </w:r>
    </w:p>
    <w:p w14:paraId="0ED29C8D" w14:textId="77777777" w:rsidR="005C2348" w:rsidRPr="00D25767" w:rsidRDefault="00342060" w:rsidP="005C2955">
      <w:pPr>
        <w:spacing w:after="0" w:line="240" w:lineRule="auto"/>
        <w:ind w:firstLine="284"/>
        <w:jc w:val="center"/>
        <w:rPr>
          <w:rFonts w:ascii="Garamond" w:hAnsi="Garamond" w:cs="Times New Roman"/>
          <w:sz w:val="24"/>
          <w:szCs w:val="24"/>
        </w:rPr>
      </w:pPr>
      <w:r w:rsidRPr="00D25767">
        <w:rPr>
          <w:rFonts w:ascii="Garamond" w:hAnsi="Garamond" w:cs="Times New Roman"/>
          <w:bCs/>
          <w:sz w:val="24"/>
          <w:szCs w:val="24"/>
        </w:rPr>
        <w:t>FORMA DHE STRUKTURA E</w:t>
      </w:r>
      <w:r w:rsidR="005C2348" w:rsidRPr="00D25767">
        <w:rPr>
          <w:rFonts w:ascii="Garamond" w:hAnsi="Garamond" w:cs="Times New Roman"/>
          <w:bCs/>
          <w:sz w:val="24"/>
          <w:szCs w:val="24"/>
        </w:rPr>
        <w:t xml:space="preserve"> PLANEVE TË PRODHIMIT DHE </w:t>
      </w:r>
      <w:r w:rsidR="00846108" w:rsidRPr="00D25767">
        <w:rPr>
          <w:rFonts w:ascii="Garamond" w:hAnsi="Garamond" w:cs="Times New Roman"/>
          <w:bCs/>
          <w:sz w:val="24"/>
          <w:szCs w:val="24"/>
        </w:rPr>
        <w:t>MARKETINGUT</w:t>
      </w:r>
    </w:p>
    <w:p w14:paraId="40CC78E8" w14:textId="77777777" w:rsidR="005C2348" w:rsidRPr="00AF228C" w:rsidRDefault="005C2348" w:rsidP="005C2955">
      <w:pPr>
        <w:spacing w:after="0" w:line="240" w:lineRule="auto"/>
        <w:ind w:firstLine="284"/>
        <w:jc w:val="center"/>
        <w:rPr>
          <w:rFonts w:ascii="Garamond" w:hAnsi="Garamond" w:cs="Times New Roman"/>
          <w:sz w:val="24"/>
          <w:szCs w:val="24"/>
        </w:rPr>
      </w:pPr>
    </w:p>
    <w:p w14:paraId="7F473225" w14:textId="66A23975" w:rsidR="005C2348" w:rsidRPr="00D25767" w:rsidRDefault="00D25767" w:rsidP="00D25767">
      <w:pPr>
        <w:spacing w:after="0" w:line="240" w:lineRule="auto"/>
        <w:ind w:firstLine="284"/>
        <w:jc w:val="center"/>
        <w:rPr>
          <w:rFonts w:ascii="Garamond" w:hAnsi="Garamond" w:cs="Times New Roman"/>
          <w:bCs/>
          <w:sz w:val="24"/>
          <w:szCs w:val="24"/>
        </w:rPr>
      </w:pPr>
      <w:r w:rsidRPr="00D25767">
        <w:rPr>
          <w:rFonts w:ascii="Garamond" w:hAnsi="Garamond" w:cs="Times New Roman"/>
          <w:bCs/>
          <w:sz w:val="24"/>
          <w:szCs w:val="24"/>
        </w:rPr>
        <w:t>SEKSIONI 1</w:t>
      </w:r>
    </w:p>
    <w:p w14:paraId="695BBBC9" w14:textId="7BA567BA" w:rsidR="005C2348" w:rsidRPr="00D25767" w:rsidRDefault="00D25767" w:rsidP="00D25767">
      <w:pPr>
        <w:spacing w:after="0" w:line="240" w:lineRule="auto"/>
        <w:ind w:firstLine="284"/>
        <w:jc w:val="center"/>
        <w:rPr>
          <w:rFonts w:ascii="Garamond" w:hAnsi="Garamond" w:cs="Times New Roman"/>
          <w:sz w:val="24"/>
          <w:szCs w:val="24"/>
        </w:rPr>
      </w:pPr>
      <w:r w:rsidRPr="00D25767">
        <w:rPr>
          <w:rFonts w:ascii="Garamond" w:hAnsi="Garamond" w:cs="Times New Roman"/>
          <w:bCs/>
          <w:sz w:val="24"/>
          <w:szCs w:val="24"/>
        </w:rPr>
        <w:t>TË DHËNA TË PËRGJITHSHME MBI ORGANIZATËN E PRODHUESVE</w:t>
      </w:r>
    </w:p>
    <w:p w14:paraId="7F400214" w14:textId="7F1783C5" w:rsidR="005C2348" w:rsidRPr="00AF228C" w:rsidRDefault="00D25767" w:rsidP="005C2955">
      <w:pPr>
        <w:spacing w:after="0" w:line="240" w:lineRule="auto"/>
        <w:rPr>
          <w:rFonts w:ascii="Garamond" w:hAnsi="Garamond" w:cs="Times New Roman"/>
          <w:sz w:val="24"/>
          <w:szCs w:val="24"/>
        </w:rPr>
      </w:pPr>
      <w:r>
        <w:rPr>
          <w:rFonts w:ascii="Garamond" w:hAnsi="Garamond" w:cs="Times New Roman"/>
          <w:sz w:val="24"/>
          <w:szCs w:val="24"/>
        </w:rPr>
        <w:t>-</w:t>
      </w:r>
      <w:r w:rsidR="005C2348" w:rsidRPr="00AF228C">
        <w:rPr>
          <w:rFonts w:ascii="Garamond" w:hAnsi="Garamond" w:cs="Times New Roman"/>
          <w:sz w:val="24"/>
          <w:szCs w:val="24"/>
        </w:rPr>
        <w:t xml:space="preserve"> Emri</w:t>
      </w:r>
      <w:r>
        <w:rPr>
          <w:rFonts w:ascii="Garamond" w:hAnsi="Garamond" w:cs="Times New Roman"/>
          <w:sz w:val="24"/>
          <w:szCs w:val="24"/>
        </w:rPr>
        <w:t>;</w:t>
      </w:r>
      <w:r w:rsidR="005C2348" w:rsidRPr="00AF228C">
        <w:rPr>
          <w:rFonts w:ascii="Garamond" w:hAnsi="Garamond" w:cs="Times New Roman"/>
          <w:sz w:val="24"/>
          <w:szCs w:val="24"/>
        </w:rPr>
        <w:br/>
      </w:r>
      <w:r>
        <w:rPr>
          <w:rFonts w:ascii="Garamond" w:hAnsi="Garamond" w:cs="Times New Roman"/>
          <w:sz w:val="24"/>
          <w:szCs w:val="24"/>
        </w:rPr>
        <w:t>-</w:t>
      </w:r>
      <w:r w:rsidR="005C2348" w:rsidRPr="00AF228C">
        <w:rPr>
          <w:rFonts w:ascii="Garamond" w:hAnsi="Garamond" w:cs="Times New Roman"/>
          <w:sz w:val="24"/>
          <w:szCs w:val="24"/>
        </w:rPr>
        <w:t xml:space="preserve"> Lloji</w:t>
      </w:r>
      <w:r>
        <w:rPr>
          <w:rFonts w:ascii="Garamond" w:hAnsi="Garamond" w:cs="Times New Roman"/>
          <w:sz w:val="24"/>
          <w:szCs w:val="24"/>
        </w:rPr>
        <w:t>;</w:t>
      </w:r>
      <w:r w:rsidR="005C2348" w:rsidRPr="00AF228C">
        <w:rPr>
          <w:rFonts w:ascii="Garamond" w:hAnsi="Garamond" w:cs="Times New Roman"/>
          <w:sz w:val="24"/>
          <w:szCs w:val="24"/>
        </w:rPr>
        <w:br/>
      </w:r>
      <w:r>
        <w:rPr>
          <w:rFonts w:ascii="Garamond" w:hAnsi="Garamond" w:cs="Times New Roman"/>
          <w:sz w:val="24"/>
          <w:szCs w:val="24"/>
        </w:rPr>
        <w:t>-</w:t>
      </w:r>
      <w:r w:rsidR="005C2348" w:rsidRPr="00AF228C">
        <w:rPr>
          <w:rFonts w:ascii="Garamond" w:hAnsi="Garamond" w:cs="Times New Roman"/>
          <w:sz w:val="24"/>
          <w:szCs w:val="24"/>
        </w:rPr>
        <w:t xml:space="preserve"> Kodi i identifikimit</w:t>
      </w:r>
      <w:r>
        <w:rPr>
          <w:rFonts w:ascii="Garamond" w:hAnsi="Garamond" w:cs="Times New Roman"/>
          <w:sz w:val="24"/>
          <w:szCs w:val="24"/>
        </w:rPr>
        <w:t>;</w:t>
      </w:r>
      <w:r w:rsidR="005C2348" w:rsidRPr="00AF228C">
        <w:rPr>
          <w:rFonts w:ascii="Garamond" w:hAnsi="Garamond" w:cs="Times New Roman"/>
          <w:sz w:val="24"/>
          <w:szCs w:val="24"/>
        </w:rPr>
        <w:br/>
      </w:r>
      <w:r>
        <w:rPr>
          <w:rFonts w:ascii="Garamond" w:hAnsi="Garamond" w:cs="Times New Roman"/>
          <w:sz w:val="24"/>
          <w:szCs w:val="24"/>
        </w:rPr>
        <w:t>-</w:t>
      </w:r>
      <w:r w:rsidR="005C2348" w:rsidRPr="00AF228C">
        <w:rPr>
          <w:rFonts w:ascii="Garamond" w:hAnsi="Garamond" w:cs="Times New Roman"/>
          <w:sz w:val="24"/>
          <w:szCs w:val="24"/>
        </w:rPr>
        <w:t xml:space="preserve"> Vendndodhja</w:t>
      </w:r>
      <w:r>
        <w:rPr>
          <w:rFonts w:ascii="Garamond" w:hAnsi="Garamond" w:cs="Times New Roman"/>
          <w:sz w:val="24"/>
          <w:szCs w:val="24"/>
        </w:rPr>
        <w:t>;</w:t>
      </w:r>
      <w:r w:rsidR="005C2348" w:rsidRPr="00AF228C">
        <w:rPr>
          <w:rFonts w:ascii="Garamond" w:hAnsi="Garamond" w:cs="Times New Roman"/>
          <w:sz w:val="24"/>
          <w:szCs w:val="24"/>
        </w:rPr>
        <w:br/>
      </w:r>
      <w:r>
        <w:rPr>
          <w:rFonts w:ascii="Garamond" w:hAnsi="Garamond" w:cs="Times New Roman"/>
          <w:sz w:val="24"/>
          <w:szCs w:val="24"/>
        </w:rPr>
        <w:t>-</w:t>
      </w:r>
      <w:r w:rsidR="005C2348" w:rsidRPr="00AF228C">
        <w:rPr>
          <w:rFonts w:ascii="Garamond" w:hAnsi="Garamond" w:cs="Times New Roman"/>
          <w:sz w:val="24"/>
          <w:szCs w:val="24"/>
        </w:rPr>
        <w:t xml:space="preserve"> Numri i anëtarëve</w:t>
      </w:r>
      <w:r>
        <w:rPr>
          <w:rFonts w:ascii="Garamond" w:hAnsi="Garamond" w:cs="Times New Roman"/>
          <w:sz w:val="24"/>
          <w:szCs w:val="24"/>
        </w:rPr>
        <w:t>;</w:t>
      </w:r>
      <w:r w:rsidR="005C2348" w:rsidRPr="00AF228C">
        <w:rPr>
          <w:rFonts w:ascii="Garamond" w:hAnsi="Garamond" w:cs="Times New Roman"/>
          <w:sz w:val="24"/>
          <w:szCs w:val="24"/>
        </w:rPr>
        <w:br/>
      </w:r>
      <w:r>
        <w:rPr>
          <w:rFonts w:ascii="Garamond" w:hAnsi="Garamond" w:cs="Times New Roman"/>
          <w:sz w:val="24"/>
          <w:szCs w:val="24"/>
        </w:rPr>
        <w:t>-</w:t>
      </w:r>
      <w:r w:rsidR="005C2348" w:rsidRPr="00AF228C">
        <w:rPr>
          <w:rFonts w:ascii="Garamond" w:hAnsi="Garamond" w:cs="Times New Roman"/>
          <w:sz w:val="24"/>
          <w:szCs w:val="24"/>
        </w:rPr>
        <w:t xml:space="preserve"> Qarkullimi vjetor (i detajuar sipas specieve)</w:t>
      </w:r>
      <w:r>
        <w:rPr>
          <w:rFonts w:ascii="Garamond" w:hAnsi="Garamond" w:cs="Times New Roman"/>
          <w:sz w:val="24"/>
          <w:szCs w:val="24"/>
        </w:rPr>
        <w:t>;</w:t>
      </w:r>
      <w:r w:rsidR="005C2348" w:rsidRPr="00AF228C">
        <w:rPr>
          <w:rFonts w:ascii="Garamond" w:hAnsi="Garamond" w:cs="Times New Roman"/>
          <w:sz w:val="24"/>
          <w:szCs w:val="24"/>
        </w:rPr>
        <w:br/>
      </w:r>
      <w:r>
        <w:rPr>
          <w:rFonts w:ascii="Garamond" w:hAnsi="Garamond" w:cs="Times New Roman"/>
          <w:sz w:val="24"/>
          <w:szCs w:val="24"/>
        </w:rPr>
        <w:t>-</w:t>
      </w:r>
      <w:r w:rsidR="005C2348" w:rsidRPr="00AF228C">
        <w:rPr>
          <w:rFonts w:ascii="Garamond" w:hAnsi="Garamond" w:cs="Times New Roman"/>
          <w:sz w:val="24"/>
          <w:szCs w:val="24"/>
        </w:rPr>
        <w:t xml:space="preserve"> Vëllimi i kapjeve ose i prodhimit (i detajuar sipas specieve)</w:t>
      </w:r>
      <w:r>
        <w:rPr>
          <w:rFonts w:ascii="Garamond" w:hAnsi="Garamond" w:cs="Times New Roman"/>
          <w:sz w:val="24"/>
          <w:szCs w:val="24"/>
        </w:rPr>
        <w:t>.</w:t>
      </w:r>
    </w:p>
    <w:p w14:paraId="559CC754" w14:textId="77777777" w:rsidR="005C2348" w:rsidRPr="00AF228C" w:rsidRDefault="005C2348" w:rsidP="005C2955">
      <w:pPr>
        <w:spacing w:after="0" w:line="240" w:lineRule="auto"/>
        <w:ind w:firstLine="284"/>
        <w:jc w:val="both"/>
        <w:rPr>
          <w:rFonts w:ascii="Garamond" w:hAnsi="Garamond" w:cs="Times New Roman"/>
          <w:sz w:val="24"/>
          <w:szCs w:val="24"/>
        </w:rPr>
      </w:pPr>
    </w:p>
    <w:p w14:paraId="7A97CA56" w14:textId="2C8D179F" w:rsidR="005C2348" w:rsidRPr="00D25767" w:rsidRDefault="00D25767" w:rsidP="00D25767">
      <w:pPr>
        <w:spacing w:after="0" w:line="240" w:lineRule="auto"/>
        <w:ind w:firstLine="284"/>
        <w:jc w:val="center"/>
        <w:rPr>
          <w:rFonts w:ascii="Garamond" w:hAnsi="Garamond" w:cs="Times New Roman"/>
          <w:bCs/>
          <w:sz w:val="24"/>
          <w:szCs w:val="24"/>
        </w:rPr>
      </w:pPr>
      <w:r w:rsidRPr="00D25767">
        <w:rPr>
          <w:rFonts w:ascii="Garamond" w:hAnsi="Garamond" w:cs="Times New Roman"/>
          <w:bCs/>
          <w:sz w:val="24"/>
          <w:szCs w:val="24"/>
        </w:rPr>
        <w:t>SEKSIONI 2</w:t>
      </w:r>
    </w:p>
    <w:p w14:paraId="2C3A49DE" w14:textId="33E9B1C3" w:rsidR="005C2348" w:rsidRDefault="00D25767" w:rsidP="00D25767">
      <w:pPr>
        <w:spacing w:after="0" w:line="240" w:lineRule="auto"/>
        <w:ind w:firstLine="284"/>
        <w:jc w:val="center"/>
        <w:rPr>
          <w:rFonts w:ascii="Garamond" w:hAnsi="Garamond" w:cs="Times New Roman"/>
          <w:bCs/>
          <w:sz w:val="24"/>
          <w:szCs w:val="24"/>
        </w:rPr>
      </w:pPr>
      <w:r w:rsidRPr="00D25767">
        <w:rPr>
          <w:rFonts w:ascii="Garamond" w:hAnsi="Garamond" w:cs="Times New Roman"/>
          <w:bCs/>
          <w:sz w:val="24"/>
          <w:szCs w:val="24"/>
        </w:rPr>
        <w:t>PROGRAMI I PRODHIMIT DHE STRATEGJIA E MARKETINGUT</w:t>
      </w:r>
    </w:p>
    <w:p w14:paraId="27555B1C" w14:textId="77777777" w:rsidR="00D25767" w:rsidRPr="00D25767" w:rsidRDefault="00D25767" w:rsidP="00D25767">
      <w:pPr>
        <w:spacing w:after="0" w:line="240" w:lineRule="auto"/>
        <w:ind w:firstLine="284"/>
        <w:jc w:val="center"/>
        <w:rPr>
          <w:rFonts w:ascii="Garamond" w:hAnsi="Garamond" w:cs="Times New Roman"/>
          <w:sz w:val="24"/>
          <w:szCs w:val="24"/>
        </w:rPr>
      </w:pPr>
    </w:p>
    <w:p w14:paraId="5330909B" w14:textId="3B05E8B5" w:rsidR="005C2348" w:rsidRDefault="005C2348" w:rsidP="005C2955">
      <w:pPr>
        <w:spacing w:after="0" w:line="240" w:lineRule="auto"/>
        <w:ind w:firstLine="284"/>
        <w:jc w:val="both"/>
        <w:rPr>
          <w:rFonts w:ascii="Garamond" w:hAnsi="Garamond" w:cs="Times New Roman"/>
          <w:sz w:val="24"/>
          <w:szCs w:val="24"/>
        </w:rPr>
      </w:pPr>
      <w:r w:rsidRPr="00AF228C">
        <w:rPr>
          <w:rFonts w:ascii="Garamond" w:hAnsi="Garamond" w:cs="Times New Roman"/>
          <w:sz w:val="24"/>
          <w:szCs w:val="24"/>
        </w:rPr>
        <w:t>Ky seksion përfshin një kalendar orientues të furnizimit dhe përshkruan mënyrën se si do të sigurohet përshtatshmëria e furnizimit me kërkesat e tregut</w:t>
      </w:r>
      <w:r w:rsidR="00D25767">
        <w:rPr>
          <w:rFonts w:ascii="Garamond" w:hAnsi="Garamond" w:cs="Times New Roman"/>
          <w:sz w:val="24"/>
          <w:szCs w:val="24"/>
        </w:rPr>
        <w:t>,</w:t>
      </w:r>
      <w:r w:rsidRPr="00AF228C">
        <w:rPr>
          <w:rFonts w:ascii="Garamond" w:hAnsi="Garamond" w:cs="Times New Roman"/>
          <w:sz w:val="24"/>
          <w:szCs w:val="24"/>
        </w:rPr>
        <w:t xml:space="preserve"> në lidhje me cilësinë, sasinë dhe paraqitjen, veçanërisht për speciet kryesore që tregtohen.</w:t>
      </w:r>
    </w:p>
    <w:p w14:paraId="6CBD3514" w14:textId="77777777" w:rsidR="00D25767" w:rsidRPr="00AF228C" w:rsidRDefault="00D25767" w:rsidP="005C2955">
      <w:pPr>
        <w:spacing w:after="0" w:line="240" w:lineRule="auto"/>
        <w:ind w:firstLine="284"/>
        <w:jc w:val="both"/>
        <w:rPr>
          <w:rFonts w:ascii="Garamond" w:hAnsi="Garamond" w:cs="Times New Roman"/>
          <w:sz w:val="24"/>
          <w:szCs w:val="24"/>
        </w:rPr>
      </w:pPr>
    </w:p>
    <w:p w14:paraId="092864AD" w14:textId="08D2EDA2" w:rsidR="005C2348" w:rsidRPr="00D25767" w:rsidRDefault="00D25767" w:rsidP="00D25767">
      <w:pPr>
        <w:spacing w:after="0" w:line="240" w:lineRule="auto"/>
        <w:ind w:firstLine="284"/>
        <w:jc w:val="center"/>
        <w:rPr>
          <w:rFonts w:ascii="Garamond" w:hAnsi="Garamond" w:cs="Times New Roman"/>
          <w:bCs/>
          <w:sz w:val="24"/>
          <w:szCs w:val="24"/>
        </w:rPr>
      </w:pPr>
      <w:r w:rsidRPr="00D25767">
        <w:rPr>
          <w:rFonts w:ascii="Garamond" w:hAnsi="Garamond" w:cs="Times New Roman"/>
          <w:bCs/>
          <w:sz w:val="24"/>
          <w:szCs w:val="24"/>
        </w:rPr>
        <w:t>SEKSIONI 3</w:t>
      </w:r>
    </w:p>
    <w:p w14:paraId="6DAAF692" w14:textId="4CBEFCE1" w:rsidR="005C2348" w:rsidRDefault="00D25767" w:rsidP="00D25767">
      <w:pPr>
        <w:spacing w:after="0" w:line="240" w:lineRule="auto"/>
        <w:ind w:firstLine="284"/>
        <w:jc w:val="center"/>
        <w:rPr>
          <w:rFonts w:ascii="Garamond" w:hAnsi="Garamond" w:cs="Times New Roman"/>
          <w:bCs/>
          <w:sz w:val="24"/>
          <w:szCs w:val="24"/>
        </w:rPr>
      </w:pPr>
      <w:r w:rsidRPr="00D25767">
        <w:rPr>
          <w:rFonts w:ascii="Garamond" w:hAnsi="Garamond" w:cs="Times New Roman"/>
          <w:bCs/>
          <w:sz w:val="24"/>
          <w:szCs w:val="24"/>
        </w:rPr>
        <w:t>MASAT PËR ARRITJEN E OBJEKTIVAVE TË PËRCAKTUAR NË NENIN 61/1, TË LIGJIT NR.</w:t>
      </w:r>
      <w:r>
        <w:rPr>
          <w:rFonts w:ascii="Garamond" w:hAnsi="Garamond" w:cs="Times New Roman"/>
          <w:bCs/>
          <w:sz w:val="24"/>
          <w:szCs w:val="24"/>
        </w:rPr>
        <w:t xml:space="preserve"> </w:t>
      </w:r>
      <w:r w:rsidRPr="00D25767">
        <w:rPr>
          <w:rFonts w:ascii="Garamond" w:hAnsi="Garamond" w:cs="Times New Roman"/>
          <w:bCs/>
          <w:sz w:val="24"/>
          <w:szCs w:val="24"/>
        </w:rPr>
        <w:t>64/2012</w:t>
      </w:r>
      <w:r>
        <w:rPr>
          <w:rFonts w:ascii="Garamond" w:hAnsi="Garamond" w:cs="Times New Roman"/>
          <w:bCs/>
          <w:sz w:val="24"/>
          <w:szCs w:val="24"/>
        </w:rPr>
        <w:t xml:space="preserve">, “PËR PESHKIMIN”, TË NDRYSHUAR </w:t>
      </w:r>
    </w:p>
    <w:p w14:paraId="7AA3F98C" w14:textId="77777777" w:rsidR="00D25767" w:rsidRPr="00D25767" w:rsidRDefault="00D25767" w:rsidP="00D25767">
      <w:pPr>
        <w:spacing w:after="0" w:line="240" w:lineRule="auto"/>
        <w:ind w:firstLine="284"/>
        <w:jc w:val="center"/>
        <w:rPr>
          <w:rFonts w:ascii="Garamond" w:hAnsi="Garamond" w:cs="Times New Roman"/>
          <w:sz w:val="24"/>
          <w:szCs w:val="24"/>
        </w:rPr>
      </w:pPr>
    </w:p>
    <w:p w14:paraId="52C221F2" w14:textId="4E3F7209" w:rsidR="005C2348" w:rsidRDefault="005C2348" w:rsidP="005C2955">
      <w:pPr>
        <w:spacing w:after="0" w:line="240" w:lineRule="auto"/>
        <w:ind w:firstLine="284"/>
        <w:jc w:val="both"/>
        <w:rPr>
          <w:rFonts w:ascii="Garamond" w:hAnsi="Garamond" w:cs="Times New Roman"/>
          <w:sz w:val="24"/>
          <w:szCs w:val="24"/>
        </w:rPr>
      </w:pPr>
      <w:r w:rsidRPr="00AF228C">
        <w:rPr>
          <w:rFonts w:ascii="Garamond" w:hAnsi="Garamond" w:cs="Times New Roman"/>
          <w:sz w:val="24"/>
          <w:szCs w:val="24"/>
        </w:rPr>
        <w:lastRenderedPageBreak/>
        <w:t xml:space="preserve">Ky seksion përshkruan, ndër të tjera, masat përkatëse të parashikuara </w:t>
      </w:r>
      <w:r w:rsidR="0078447F" w:rsidRPr="00AF228C">
        <w:rPr>
          <w:rFonts w:ascii="Garamond" w:hAnsi="Garamond" w:cs="Times New Roman"/>
          <w:sz w:val="24"/>
          <w:szCs w:val="24"/>
        </w:rPr>
        <w:t>n</w:t>
      </w:r>
      <w:r w:rsidR="009E0A59" w:rsidRPr="00AF228C">
        <w:rPr>
          <w:rFonts w:ascii="Garamond" w:hAnsi="Garamond" w:cs="Times New Roman"/>
          <w:sz w:val="24"/>
          <w:szCs w:val="24"/>
        </w:rPr>
        <w:t>ë</w:t>
      </w:r>
      <w:r w:rsidR="0078447F" w:rsidRPr="00AF228C">
        <w:rPr>
          <w:rFonts w:ascii="Garamond" w:hAnsi="Garamond" w:cs="Times New Roman"/>
          <w:sz w:val="24"/>
          <w:szCs w:val="24"/>
        </w:rPr>
        <w:t xml:space="preserve"> nenin 6 t</w:t>
      </w:r>
      <w:r w:rsidR="009E0A59" w:rsidRPr="00AF228C">
        <w:rPr>
          <w:rFonts w:ascii="Garamond" w:hAnsi="Garamond" w:cs="Times New Roman"/>
          <w:sz w:val="24"/>
          <w:szCs w:val="24"/>
        </w:rPr>
        <w:t>ë</w:t>
      </w:r>
      <w:r w:rsidR="0078447F" w:rsidRPr="00AF228C">
        <w:rPr>
          <w:rFonts w:ascii="Garamond" w:hAnsi="Garamond" w:cs="Times New Roman"/>
          <w:sz w:val="24"/>
          <w:szCs w:val="24"/>
        </w:rPr>
        <w:t xml:space="preserve"> k</w:t>
      </w:r>
      <w:r w:rsidR="009E0A59" w:rsidRPr="00AF228C">
        <w:rPr>
          <w:rFonts w:ascii="Garamond" w:hAnsi="Garamond" w:cs="Times New Roman"/>
          <w:sz w:val="24"/>
          <w:szCs w:val="24"/>
        </w:rPr>
        <w:t>ë</w:t>
      </w:r>
      <w:r w:rsidR="0078447F" w:rsidRPr="00AF228C">
        <w:rPr>
          <w:rFonts w:ascii="Garamond" w:hAnsi="Garamond" w:cs="Times New Roman"/>
          <w:sz w:val="24"/>
          <w:szCs w:val="24"/>
        </w:rPr>
        <w:t>tij vendimi</w:t>
      </w:r>
      <w:r w:rsidR="009E0A59" w:rsidRPr="00AF228C">
        <w:rPr>
          <w:rFonts w:ascii="Garamond" w:hAnsi="Garamond" w:cs="Times New Roman"/>
          <w:sz w:val="24"/>
          <w:szCs w:val="24"/>
        </w:rPr>
        <w:t xml:space="preserve"> </w:t>
      </w:r>
      <w:r w:rsidRPr="00AF228C">
        <w:rPr>
          <w:rFonts w:ascii="Garamond" w:hAnsi="Garamond" w:cs="Times New Roman"/>
          <w:sz w:val="24"/>
          <w:szCs w:val="24"/>
        </w:rPr>
        <w:t>të cilat organizata e prodhuesve synon t’i zbatojë për të arritur objektivat e ndrysh</w:t>
      </w:r>
      <w:r w:rsidR="009E0A59" w:rsidRPr="00AF228C">
        <w:rPr>
          <w:rFonts w:ascii="Garamond" w:hAnsi="Garamond" w:cs="Times New Roman"/>
          <w:sz w:val="24"/>
          <w:szCs w:val="24"/>
        </w:rPr>
        <w:t>ë</w:t>
      </w:r>
      <w:r w:rsidRPr="00AF228C">
        <w:rPr>
          <w:rFonts w:ascii="Garamond" w:hAnsi="Garamond" w:cs="Times New Roman"/>
          <w:sz w:val="24"/>
          <w:szCs w:val="24"/>
        </w:rPr>
        <w:t>m</w:t>
      </w:r>
      <w:r w:rsidR="009E0A59" w:rsidRPr="00AF228C">
        <w:rPr>
          <w:rFonts w:ascii="Garamond" w:hAnsi="Garamond" w:cs="Times New Roman"/>
          <w:sz w:val="24"/>
          <w:szCs w:val="24"/>
        </w:rPr>
        <w:t>,</w:t>
      </w:r>
      <w:r w:rsidRPr="00AF228C">
        <w:rPr>
          <w:rFonts w:ascii="Garamond" w:hAnsi="Garamond" w:cs="Times New Roman"/>
          <w:sz w:val="24"/>
          <w:szCs w:val="24"/>
        </w:rPr>
        <w:t xml:space="preserve"> të përcaktuar </w:t>
      </w:r>
      <w:r w:rsidR="0078447F" w:rsidRPr="00AF228C">
        <w:rPr>
          <w:rFonts w:ascii="Garamond" w:hAnsi="Garamond" w:cs="Times New Roman"/>
          <w:sz w:val="24"/>
          <w:szCs w:val="24"/>
        </w:rPr>
        <w:t>n</w:t>
      </w:r>
      <w:r w:rsidR="009E0A59" w:rsidRPr="00AF228C">
        <w:rPr>
          <w:rFonts w:ascii="Garamond" w:hAnsi="Garamond" w:cs="Times New Roman"/>
          <w:sz w:val="24"/>
          <w:szCs w:val="24"/>
        </w:rPr>
        <w:t>ë</w:t>
      </w:r>
      <w:r w:rsidR="0078447F" w:rsidRPr="00AF228C">
        <w:rPr>
          <w:rFonts w:ascii="Garamond" w:hAnsi="Garamond" w:cs="Times New Roman"/>
          <w:sz w:val="24"/>
          <w:szCs w:val="24"/>
        </w:rPr>
        <w:t xml:space="preserve"> nenin 61/1</w:t>
      </w:r>
      <w:r w:rsidR="009E0A59" w:rsidRPr="00AF228C">
        <w:rPr>
          <w:rFonts w:ascii="Garamond" w:hAnsi="Garamond" w:cs="Times New Roman"/>
          <w:sz w:val="24"/>
          <w:szCs w:val="24"/>
        </w:rPr>
        <w:t>,</w:t>
      </w:r>
      <w:r w:rsidR="0078447F" w:rsidRPr="00AF228C">
        <w:rPr>
          <w:rFonts w:ascii="Garamond" w:hAnsi="Garamond" w:cs="Times New Roman"/>
          <w:sz w:val="24"/>
          <w:szCs w:val="24"/>
        </w:rPr>
        <w:t xml:space="preserve"> t</w:t>
      </w:r>
      <w:r w:rsidR="009E0A59" w:rsidRPr="00AF228C">
        <w:rPr>
          <w:rFonts w:ascii="Garamond" w:hAnsi="Garamond" w:cs="Times New Roman"/>
          <w:sz w:val="24"/>
          <w:szCs w:val="24"/>
        </w:rPr>
        <w:t>ë</w:t>
      </w:r>
      <w:r w:rsidR="0078447F" w:rsidRPr="00AF228C">
        <w:rPr>
          <w:rFonts w:ascii="Garamond" w:hAnsi="Garamond" w:cs="Times New Roman"/>
          <w:sz w:val="24"/>
          <w:szCs w:val="24"/>
        </w:rPr>
        <w:t xml:space="preserve"> ligjit </w:t>
      </w:r>
      <w:r w:rsidR="009E0A59" w:rsidRPr="00AF228C">
        <w:rPr>
          <w:rFonts w:ascii="Garamond" w:hAnsi="Garamond" w:cs="Times New Roman"/>
          <w:sz w:val="24"/>
          <w:szCs w:val="24"/>
        </w:rPr>
        <w:t>nr.</w:t>
      </w:r>
      <w:r w:rsidR="00D25767">
        <w:rPr>
          <w:rFonts w:ascii="Garamond" w:hAnsi="Garamond" w:cs="Times New Roman"/>
          <w:sz w:val="24"/>
          <w:szCs w:val="24"/>
        </w:rPr>
        <w:t xml:space="preserve"> </w:t>
      </w:r>
      <w:r w:rsidR="0078447F" w:rsidRPr="00AF228C">
        <w:rPr>
          <w:rFonts w:ascii="Garamond" w:hAnsi="Garamond" w:cs="Times New Roman"/>
          <w:sz w:val="24"/>
          <w:szCs w:val="24"/>
        </w:rPr>
        <w:t>64/2012</w:t>
      </w:r>
      <w:r w:rsidR="009E0A59" w:rsidRPr="00AF228C">
        <w:rPr>
          <w:rFonts w:ascii="Garamond" w:hAnsi="Garamond" w:cs="Times New Roman"/>
          <w:sz w:val="24"/>
          <w:szCs w:val="24"/>
        </w:rPr>
        <w:t>,</w:t>
      </w:r>
      <w:r w:rsidR="0078447F" w:rsidRPr="00AF228C">
        <w:rPr>
          <w:rFonts w:ascii="Garamond" w:hAnsi="Garamond" w:cs="Times New Roman"/>
          <w:sz w:val="24"/>
          <w:szCs w:val="24"/>
        </w:rPr>
        <w:t xml:space="preserve"> “</w:t>
      </w:r>
      <w:r w:rsidR="00ED62DF" w:rsidRPr="00AF228C">
        <w:rPr>
          <w:rFonts w:ascii="Garamond" w:hAnsi="Garamond" w:cs="Times New Roman"/>
          <w:sz w:val="24"/>
          <w:szCs w:val="24"/>
        </w:rPr>
        <w:t>P</w:t>
      </w:r>
      <w:r w:rsidR="009E0A59" w:rsidRPr="00AF228C">
        <w:rPr>
          <w:rFonts w:ascii="Garamond" w:hAnsi="Garamond" w:cs="Times New Roman"/>
          <w:sz w:val="24"/>
          <w:szCs w:val="24"/>
        </w:rPr>
        <w:t>ë</w:t>
      </w:r>
      <w:r w:rsidR="0078447F" w:rsidRPr="00AF228C">
        <w:rPr>
          <w:rFonts w:ascii="Garamond" w:hAnsi="Garamond" w:cs="Times New Roman"/>
          <w:sz w:val="24"/>
          <w:szCs w:val="24"/>
        </w:rPr>
        <w:t>r peshkimin”</w:t>
      </w:r>
      <w:r w:rsidR="009E0A59" w:rsidRPr="00AF228C">
        <w:rPr>
          <w:rFonts w:ascii="Garamond" w:hAnsi="Garamond" w:cs="Times New Roman"/>
          <w:sz w:val="24"/>
          <w:szCs w:val="24"/>
        </w:rPr>
        <w:t>,</w:t>
      </w:r>
      <w:r w:rsidR="0078447F" w:rsidRPr="00AF228C">
        <w:rPr>
          <w:rFonts w:ascii="Garamond" w:hAnsi="Garamond" w:cs="Times New Roman"/>
          <w:sz w:val="24"/>
          <w:szCs w:val="24"/>
        </w:rPr>
        <w:t xml:space="preserve"> t</w:t>
      </w:r>
      <w:r w:rsidR="009E0A59" w:rsidRPr="00AF228C">
        <w:rPr>
          <w:rFonts w:ascii="Garamond" w:hAnsi="Garamond" w:cs="Times New Roman"/>
          <w:sz w:val="24"/>
          <w:szCs w:val="24"/>
        </w:rPr>
        <w:t>ë</w:t>
      </w:r>
      <w:r w:rsidR="0078447F" w:rsidRPr="00AF228C">
        <w:rPr>
          <w:rFonts w:ascii="Garamond" w:hAnsi="Garamond" w:cs="Times New Roman"/>
          <w:sz w:val="24"/>
          <w:szCs w:val="24"/>
        </w:rPr>
        <w:t xml:space="preserve"> ndryshuar.</w:t>
      </w:r>
    </w:p>
    <w:p w14:paraId="73068FFE" w14:textId="77777777" w:rsidR="00D25767" w:rsidRPr="00AF228C" w:rsidRDefault="00D25767" w:rsidP="005C2955">
      <w:pPr>
        <w:spacing w:after="0" w:line="240" w:lineRule="auto"/>
        <w:ind w:firstLine="284"/>
        <w:jc w:val="both"/>
        <w:rPr>
          <w:rFonts w:ascii="Garamond" w:hAnsi="Garamond" w:cs="Times New Roman"/>
          <w:sz w:val="24"/>
          <w:szCs w:val="24"/>
        </w:rPr>
      </w:pPr>
    </w:p>
    <w:p w14:paraId="7C9D11C2" w14:textId="33893E62" w:rsidR="005C2348" w:rsidRPr="00D25767" w:rsidRDefault="00D25767" w:rsidP="00D25767">
      <w:pPr>
        <w:spacing w:after="0" w:line="240" w:lineRule="auto"/>
        <w:ind w:firstLine="284"/>
        <w:jc w:val="center"/>
        <w:rPr>
          <w:rFonts w:ascii="Garamond" w:hAnsi="Garamond" w:cs="Times New Roman"/>
          <w:bCs/>
          <w:sz w:val="24"/>
          <w:szCs w:val="24"/>
        </w:rPr>
      </w:pPr>
      <w:r w:rsidRPr="00D25767">
        <w:rPr>
          <w:rFonts w:ascii="Garamond" w:hAnsi="Garamond" w:cs="Times New Roman"/>
          <w:bCs/>
          <w:sz w:val="24"/>
          <w:szCs w:val="24"/>
        </w:rPr>
        <w:t>SEKSIONI 4</w:t>
      </w:r>
    </w:p>
    <w:p w14:paraId="30BF3F4E" w14:textId="5DCF0379" w:rsidR="005C2348" w:rsidRDefault="00D25767" w:rsidP="00D25767">
      <w:pPr>
        <w:spacing w:after="0" w:line="240" w:lineRule="auto"/>
        <w:ind w:firstLine="284"/>
        <w:jc w:val="center"/>
        <w:rPr>
          <w:rFonts w:ascii="Garamond" w:hAnsi="Garamond" w:cs="Times New Roman"/>
          <w:bCs/>
          <w:sz w:val="24"/>
          <w:szCs w:val="24"/>
        </w:rPr>
      </w:pPr>
      <w:r w:rsidRPr="00D25767">
        <w:rPr>
          <w:rFonts w:ascii="Garamond" w:hAnsi="Garamond" w:cs="Times New Roman"/>
          <w:bCs/>
          <w:sz w:val="24"/>
          <w:szCs w:val="24"/>
        </w:rPr>
        <w:t>MASAT PËR PËRSHTATJEN E FURNIZIMIT PËR DISA SPECIE</w:t>
      </w:r>
    </w:p>
    <w:p w14:paraId="69C53111" w14:textId="77777777" w:rsidR="00D25767" w:rsidRPr="00D25767" w:rsidRDefault="00D25767" w:rsidP="00D25767">
      <w:pPr>
        <w:spacing w:after="0" w:line="240" w:lineRule="auto"/>
        <w:ind w:firstLine="284"/>
        <w:jc w:val="center"/>
        <w:rPr>
          <w:rFonts w:ascii="Garamond" w:hAnsi="Garamond" w:cs="Times New Roman"/>
          <w:sz w:val="24"/>
          <w:szCs w:val="24"/>
        </w:rPr>
      </w:pPr>
    </w:p>
    <w:p w14:paraId="33EC68AE" w14:textId="4CF83988" w:rsidR="005C2348" w:rsidRDefault="005C2348" w:rsidP="005C2955">
      <w:pPr>
        <w:spacing w:after="0" w:line="240" w:lineRule="auto"/>
        <w:ind w:firstLine="284"/>
        <w:jc w:val="both"/>
        <w:rPr>
          <w:rFonts w:ascii="Garamond" w:hAnsi="Garamond" w:cs="Times New Roman"/>
          <w:sz w:val="24"/>
          <w:szCs w:val="24"/>
        </w:rPr>
      </w:pPr>
      <w:r w:rsidRPr="00AF228C">
        <w:rPr>
          <w:rFonts w:ascii="Garamond" w:hAnsi="Garamond" w:cs="Times New Roman"/>
          <w:sz w:val="24"/>
          <w:szCs w:val="24"/>
        </w:rPr>
        <w:t>Ky seksion përshkruan, ndër të tjera, masat përkatëse të parashikuara</w:t>
      </w:r>
      <w:r w:rsidR="0078447F" w:rsidRPr="00AF228C">
        <w:rPr>
          <w:rFonts w:ascii="Garamond" w:hAnsi="Garamond" w:cs="Times New Roman"/>
          <w:sz w:val="24"/>
          <w:szCs w:val="24"/>
        </w:rPr>
        <w:t xml:space="preserve"> n</w:t>
      </w:r>
      <w:r w:rsidR="009E0A59" w:rsidRPr="00AF228C">
        <w:rPr>
          <w:rFonts w:ascii="Garamond" w:hAnsi="Garamond" w:cs="Times New Roman"/>
          <w:sz w:val="24"/>
          <w:szCs w:val="24"/>
        </w:rPr>
        <w:t>ë</w:t>
      </w:r>
      <w:r w:rsidR="0078447F" w:rsidRPr="00AF228C">
        <w:rPr>
          <w:rFonts w:ascii="Garamond" w:hAnsi="Garamond" w:cs="Times New Roman"/>
          <w:sz w:val="24"/>
          <w:szCs w:val="24"/>
        </w:rPr>
        <w:t xml:space="preserve"> nenin 6 t</w:t>
      </w:r>
      <w:r w:rsidR="009E0A59" w:rsidRPr="00AF228C">
        <w:rPr>
          <w:rFonts w:ascii="Garamond" w:hAnsi="Garamond" w:cs="Times New Roman"/>
          <w:sz w:val="24"/>
          <w:szCs w:val="24"/>
        </w:rPr>
        <w:t>ë</w:t>
      </w:r>
      <w:r w:rsidR="0078447F" w:rsidRPr="00AF228C">
        <w:rPr>
          <w:rFonts w:ascii="Garamond" w:hAnsi="Garamond" w:cs="Times New Roman"/>
          <w:sz w:val="24"/>
          <w:szCs w:val="24"/>
        </w:rPr>
        <w:t xml:space="preserve"> k</w:t>
      </w:r>
      <w:r w:rsidR="009E0A59" w:rsidRPr="00AF228C">
        <w:rPr>
          <w:rFonts w:ascii="Garamond" w:hAnsi="Garamond" w:cs="Times New Roman"/>
          <w:sz w:val="24"/>
          <w:szCs w:val="24"/>
        </w:rPr>
        <w:t>ë</w:t>
      </w:r>
      <w:r w:rsidR="0078447F" w:rsidRPr="00AF228C">
        <w:rPr>
          <w:rFonts w:ascii="Garamond" w:hAnsi="Garamond" w:cs="Times New Roman"/>
          <w:sz w:val="24"/>
          <w:szCs w:val="24"/>
        </w:rPr>
        <w:t>tij vendimi</w:t>
      </w:r>
      <w:r w:rsidRPr="00AF228C">
        <w:rPr>
          <w:rFonts w:ascii="Garamond" w:hAnsi="Garamond" w:cs="Times New Roman"/>
          <w:sz w:val="24"/>
          <w:szCs w:val="24"/>
        </w:rPr>
        <w:t>, të cilat organizata e prodhuesve synon t’i zbatojë për të përshtatur furnizimin për ato specie që zakonisht paraqesin vështirësi në tregtim gjatë vitit.</w:t>
      </w:r>
    </w:p>
    <w:p w14:paraId="69C406DF" w14:textId="77777777" w:rsidR="00D25767" w:rsidRPr="00AF228C" w:rsidRDefault="00D25767" w:rsidP="005C2955">
      <w:pPr>
        <w:spacing w:after="0" w:line="240" w:lineRule="auto"/>
        <w:ind w:firstLine="284"/>
        <w:jc w:val="both"/>
        <w:rPr>
          <w:rFonts w:ascii="Garamond" w:hAnsi="Garamond" w:cs="Times New Roman"/>
          <w:sz w:val="24"/>
          <w:szCs w:val="24"/>
        </w:rPr>
      </w:pPr>
    </w:p>
    <w:p w14:paraId="0F78B0C8" w14:textId="3012DC92" w:rsidR="005C2348" w:rsidRPr="00D25767" w:rsidRDefault="00D25767" w:rsidP="00D25767">
      <w:pPr>
        <w:spacing w:after="0" w:line="240" w:lineRule="auto"/>
        <w:ind w:firstLine="284"/>
        <w:jc w:val="center"/>
        <w:rPr>
          <w:rFonts w:ascii="Garamond" w:hAnsi="Garamond" w:cs="Times New Roman"/>
          <w:bCs/>
          <w:sz w:val="24"/>
          <w:szCs w:val="24"/>
        </w:rPr>
      </w:pPr>
      <w:r w:rsidRPr="00D25767">
        <w:rPr>
          <w:rFonts w:ascii="Garamond" w:hAnsi="Garamond" w:cs="Times New Roman"/>
          <w:bCs/>
          <w:sz w:val="24"/>
          <w:szCs w:val="24"/>
        </w:rPr>
        <w:t>SEKSIONI 5</w:t>
      </w:r>
    </w:p>
    <w:p w14:paraId="2422ACC5" w14:textId="29781AFE" w:rsidR="005C2348" w:rsidRPr="00D25767" w:rsidRDefault="00D25767" w:rsidP="00D25767">
      <w:pPr>
        <w:spacing w:after="0" w:line="240" w:lineRule="auto"/>
        <w:ind w:firstLine="284"/>
        <w:jc w:val="center"/>
        <w:rPr>
          <w:rFonts w:ascii="Garamond" w:hAnsi="Garamond" w:cs="Times New Roman"/>
          <w:bCs/>
          <w:sz w:val="24"/>
          <w:szCs w:val="24"/>
        </w:rPr>
      </w:pPr>
      <w:r w:rsidRPr="00D25767">
        <w:rPr>
          <w:rFonts w:ascii="Garamond" w:hAnsi="Garamond" w:cs="Times New Roman"/>
          <w:bCs/>
          <w:sz w:val="24"/>
          <w:szCs w:val="24"/>
        </w:rPr>
        <w:t>MASAT NDËSHKUESE DHE MASAT E KONTROLLIT</w:t>
      </w:r>
    </w:p>
    <w:p w14:paraId="1A1C9C52" w14:textId="77777777" w:rsidR="00D25767" w:rsidRPr="00AF228C" w:rsidRDefault="00D25767" w:rsidP="005C2955">
      <w:pPr>
        <w:spacing w:after="0" w:line="240" w:lineRule="auto"/>
        <w:ind w:firstLine="284"/>
        <w:jc w:val="both"/>
        <w:rPr>
          <w:rFonts w:ascii="Garamond" w:hAnsi="Garamond" w:cs="Times New Roman"/>
          <w:sz w:val="24"/>
          <w:szCs w:val="24"/>
        </w:rPr>
      </w:pPr>
    </w:p>
    <w:p w14:paraId="614AB950" w14:textId="77777777" w:rsidR="005C2348" w:rsidRPr="00AF228C" w:rsidRDefault="005C2348" w:rsidP="005C2955">
      <w:pPr>
        <w:spacing w:after="0" w:line="240" w:lineRule="auto"/>
        <w:ind w:firstLine="284"/>
        <w:jc w:val="both"/>
        <w:rPr>
          <w:rFonts w:ascii="Garamond" w:hAnsi="Garamond" w:cs="Times New Roman"/>
          <w:sz w:val="24"/>
          <w:szCs w:val="24"/>
        </w:rPr>
      </w:pPr>
      <w:r w:rsidRPr="00AF228C">
        <w:rPr>
          <w:rFonts w:ascii="Garamond" w:hAnsi="Garamond" w:cs="Times New Roman"/>
          <w:sz w:val="24"/>
          <w:szCs w:val="24"/>
        </w:rPr>
        <w:t xml:space="preserve">Ky seksion përfshin një përshkrim të masave ndëshkuese që aplikohen për llojet e ndryshme të shkeljeve që mund të ndodhin gjatë zbatimit të planeve të prodhimit dhe </w:t>
      </w:r>
      <w:r w:rsidR="00846108" w:rsidRPr="00AF228C">
        <w:rPr>
          <w:rFonts w:ascii="Garamond" w:hAnsi="Garamond" w:cs="Times New Roman"/>
          <w:sz w:val="24"/>
          <w:szCs w:val="24"/>
        </w:rPr>
        <w:t>marketingut</w:t>
      </w:r>
      <w:r w:rsidRPr="00AF228C">
        <w:rPr>
          <w:rFonts w:ascii="Garamond" w:hAnsi="Garamond" w:cs="Times New Roman"/>
          <w:sz w:val="24"/>
          <w:szCs w:val="24"/>
        </w:rPr>
        <w:t xml:space="preserve">. Për më tepër, mund të përshkruhen edhe masat përkatëse të parashikuara </w:t>
      </w:r>
      <w:r w:rsidR="0078447F" w:rsidRPr="00AF228C">
        <w:rPr>
          <w:rFonts w:ascii="Garamond" w:hAnsi="Garamond" w:cs="Times New Roman"/>
          <w:sz w:val="24"/>
          <w:szCs w:val="24"/>
        </w:rPr>
        <w:t>n</w:t>
      </w:r>
      <w:r w:rsidR="009E0A59" w:rsidRPr="00AF228C">
        <w:rPr>
          <w:rFonts w:ascii="Garamond" w:hAnsi="Garamond" w:cs="Times New Roman"/>
          <w:sz w:val="24"/>
          <w:szCs w:val="24"/>
        </w:rPr>
        <w:t>ë</w:t>
      </w:r>
      <w:r w:rsidR="0078447F" w:rsidRPr="00AF228C">
        <w:rPr>
          <w:rFonts w:ascii="Garamond" w:hAnsi="Garamond" w:cs="Times New Roman"/>
          <w:sz w:val="24"/>
          <w:szCs w:val="24"/>
        </w:rPr>
        <w:t xml:space="preserve"> nenin 6 t</w:t>
      </w:r>
      <w:r w:rsidR="009E0A59" w:rsidRPr="00AF228C">
        <w:rPr>
          <w:rFonts w:ascii="Garamond" w:hAnsi="Garamond" w:cs="Times New Roman"/>
          <w:sz w:val="24"/>
          <w:szCs w:val="24"/>
        </w:rPr>
        <w:t>ë</w:t>
      </w:r>
      <w:r w:rsidR="0078447F" w:rsidRPr="00AF228C">
        <w:rPr>
          <w:rFonts w:ascii="Garamond" w:hAnsi="Garamond" w:cs="Times New Roman"/>
          <w:sz w:val="24"/>
          <w:szCs w:val="24"/>
        </w:rPr>
        <w:t xml:space="preserve"> k</w:t>
      </w:r>
      <w:r w:rsidR="009E0A59" w:rsidRPr="00AF228C">
        <w:rPr>
          <w:rFonts w:ascii="Garamond" w:hAnsi="Garamond" w:cs="Times New Roman"/>
          <w:sz w:val="24"/>
          <w:szCs w:val="24"/>
        </w:rPr>
        <w:t>ë</w:t>
      </w:r>
      <w:r w:rsidR="0078447F" w:rsidRPr="00AF228C">
        <w:rPr>
          <w:rFonts w:ascii="Garamond" w:hAnsi="Garamond" w:cs="Times New Roman"/>
          <w:sz w:val="24"/>
          <w:szCs w:val="24"/>
        </w:rPr>
        <w:t>tij vendimi</w:t>
      </w:r>
      <w:r w:rsidR="009E0A59" w:rsidRPr="00AF228C">
        <w:rPr>
          <w:rFonts w:ascii="Garamond" w:hAnsi="Garamond" w:cs="Times New Roman"/>
          <w:sz w:val="24"/>
          <w:szCs w:val="24"/>
        </w:rPr>
        <w:t xml:space="preserve">, </w:t>
      </w:r>
      <w:r w:rsidRPr="00AF228C">
        <w:rPr>
          <w:rFonts w:ascii="Garamond" w:hAnsi="Garamond" w:cs="Times New Roman"/>
          <w:sz w:val="24"/>
          <w:szCs w:val="24"/>
        </w:rPr>
        <w:t>të cilat organizata e prodhuesve synon t’i zbatojë për të garantuar kontrollin dhe përputhshmërinë e veprimtarive të anëtarëve të saj me rregullat e vendosura.</w:t>
      </w:r>
      <w:bookmarkStart w:id="0" w:name="_GoBack"/>
      <w:bookmarkEnd w:id="0"/>
    </w:p>
    <w:sectPr w:rsidR="005C2348" w:rsidRPr="00AF228C" w:rsidSect="005C2955">
      <w:pgSz w:w="11906" w:h="16838"/>
      <w:pgMar w:top="1418" w:right="1418" w:bottom="1418" w:left="1418" w:header="709" w:footer="36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FA441B" w14:textId="77777777" w:rsidR="00AF228C" w:rsidRDefault="00AF228C" w:rsidP="00FC3FA5">
      <w:pPr>
        <w:spacing w:after="0" w:line="240" w:lineRule="auto"/>
      </w:pPr>
      <w:r>
        <w:separator/>
      </w:r>
    </w:p>
  </w:endnote>
  <w:endnote w:type="continuationSeparator" w:id="0">
    <w:p w14:paraId="2D5FE783" w14:textId="77777777" w:rsidR="00AF228C" w:rsidRDefault="00AF228C" w:rsidP="00FC3F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D8E72D" w14:textId="77777777" w:rsidR="00AF228C" w:rsidRDefault="00AF228C" w:rsidP="00FC3FA5">
      <w:pPr>
        <w:spacing w:after="0" w:line="240" w:lineRule="auto"/>
      </w:pPr>
      <w:r>
        <w:separator/>
      </w:r>
    </w:p>
  </w:footnote>
  <w:footnote w:type="continuationSeparator" w:id="0">
    <w:p w14:paraId="18F5E802" w14:textId="77777777" w:rsidR="00AF228C" w:rsidRDefault="00AF228C" w:rsidP="00FC3FA5">
      <w:pPr>
        <w:spacing w:after="0" w:line="240" w:lineRule="auto"/>
      </w:pPr>
      <w:r>
        <w:continuationSeparator/>
      </w:r>
    </w:p>
  </w:footnote>
  <w:footnote w:id="1">
    <w:p w14:paraId="0762BC19" w14:textId="77777777" w:rsidR="00AF228C" w:rsidRPr="005C2955" w:rsidRDefault="00AF228C" w:rsidP="008B05A0">
      <w:pPr>
        <w:pStyle w:val="FootnoteText"/>
        <w:jc w:val="both"/>
        <w:rPr>
          <w:rFonts w:ascii="Garamond" w:hAnsi="Garamond" w:cs="Times New Roman"/>
          <w:lang w:val="en-US"/>
        </w:rPr>
      </w:pPr>
      <w:r w:rsidRPr="005C2955">
        <w:rPr>
          <w:rStyle w:val="FootnoteReference"/>
          <w:rFonts w:ascii="Garamond" w:hAnsi="Garamond"/>
        </w:rPr>
        <w:footnoteRef/>
      </w:r>
      <w:r w:rsidRPr="005C2955">
        <w:rPr>
          <w:rFonts w:ascii="Garamond" w:hAnsi="Garamond"/>
        </w:rPr>
        <w:t xml:space="preserve"> </w:t>
      </w:r>
      <w:r w:rsidRPr="005C2955">
        <w:rPr>
          <w:rFonts w:ascii="Garamond" w:hAnsi="Garamond" w:cs="Times New Roman"/>
          <w:lang w:val="en-US"/>
        </w:rPr>
        <w:t>Ky vendim përafron pjesërisht rregulloren nr.</w:t>
      </w:r>
      <w:r>
        <w:rPr>
          <w:rFonts w:ascii="Garamond" w:hAnsi="Garamond" w:cs="Times New Roman"/>
          <w:lang w:val="en-US"/>
        </w:rPr>
        <w:t xml:space="preserve"> </w:t>
      </w:r>
      <w:r w:rsidRPr="005C2955">
        <w:rPr>
          <w:rFonts w:ascii="Garamond" w:hAnsi="Garamond" w:cs="Times New Roman"/>
          <w:lang w:val="en-US"/>
        </w:rPr>
        <w:t>1379/2013</w:t>
      </w:r>
      <w:r>
        <w:rPr>
          <w:rFonts w:ascii="Garamond" w:hAnsi="Garamond" w:cs="Times New Roman"/>
          <w:lang w:val="en-US"/>
        </w:rPr>
        <w:t>,</w:t>
      </w:r>
      <w:r w:rsidRPr="005C2955">
        <w:rPr>
          <w:rFonts w:ascii="Garamond" w:hAnsi="Garamond" w:cs="Times New Roman"/>
          <w:lang w:val="en-US"/>
        </w:rPr>
        <w:t xml:space="preserve"> e Parlamentit Evropian dhe të Këshillit, të datës 11 dhjetor 2013, </w:t>
      </w:r>
      <w:r>
        <w:rPr>
          <w:rFonts w:ascii="Garamond" w:hAnsi="Garamond" w:cs="Times New Roman"/>
          <w:lang w:val="en-US"/>
        </w:rPr>
        <w:t>“</w:t>
      </w:r>
      <w:r w:rsidRPr="005C2955">
        <w:rPr>
          <w:rFonts w:ascii="Garamond" w:hAnsi="Garamond" w:cs="Times New Roman"/>
          <w:lang w:val="en-US"/>
        </w:rPr>
        <w:t>Mbi organizimin e përbashkët të tregjeve në produktet e peshkimit dhe të akuakulturës</w:t>
      </w:r>
      <w:r>
        <w:rPr>
          <w:rFonts w:ascii="Garamond" w:hAnsi="Garamond" w:cs="Times New Roman"/>
          <w:lang w:val="en-US"/>
        </w:rPr>
        <w:t>”</w:t>
      </w:r>
      <w:r w:rsidRPr="005C2955">
        <w:rPr>
          <w:rFonts w:ascii="Garamond" w:hAnsi="Garamond" w:cs="Times New Roman"/>
          <w:lang w:val="en-US"/>
        </w:rPr>
        <w:t>, për ndryshimin e rregulloreve të Këshillit (KE) nr.</w:t>
      </w:r>
      <w:r>
        <w:rPr>
          <w:rFonts w:ascii="Garamond" w:hAnsi="Garamond" w:cs="Times New Roman"/>
          <w:lang w:val="en-US"/>
        </w:rPr>
        <w:t xml:space="preserve"> </w:t>
      </w:r>
      <w:r w:rsidRPr="005C2955">
        <w:rPr>
          <w:rFonts w:ascii="Garamond" w:hAnsi="Garamond" w:cs="Times New Roman"/>
          <w:lang w:val="en-US"/>
        </w:rPr>
        <w:t>1184/2006 dhe (KE) nr.</w:t>
      </w:r>
      <w:r>
        <w:rPr>
          <w:rFonts w:ascii="Garamond" w:hAnsi="Garamond" w:cs="Times New Roman"/>
          <w:lang w:val="en-US"/>
        </w:rPr>
        <w:t xml:space="preserve"> </w:t>
      </w:r>
      <w:r w:rsidRPr="005C2955">
        <w:rPr>
          <w:rFonts w:ascii="Garamond" w:hAnsi="Garamond" w:cs="Times New Roman"/>
          <w:lang w:val="en-US"/>
        </w:rPr>
        <w:t>1224/2009 dhe për shfuqizimin e rregullores së Këshillit (KE) nr.</w:t>
      </w:r>
      <w:r>
        <w:rPr>
          <w:rFonts w:ascii="Garamond" w:hAnsi="Garamond" w:cs="Times New Roman"/>
          <w:lang w:val="en-US"/>
        </w:rPr>
        <w:t xml:space="preserve"> </w:t>
      </w:r>
      <w:r w:rsidRPr="005C2955">
        <w:rPr>
          <w:rFonts w:ascii="Garamond" w:hAnsi="Garamond" w:cs="Times New Roman"/>
          <w:lang w:val="en-US"/>
        </w:rPr>
        <w:t>104/2000</w:t>
      </w:r>
      <w:r>
        <w:rPr>
          <w:rFonts w:ascii="Garamond" w:hAnsi="Garamond" w:cs="Times New Roman"/>
          <w:lang w:val="en-US"/>
        </w:rPr>
        <w:t>,</w:t>
      </w:r>
      <w:r w:rsidRPr="005C2955">
        <w:rPr>
          <w:rFonts w:ascii="Garamond" w:hAnsi="Garamond" w:cs="Times New Roman"/>
          <w:lang w:val="en-US"/>
        </w:rPr>
        <w:t xml:space="preserve"> dhe plotësisht rregulloren nr.</w:t>
      </w:r>
      <w:r>
        <w:rPr>
          <w:rFonts w:ascii="Garamond" w:hAnsi="Garamond" w:cs="Times New Roman"/>
          <w:lang w:val="en-US"/>
        </w:rPr>
        <w:t xml:space="preserve"> </w:t>
      </w:r>
      <w:r w:rsidRPr="005C2955">
        <w:rPr>
          <w:rFonts w:ascii="Garamond" w:hAnsi="Garamond" w:cs="Times New Roman"/>
          <w:lang w:val="en-US"/>
        </w:rPr>
        <w:t>1418/2013</w:t>
      </w:r>
      <w:r>
        <w:rPr>
          <w:rFonts w:ascii="Garamond" w:hAnsi="Garamond" w:cs="Times New Roman"/>
          <w:lang w:val="en-US"/>
        </w:rPr>
        <w:t>,</w:t>
      </w:r>
      <w:r w:rsidRPr="005C2955">
        <w:rPr>
          <w:rFonts w:ascii="Garamond" w:hAnsi="Garamond" w:cs="Times New Roman"/>
          <w:lang w:val="en-US"/>
        </w:rPr>
        <w:t xml:space="preserve"> të Komisionit, datë 17 dhjetor 2013, lidhur me planet e prodhimit dhe të marketingut, në përputhje me rregulloren (BE) nr.1379/2013</w:t>
      </w:r>
      <w:r>
        <w:rPr>
          <w:rFonts w:ascii="Garamond" w:hAnsi="Garamond" w:cs="Times New Roman"/>
          <w:lang w:val="en-US"/>
        </w:rPr>
        <w:t>,</w:t>
      </w:r>
      <w:r w:rsidRPr="005C2955">
        <w:rPr>
          <w:rFonts w:ascii="Garamond" w:hAnsi="Garamond" w:cs="Times New Roman"/>
          <w:lang w:val="en-US"/>
        </w:rPr>
        <w:t xml:space="preserve"> të Parlamentit Evropian dhe të Këshillit, mbi organizimin e përbashkët të tregjeve në produktet e peshkimit dhe të akuakulturës.</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D4372"/>
    <w:multiLevelType w:val="hybridMultilevel"/>
    <w:tmpl w:val="779E84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117E86"/>
    <w:multiLevelType w:val="hybridMultilevel"/>
    <w:tmpl w:val="93861B3C"/>
    <w:lvl w:ilvl="0" w:tplc="336E5276">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34224E"/>
    <w:multiLevelType w:val="hybridMultilevel"/>
    <w:tmpl w:val="41907F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172A71"/>
    <w:multiLevelType w:val="multilevel"/>
    <w:tmpl w:val="B23C3B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DE0705"/>
    <w:multiLevelType w:val="multilevel"/>
    <w:tmpl w:val="CF6E3D3C"/>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44407F"/>
    <w:multiLevelType w:val="hybridMultilevel"/>
    <w:tmpl w:val="2528D7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B03917"/>
    <w:multiLevelType w:val="hybridMultilevel"/>
    <w:tmpl w:val="DC5A223C"/>
    <w:lvl w:ilvl="0" w:tplc="BCB2AE82">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1059F2"/>
    <w:multiLevelType w:val="multilevel"/>
    <w:tmpl w:val="A01E19A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B0C4A35"/>
    <w:multiLevelType w:val="hybridMultilevel"/>
    <w:tmpl w:val="47608EBA"/>
    <w:lvl w:ilvl="0" w:tplc="FFFFFFFF">
      <w:start w:val="1"/>
      <w:numFmt w:val="lowerLetter"/>
      <w:lvlText w:val="%1)"/>
      <w:lvlJc w:val="left"/>
      <w:pPr>
        <w:ind w:left="1429"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 w15:restartNumberingAfterBreak="0">
    <w:nsid w:val="1E210EB2"/>
    <w:multiLevelType w:val="multilevel"/>
    <w:tmpl w:val="C6681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E20BD8"/>
    <w:multiLevelType w:val="multilevel"/>
    <w:tmpl w:val="1CA66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F41939"/>
    <w:multiLevelType w:val="multilevel"/>
    <w:tmpl w:val="AC884C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CB5B6C"/>
    <w:multiLevelType w:val="multilevel"/>
    <w:tmpl w:val="F92232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AE0D35"/>
    <w:multiLevelType w:val="multilevel"/>
    <w:tmpl w:val="D82CB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7D26277"/>
    <w:multiLevelType w:val="multilevel"/>
    <w:tmpl w:val="A8BA9B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A5B2DB6"/>
    <w:multiLevelType w:val="hybridMultilevel"/>
    <w:tmpl w:val="2312E74A"/>
    <w:lvl w:ilvl="0" w:tplc="FFFFFFFF">
      <w:start w:val="1"/>
      <w:numFmt w:val="lowerLetter"/>
      <w:lvlText w:val="%1)"/>
      <w:lvlJc w:val="left"/>
      <w:pPr>
        <w:ind w:left="1440" w:hanging="360"/>
      </w:pPr>
    </w:lvl>
    <w:lvl w:ilvl="1" w:tplc="04090017">
      <w:start w:val="1"/>
      <w:numFmt w:val="lowerLetter"/>
      <w:lvlText w:val="%2)"/>
      <w:lvlJc w:val="left"/>
      <w:pPr>
        <w:ind w:left="1440" w:hanging="360"/>
      </w:pPr>
    </w:lvl>
    <w:lvl w:ilvl="2" w:tplc="FFFFFFFF">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6" w15:restartNumberingAfterBreak="0">
    <w:nsid w:val="2CD05CD8"/>
    <w:multiLevelType w:val="hybridMultilevel"/>
    <w:tmpl w:val="0BB201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6E09B5"/>
    <w:multiLevelType w:val="hybridMultilevel"/>
    <w:tmpl w:val="45D6B3D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2F4F262C"/>
    <w:multiLevelType w:val="hybridMultilevel"/>
    <w:tmpl w:val="FAC27D84"/>
    <w:lvl w:ilvl="0" w:tplc="D570DC78">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0A72C49"/>
    <w:multiLevelType w:val="hybridMultilevel"/>
    <w:tmpl w:val="552CE25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55001AF"/>
    <w:multiLevelType w:val="hybridMultilevel"/>
    <w:tmpl w:val="ADDA2392"/>
    <w:lvl w:ilvl="0" w:tplc="0409001B">
      <w:start w:val="1"/>
      <w:numFmt w:val="lowerRoman"/>
      <w:lvlText w:val="%1."/>
      <w:lvlJc w:val="righ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37DF3771"/>
    <w:multiLevelType w:val="hybridMultilevel"/>
    <w:tmpl w:val="4BF4601A"/>
    <w:lvl w:ilvl="0" w:tplc="04090017">
      <w:start w:val="1"/>
      <w:numFmt w:val="low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2" w15:restartNumberingAfterBreak="0">
    <w:nsid w:val="3CBE78E5"/>
    <w:multiLevelType w:val="hybridMultilevel"/>
    <w:tmpl w:val="F8EC3DFE"/>
    <w:lvl w:ilvl="0" w:tplc="FFFFFFFF">
      <w:start w:val="1"/>
      <w:numFmt w:val="lowerLetter"/>
      <w:lvlText w:val="%1)"/>
      <w:lvlJc w:val="left"/>
      <w:pPr>
        <w:ind w:left="1440"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3" w15:restartNumberingAfterBreak="0">
    <w:nsid w:val="3F3512DF"/>
    <w:multiLevelType w:val="hybridMultilevel"/>
    <w:tmpl w:val="47200DFE"/>
    <w:lvl w:ilvl="0" w:tplc="FFFFFFFF">
      <w:start w:val="1"/>
      <w:numFmt w:val="lowerLetter"/>
      <w:lvlText w:val="%1)"/>
      <w:lvlJc w:val="left"/>
      <w:pPr>
        <w:ind w:left="1429"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4" w15:restartNumberingAfterBreak="0">
    <w:nsid w:val="43044232"/>
    <w:multiLevelType w:val="hybridMultilevel"/>
    <w:tmpl w:val="6A90896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8A93D73"/>
    <w:multiLevelType w:val="multilevel"/>
    <w:tmpl w:val="6D1C41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D627FA6"/>
    <w:multiLevelType w:val="hybridMultilevel"/>
    <w:tmpl w:val="C704590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1600AA8"/>
    <w:multiLevelType w:val="multilevel"/>
    <w:tmpl w:val="A05A39C8"/>
    <w:lvl w:ilvl="0">
      <w:start w:val="1"/>
      <w:numFmt w:val="decimal"/>
      <w:lvlText w:val="%1."/>
      <w:lvlJc w:val="left"/>
      <w:pPr>
        <w:tabs>
          <w:tab w:val="num" w:pos="720"/>
        </w:tabs>
        <w:ind w:left="720" w:hanging="360"/>
      </w:pPr>
    </w:lvl>
    <w:lvl w:ilvl="1">
      <w:start w:val="1"/>
      <w:numFmt w:val="lowerLetter"/>
      <w:lvlText w:val="%2)"/>
      <w:lvlJc w:val="left"/>
      <w:pPr>
        <w:ind w:left="1455" w:hanging="375"/>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3A40D5F"/>
    <w:multiLevelType w:val="multilevel"/>
    <w:tmpl w:val="704C7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4A20D09"/>
    <w:multiLevelType w:val="multilevel"/>
    <w:tmpl w:val="9B28F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61D7117"/>
    <w:multiLevelType w:val="hybridMultilevel"/>
    <w:tmpl w:val="E44A9918"/>
    <w:lvl w:ilvl="0" w:tplc="C27CC440">
      <w:start w:val="1"/>
      <w:numFmt w:val="lowerLetter"/>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6C22151"/>
    <w:multiLevelType w:val="hybridMultilevel"/>
    <w:tmpl w:val="8E0E5B7E"/>
    <w:lvl w:ilvl="0" w:tplc="04090017">
      <w:start w:val="1"/>
      <w:numFmt w:val="lowerLetter"/>
      <w:lvlText w:val="%1)"/>
      <w:lvlJc w:val="left"/>
      <w:pPr>
        <w:ind w:left="720" w:hanging="360"/>
      </w:pPr>
    </w:lvl>
    <w:lvl w:ilvl="1" w:tplc="53DEBCE0">
      <w:start w:val="1"/>
      <w:numFmt w:val="lowerLetter"/>
      <w:lvlText w:val="%2)"/>
      <w:lvlJc w:val="left"/>
      <w:pPr>
        <w:ind w:left="135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7511513"/>
    <w:multiLevelType w:val="hybridMultilevel"/>
    <w:tmpl w:val="855C97F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583B1CF1"/>
    <w:multiLevelType w:val="multilevel"/>
    <w:tmpl w:val="EE62AF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BEF16C0"/>
    <w:multiLevelType w:val="multilevel"/>
    <w:tmpl w:val="FF10945A"/>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E9B3078"/>
    <w:multiLevelType w:val="multilevel"/>
    <w:tmpl w:val="5F9EA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F093230"/>
    <w:multiLevelType w:val="hybridMultilevel"/>
    <w:tmpl w:val="169E0BD2"/>
    <w:lvl w:ilvl="0" w:tplc="04090017">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7" w15:restartNumberingAfterBreak="0">
    <w:nsid w:val="5F0D4893"/>
    <w:multiLevelType w:val="hybridMultilevel"/>
    <w:tmpl w:val="E52C6F6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63A91DF3"/>
    <w:multiLevelType w:val="multilevel"/>
    <w:tmpl w:val="72D4C71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6614637C"/>
    <w:multiLevelType w:val="hybridMultilevel"/>
    <w:tmpl w:val="9CD4DAF6"/>
    <w:lvl w:ilvl="0" w:tplc="FFFFFFFF">
      <w:start w:val="1"/>
      <w:numFmt w:val="lowerLetter"/>
      <w:lvlText w:val="%1)"/>
      <w:lvlJc w:val="left"/>
      <w:pPr>
        <w:ind w:left="1440" w:hanging="360"/>
      </w:pPr>
    </w:lvl>
    <w:lvl w:ilvl="1" w:tplc="04090017">
      <w:start w:val="1"/>
      <w:numFmt w:val="lowerLetter"/>
      <w:lvlText w:val="%2)"/>
      <w:lvlJc w:val="left"/>
      <w:pPr>
        <w:ind w:left="144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0" w15:restartNumberingAfterBreak="0">
    <w:nsid w:val="6E0B7686"/>
    <w:multiLevelType w:val="multilevel"/>
    <w:tmpl w:val="9274E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0234031"/>
    <w:multiLevelType w:val="multilevel"/>
    <w:tmpl w:val="990E3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17C7A0C"/>
    <w:multiLevelType w:val="multilevel"/>
    <w:tmpl w:val="DBE0B03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3" w15:restartNumberingAfterBreak="0">
    <w:nsid w:val="735C6D9F"/>
    <w:multiLevelType w:val="hybridMultilevel"/>
    <w:tmpl w:val="55283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38626F1"/>
    <w:multiLevelType w:val="hybridMultilevel"/>
    <w:tmpl w:val="39F6E50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790B5E47"/>
    <w:multiLevelType w:val="multilevel"/>
    <w:tmpl w:val="279CD386"/>
    <w:lvl w:ilvl="0">
      <w:start w:val="1"/>
      <w:numFmt w:val="decimal"/>
      <w:lvlText w:val="%1."/>
      <w:lvlJc w:val="left"/>
      <w:pPr>
        <w:tabs>
          <w:tab w:val="num" w:pos="720"/>
        </w:tabs>
        <w:ind w:left="720" w:hanging="360"/>
      </w:pPr>
    </w:lvl>
    <w:lvl w:ilvl="1">
      <w:start w:val="1"/>
      <w:numFmt w:val="lowerRoman"/>
      <w:lvlText w:val="%2."/>
      <w:lvlJc w:val="right"/>
      <w:pPr>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9157AD0"/>
    <w:multiLevelType w:val="multilevel"/>
    <w:tmpl w:val="9FE6EA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9E94067"/>
    <w:multiLevelType w:val="hybridMultilevel"/>
    <w:tmpl w:val="E3A6009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7C3854EB"/>
    <w:multiLevelType w:val="hybridMultilevel"/>
    <w:tmpl w:val="E9B698E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46"/>
  </w:num>
  <w:num w:numId="3">
    <w:abstractNumId w:val="34"/>
  </w:num>
  <w:num w:numId="4">
    <w:abstractNumId w:val="28"/>
  </w:num>
  <w:num w:numId="5">
    <w:abstractNumId w:val="42"/>
  </w:num>
  <w:num w:numId="6">
    <w:abstractNumId w:val="38"/>
  </w:num>
  <w:num w:numId="7">
    <w:abstractNumId w:val="25"/>
  </w:num>
  <w:num w:numId="8">
    <w:abstractNumId w:val="4"/>
  </w:num>
  <w:num w:numId="9">
    <w:abstractNumId w:val="13"/>
  </w:num>
  <w:num w:numId="10">
    <w:abstractNumId w:val="41"/>
  </w:num>
  <w:num w:numId="11">
    <w:abstractNumId w:val="40"/>
  </w:num>
  <w:num w:numId="12">
    <w:abstractNumId w:val="29"/>
  </w:num>
  <w:num w:numId="13">
    <w:abstractNumId w:val="9"/>
  </w:num>
  <w:num w:numId="14">
    <w:abstractNumId w:val="12"/>
  </w:num>
  <w:num w:numId="15">
    <w:abstractNumId w:val="33"/>
  </w:num>
  <w:num w:numId="16">
    <w:abstractNumId w:val="10"/>
  </w:num>
  <w:num w:numId="17">
    <w:abstractNumId w:val="27"/>
  </w:num>
  <w:num w:numId="18">
    <w:abstractNumId w:val="35"/>
  </w:num>
  <w:num w:numId="19">
    <w:abstractNumId w:val="11"/>
  </w:num>
  <w:num w:numId="20">
    <w:abstractNumId w:val="7"/>
  </w:num>
  <w:num w:numId="21">
    <w:abstractNumId w:val="45"/>
  </w:num>
  <w:num w:numId="22">
    <w:abstractNumId w:val="30"/>
  </w:num>
  <w:num w:numId="23">
    <w:abstractNumId w:val="43"/>
  </w:num>
  <w:num w:numId="24">
    <w:abstractNumId w:val="32"/>
  </w:num>
  <w:num w:numId="25">
    <w:abstractNumId w:val="47"/>
  </w:num>
  <w:num w:numId="26">
    <w:abstractNumId w:val="37"/>
  </w:num>
  <w:num w:numId="27">
    <w:abstractNumId w:val="22"/>
  </w:num>
  <w:num w:numId="28">
    <w:abstractNumId w:val="6"/>
  </w:num>
  <w:num w:numId="29">
    <w:abstractNumId w:val="1"/>
  </w:num>
  <w:num w:numId="30">
    <w:abstractNumId w:val="8"/>
  </w:num>
  <w:num w:numId="31">
    <w:abstractNumId w:val="23"/>
  </w:num>
  <w:num w:numId="32">
    <w:abstractNumId w:val="39"/>
  </w:num>
  <w:num w:numId="33">
    <w:abstractNumId w:val="21"/>
  </w:num>
  <w:num w:numId="34">
    <w:abstractNumId w:val="24"/>
  </w:num>
  <w:num w:numId="35">
    <w:abstractNumId w:val="36"/>
  </w:num>
  <w:num w:numId="36">
    <w:abstractNumId w:val="14"/>
  </w:num>
  <w:num w:numId="37">
    <w:abstractNumId w:val="19"/>
  </w:num>
  <w:num w:numId="38">
    <w:abstractNumId w:val="20"/>
  </w:num>
  <w:num w:numId="39">
    <w:abstractNumId w:val="48"/>
  </w:num>
  <w:num w:numId="40">
    <w:abstractNumId w:val="15"/>
  </w:num>
  <w:num w:numId="41">
    <w:abstractNumId w:val="26"/>
  </w:num>
  <w:num w:numId="42">
    <w:abstractNumId w:val="17"/>
  </w:num>
  <w:num w:numId="43">
    <w:abstractNumId w:val="18"/>
  </w:num>
  <w:num w:numId="44">
    <w:abstractNumId w:val="44"/>
  </w:num>
  <w:num w:numId="45">
    <w:abstractNumId w:val="31"/>
  </w:num>
  <w:num w:numId="46">
    <w:abstractNumId w:val="5"/>
  </w:num>
  <w:num w:numId="47">
    <w:abstractNumId w:val="2"/>
  </w:num>
  <w:num w:numId="48">
    <w:abstractNumId w:val="3"/>
  </w:num>
  <w:num w:numId="49">
    <w:abstractNumId w:val="16"/>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C6C"/>
    <w:rsid w:val="00010364"/>
    <w:rsid w:val="000128FA"/>
    <w:rsid w:val="00020AAD"/>
    <w:rsid w:val="00026BA5"/>
    <w:rsid w:val="000343DF"/>
    <w:rsid w:val="00044ED0"/>
    <w:rsid w:val="00061A9C"/>
    <w:rsid w:val="000679D5"/>
    <w:rsid w:val="00067C83"/>
    <w:rsid w:val="00077121"/>
    <w:rsid w:val="00083F09"/>
    <w:rsid w:val="00087F80"/>
    <w:rsid w:val="000939CD"/>
    <w:rsid w:val="000A172E"/>
    <w:rsid w:val="000A512E"/>
    <w:rsid w:val="000A770A"/>
    <w:rsid w:val="000B1174"/>
    <w:rsid w:val="000B74D9"/>
    <w:rsid w:val="000D338A"/>
    <w:rsid w:val="000D6C34"/>
    <w:rsid w:val="000E5E40"/>
    <w:rsid w:val="000F6427"/>
    <w:rsid w:val="00100EBE"/>
    <w:rsid w:val="001065D7"/>
    <w:rsid w:val="0011064D"/>
    <w:rsid w:val="001119C6"/>
    <w:rsid w:val="0011586F"/>
    <w:rsid w:val="00120AAE"/>
    <w:rsid w:val="001313A6"/>
    <w:rsid w:val="00150420"/>
    <w:rsid w:val="0015132C"/>
    <w:rsid w:val="0015370D"/>
    <w:rsid w:val="0015648F"/>
    <w:rsid w:val="0016510F"/>
    <w:rsid w:val="00166A2A"/>
    <w:rsid w:val="00173010"/>
    <w:rsid w:val="00190553"/>
    <w:rsid w:val="001A6A6E"/>
    <w:rsid w:val="001B652C"/>
    <w:rsid w:val="001E3B61"/>
    <w:rsid w:val="001E7875"/>
    <w:rsid w:val="001F3EE7"/>
    <w:rsid w:val="001F73E8"/>
    <w:rsid w:val="00200011"/>
    <w:rsid w:val="002031B7"/>
    <w:rsid w:val="00207929"/>
    <w:rsid w:val="00211075"/>
    <w:rsid w:val="002143D8"/>
    <w:rsid w:val="00230AB5"/>
    <w:rsid w:val="00230D83"/>
    <w:rsid w:val="002323FA"/>
    <w:rsid w:val="00232978"/>
    <w:rsid w:val="0023453A"/>
    <w:rsid w:val="00240306"/>
    <w:rsid w:val="002431A6"/>
    <w:rsid w:val="00244ACA"/>
    <w:rsid w:val="00251484"/>
    <w:rsid w:val="00271F50"/>
    <w:rsid w:val="002736B4"/>
    <w:rsid w:val="00275049"/>
    <w:rsid w:val="00290143"/>
    <w:rsid w:val="0029255B"/>
    <w:rsid w:val="00295622"/>
    <w:rsid w:val="002978D1"/>
    <w:rsid w:val="002979B3"/>
    <w:rsid w:val="002B225B"/>
    <w:rsid w:val="002D1D27"/>
    <w:rsid w:val="002E0D0F"/>
    <w:rsid w:val="002F1512"/>
    <w:rsid w:val="00304ED8"/>
    <w:rsid w:val="00305FE2"/>
    <w:rsid w:val="00310053"/>
    <w:rsid w:val="00320B9A"/>
    <w:rsid w:val="00323711"/>
    <w:rsid w:val="00327316"/>
    <w:rsid w:val="0033003B"/>
    <w:rsid w:val="00332029"/>
    <w:rsid w:val="00335D4F"/>
    <w:rsid w:val="0034117D"/>
    <w:rsid w:val="00342060"/>
    <w:rsid w:val="00361BFD"/>
    <w:rsid w:val="0036358F"/>
    <w:rsid w:val="0036632D"/>
    <w:rsid w:val="00371738"/>
    <w:rsid w:val="00395BE8"/>
    <w:rsid w:val="003A6950"/>
    <w:rsid w:val="003B7BFE"/>
    <w:rsid w:val="003C5310"/>
    <w:rsid w:val="003D12BD"/>
    <w:rsid w:val="003D5DC7"/>
    <w:rsid w:val="003E2793"/>
    <w:rsid w:val="003E3A64"/>
    <w:rsid w:val="00400CDC"/>
    <w:rsid w:val="00411F18"/>
    <w:rsid w:val="00413A97"/>
    <w:rsid w:val="00414D48"/>
    <w:rsid w:val="00417231"/>
    <w:rsid w:val="004231CF"/>
    <w:rsid w:val="0042547A"/>
    <w:rsid w:val="00430C97"/>
    <w:rsid w:val="00450E14"/>
    <w:rsid w:val="004600D7"/>
    <w:rsid w:val="0046220E"/>
    <w:rsid w:val="00462BF5"/>
    <w:rsid w:val="004648C1"/>
    <w:rsid w:val="004815AD"/>
    <w:rsid w:val="00483518"/>
    <w:rsid w:val="0048357E"/>
    <w:rsid w:val="00485D25"/>
    <w:rsid w:val="00485D9C"/>
    <w:rsid w:val="00491AE8"/>
    <w:rsid w:val="00492EF6"/>
    <w:rsid w:val="004967F3"/>
    <w:rsid w:val="004A3430"/>
    <w:rsid w:val="004A4DF6"/>
    <w:rsid w:val="004B158A"/>
    <w:rsid w:val="004B4144"/>
    <w:rsid w:val="004B5FBB"/>
    <w:rsid w:val="004B6749"/>
    <w:rsid w:val="004C08CD"/>
    <w:rsid w:val="004D147C"/>
    <w:rsid w:val="004E15B1"/>
    <w:rsid w:val="004E204A"/>
    <w:rsid w:val="004E2852"/>
    <w:rsid w:val="004E38E4"/>
    <w:rsid w:val="004E7AE2"/>
    <w:rsid w:val="004F442F"/>
    <w:rsid w:val="004F7C96"/>
    <w:rsid w:val="005044EC"/>
    <w:rsid w:val="005121A0"/>
    <w:rsid w:val="0051400D"/>
    <w:rsid w:val="00515EB2"/>
    <w:rsid w:val="00544AA7"/>
    <w:rsid w:val="005571A7"/>
    <w:rsid w:val="005630A4"/>
    <w:rsid w:val="00567A57"/>
    <w:rsid w:val="005709AF"/>
    <w:rsid w:val="00572ED0"/>
    <w:rsid w:val="005A0227"/>
    <w:rsid w:val="005A14FE"/>
    <w:rsid w:val="005A1732"/>
    <w:rsid w:val="005B1BC3"/>
    <w:rsid w:val="005B58C9"/>
    <w:rsid w:val="005B7033"/>
    <w:rsid w:val="005B7D4C"/>
    <w:rsid w:val="005C2348"/>
    <w:rsid w:val="005C2955"/>
    <w:rsid w:val="005C62E3"/>
    <w:rsid w:val="005D0123"/>
    <w:rsid w:val="005D6067"/>
    <w:rsid w:val="005E013F"/>
    <w:rsid w:val="005E1008"/>
    <w:rsid w:val="005E107E"/>
    <w:rsid w:val="005E4ACC"/>
    <w:rsid w:val="00611D07"/>
    <w:rsid w:val="00615CDC"/>
    <w:rsid w:val="00615DD5"/>
    <w:rsid w:val="006176B8"/>
    <w:rsid w:val="00625427"/>
    <w:rsid w:val="006320BF"/>
    <w:rsid w:val="00635E68"/>
    <w:rsid w:val="00646199"/>
    <w:rsid w:val="00654679"/>
    <w:rsid w:val="00655104"/>
    <w:rsid w:val="00661ABA"/>
    <w:rsid w:val="00684848"/>
    <w:rsid w:val="0068548D"/>
    <w:rsid w:val="006861E2"/>
    <w:rsid w:val="00687369"/>
    <w:rsid w:val="00687C75"/>
    <w:rsid w:val="00697770"/>
    <w:rsid w:val="006B04F7"/>
    <w:rsid w:val="006C2625"/>
    <w:rsid w:val="006C3E09"/>
    <w:rsid w:val="006C485A"/>
    <w:rsid w:val="006C4C72"/>
    <w:rsid w:val="006C5939"/>
    <w:rsid w:val="006D61A3"/>
    <w:rsid w:val="006E5369"/>
    <w:rsid w:val="006F1CFE"/>
    <w:rsid w:val="00700B47"/>
    <w:rsid w:val="00706728"/>
    <w:rsid w:val="00710DE5"/>
    <w:rsid w:val="00725813"/>
    <w:rsid w:val="0073554D"/>
    <w:rsid w:val="00736619"/>
    <w:rsid w:val="007408BF"/>
    <w:rsid w:val="00741EEF"/>
    <w:rsid w:val="00743AD8"/>
    <w:rsid w:val="00771BCF"/>
    <w:rsid w:val="007724EC"/>
    <w:rsid w:val="00772C6C"/>
    <w:rsid w:val="00775660"/>
    <w:rsid w:val="007767B1"/>
    <w:rsid w:val="00776F9A"/>
    <w:rsid w:val="0078447F"/>
    <w:rsid w:val="00791DCD"/>
    <w:rsid w:val="0079750B"/>
    <w:rsid w:val="007B139D"/>
    <w:rsid w:val="007B4A74"/>
    <w:rsid w:val="007D3138"/>
    <w:rsid w:val="007F0A2E"/>
    <w:rsid w:val="007F5DA0"/>
    <w:rsid w:val="007F78D1"/>
    <w:rsid w:val="008343B1"/>
    <w:rsid w:val="00846108"/>
    <w:rsid w:val="00863025"/>
    <w:rsid w:val="00865A5B"/>
    <w:rsid w:val="00867CEE"/>
    <w:rsid w:val="00875E3A"/>
    <w:rsid w:val="008A4A64"/>
    <w:rsid w:val="008A4EF8"/>
    <w:rsid w:val="008B05A0"/>
    <w:rsid w:val="008B2FF8"/>
    <w:rsid w:val="008B6A6A"/>
    <w:rsid w:val="008D64F8"/>
    <w:rsid w:val="008F5238"/>
    <w:rsid w:val="00903B31"/>
    <w:rsid w:val="009118F5"/>
    <w:rsid w:val="00916A01"/>
    <w:rsid w:val="0092503E"/>
    <w:rsid w:val="009312BD"/>
    <w:rsid w:val="00932A01"/>
    <w:rsid w:val="00933A57"/>
    <w:rsid w:val="0093663A"/>
    <w:rsid w:val="0094061B"/>
    <w:rsid w:val="00940DED"/>
    <w:rsid w:val="009417D0"/>
    <w:rsid w:val="009505E4"/>
    <w:rsid w:val="00951291"/>
    <w:rsid w:val="0095272D"/>
    <w:rsid w:val="009542D4"/>
    <w:rsid w:val="00954835"/>
    <w:rsid w:val="00956D07"/>
    <w:rsid w:val="0096743B"/>
    <w:rsid w:val="009727E8"/>
    <w:rsid w:val="00972A60"/>
    <w:rsid w:val="00974FEE"/>
    <w:rsid w:val="00986743"/>
    <w:rsid w:val="00991C7B"/>
    <w:rsid w:val="009924EA"/>
    <w:rsid w:val="009B1773"/>
    <w:rsid w:val="009B2839"/>
    <w:rsid w:val="009C09C7"/>
    <w:rsid w:val="009C3627"/>
    <w:rsid w:val="009C5A10"/>
    <w:rsid w:val="009C5BB6"/>
    <w:rsid w:val="009C5C88"/>
    <w:rsid w:val="009D0458"/>
    <w:rsid w:val="009D18FD"/>
    <w:rsid w:val="009D391A"/>
    <w:rsid w:val="009D6D5A"/>
    <w:rsid w:val="009E09F3"/>
    <w:rsid w:val="009E0A59"/>
    <w:rsid w:val="009E266E"/>
    <w:rsid w:val="009F044D"/>
    <w:rsid w:val="009F69CD"/>
    <w:rsid w:val="00A027A1"/>
    <w:rsid w:val="00A04278"/>
    <w:rsid w:val="00A11239"/>
    <w:rsid w:val="00A14283"/>
    <w:rsid w:val="00A161A2"/>
    <w:rsid w:val="00A2111B"/>
    <w:rsid w:val="00A31227"/>
    <w:rsid w:val="00A33ED6"/>
    <w:rsid w:val="00A346D3"/>
    <w:rsid w:val="00A35042"/>
    <w:rsid w:val="00A5058E"/>
    <w:rsid w:val="00A63D99"/>
    <w:rsid w:val="00A72BD3"/>
    <w:rsid w:val="00A74351"/>
    <w:rsid w:val="00A8265A"/>
    <w:rsid w:val="00AB1EB8"/>
    <w:rsid w:val="00AB749A"/>
    <w:rsid w:val="00AC07DB"/>
    <w:rsid w:val="00AC58A0"/>
    <w:rsid w:val="00AD2420"/>
    <w:rsid w:val="00AD4D7C"/>
    <w:rsid w:val="00AD7434"/>
    <w:rsid w:val="00AE3140"/>
    <w:rsid w:val="00AF228C"/>
    <w:rsid w:val="00AF5B70"/>
    <w:rsid w:val="00B102F8"/>
    <w:rsid w:val="00B1164A"/>
    <w:rsid w:val="00B27210"/>
    <w:rsid w:val="00B340E8"/>
    <w:rsid w:val="00B37235"/>
    <w:rsid w:val="00B40CCC"/>
    <w:rsid w:val="00B45E3B"/>
    <w:rsid w:val="00B51F8E"/>
    <w:rsid w:val="00B56DB5"/>
    <w:rsid w:val="00B6032D"/>
    <w:rsid w:val="00B607A0"/>
    <w:rsid w:val="00B64EF4"/>
    <w:rsid w:val="00B65B4B"/>
    <w:rsid w:val="00B66EB0"/>
    <w:rsid w:val="00B71D5B"/>
    <w:rsid w:val="00B77AD7"/>
    <w:rsid w:val="00B93BC1"/>
    <w:rsid w:val="00BC4F53"/>
    <w:rsid w:val="00BD0179"/>
    <w:rsid w:val="00BD14B7"/>
    <w:rsid w:val="00BD47AA"/>
    <w:rsid w:val="00BD55A9"/>
    <w:rsid w:val="00BE5E01"/>
    <w:rsid w:val="00BF7E84"/>
    <w:rsid w:val="00C07ECA"/>
    <w:rsid w:val="00C21DEE"/>
    <w:rsid w:val="00C25544"/>
    <w:rsid w:val="00C33D6E"/>
    <w:rsid w:val="00C41877"/>
    <w:rsid w:val="00C44D15"/>
    <w:rsid w:val="00C50C83"/>
    <w:rsid w:val="00C51241"/>
    <w:rsid w:val="00C515AC"/>
    <w:rsid w:val="00C574B6"/>
    <w:rsid w:val="00C7293F"/>
    <w:rsid w:val="00C74732"/>
    <w:rsid w:val="00C74D71"/>
    <w:rsid w:val="00C7594F"/>
    <w:rsid w:val="00C7715B"/>
    <w:rsid w:val="00C772AA"/>
    <w:rsid w:val="00C815E1"/>
    <w:rsid w:val="00C84B65"/>
    <w:rsid w:val="00C92A37"/>
    <w:rsid w:val="00C95C31"/>
    <w:rsid w:val="00CA6E0D"/>
    <w:rsid w:val="00CB00FD"/>
    <w:rsid w:val="00CB0A93"/>
    <w:rsid w:val="00CB1551"/>
    <w:rsid w:val="00CB7622"/>
    <w:rsid w:val="00CC4BBB"/>
    <w:rsid w:val="00CC4F98"/>
    <w:rsid w:val="00CC5C14"/>
    <w:rsid w:val="00CC6CFF"/>
    <w:rsid w:val="00CE5EC5"/>
    <w:rsid w:val="00CF32C2"/>
    <w:rsid w:val="00CF5714"/>
    <w:rsid w:val="00CF7F81"/>
    <w:rsid w:val="00D02E66"/>
    <w:rsid w:val="00D03A13"/>
    <w:rsid w:val="00D15D4B"/>
    <w:rsid w:val="00D20AE1"/>
    <w:rsid w:val="00D25767"/>
    <w:rsid w:val="00D26BD9"/>
    <w:rsid w:val="00D37622"/>
    <w:rsid w:val="00D40D3A"/>
    <w:rsid w:val="00D423D3"/>
    <w:rsid w:val="00D50AC8"/>
    <w:rsid w:val="00D53040"/>
    <w:rsid w:val="00D6094D"/>
    <w:rsid w:val="00D60C71"/>
    <w:rsid w:val="00D61334"/>
    <w:rsid w:val="00D622C1"/>
    <w:rsid w:val="00D7414E"/>
    <w:rsid w:val="00D74D33"/>
    <w:rsid w:val="00D76F80"/>
    <w:rsid w:val="00D8416F"/>
    <w:rsid w:val="00D90CF3"/>
    <w:rsid w:val="00DA3BC7"/>
    <w:rsid w:val="00DA404A"/>
    <w:rsid w:val="00DA436B"/>
    <w:rsid w:val="00DB2DC3"/>
    <w:rsid w:val="00DB5E6D"/>
    <w:rsid w:val="00DC1E76"/>
    <w:rsid w:val="00DC609F"/>
    <w:rsid w:val="00DC7373"/>
    <w:rsid w:val="00DD7718"/>
    <w:rsid w:val="00DE0C8F"/>
    <w:rsid w:val="00DE0F17"/>
    <w:rsid w:val="00DE1F0F"/>
    <w:rsid w:val="00DE36A7"/>
    <w:rsid w:val="00DE3744"/>
    <w:rsid w:val="00DF6A19"/>
    <w:rsid w:val="00E06493"/>
    <w:rsid w:val="00E064B2"/>
    <w:rsid w:val="00E2063F"/>
    <w:rsid w:val="00E2436C"/>
    <w:rsid w:val="00E25ED0"/>
    <w:rsid w:val="00E44C17"/>
    <w:rsid w:val="00E523F8"/>
    <w:rsid w:val="00E61A0D"/>
    <w:rsid w:val="00E63994"/>
    <w:rsid w:val="00E65609"/>
    <w:rsid w:val="00E70F2F"/>
    <w:rsid w:val="00E807FA"/>
    <w:rsid w:val="00E85622"/>
    <w:rsid w:val="00E85F2F"/>
    <w:rsid w:val="00EA1698"/>
    <w:rsid w:val="00EA469A"/>
    <w:rsid w:val="00EA5CF6"/>
    <w:rsid w:val="00EA5D2D"/>
    <w:rsid w:val="00EB148F"/>
    <w:rsid w:val="00EB5060"/>
    <w:rsid w:val="00EC425D"/>
    <w:rsid w:val="00EC43BC"/>
    <w:rsid w:val="00ED26FB"/>
    <w:rsid w:val="00ED2C06"/>
    <w:rsid w:val="00ED62DF"/>
    <w:rsid w:val="00ED7A69"/>
    <w:rsid w:val="00EE04D7"/>
    <w:rsid w:val="00EE345B"/>
    <w:rsid w:val="00EE34DC"/>
    <w:rsid w:val="00EE5B09"/>
    <w:rsid w:val="00EF3D3D"/>
    <w:rsid w:val="00F016D6"/>
    <w:rsid w:val="00F057D2"/>
    <w:rsid w:val="00F07EA4"/>
    <w:rsid w:val="00F16241"/>
    <w:rsid w:val="00F309AC"/>
    <w:rsid w:val="00F33F35"/>
    <w:rsid w:val="00F36B15"/>
    <w:rsid w:val="00F409BB"/>
    <w:rsid w:val="00F463EA"/>
    <w:rsid w:val="00F5048F"/>
    <w:rsid w:val="00F54F71"/>
    <w:rsid w:val="00F66305"/>
    <w:rsid w:val="00F727E8"/>
    <w:rsid w:val="00F75C7B"/>
    <w:rsid w:val="00F774F1"/>
    <w:rsid w:val="00F84DD5"/>
    <w:rsid w:val="00F86946"/>
    <w:rsid w:val="00FA119E"/>
    <w:rsid w:val="00FA5644"/>
    <w:rsid w:val="00FB024D"/>
    <w:rsid w:val="00FB1318"/>
    <w:rsid w:val="00FC0369"/>
    <w:rsid w:val="00FC3FA5"/>
    <w:rsid w:val="00FD1382"/>
    <w:rsid w:val="00FE11EC"/>
    <w:rsid w:val="00FE4979"/>
    <w:rsid w:val="00FF0AB3"/>
    <w:rsid w:val="00FF0C70"/>
    <w:rsid w:val="00FF429D"/>
    <w:rsid w:val="00FF5898"/>
    <w:rsid w:val="00FF676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67F18B"/>
  <w15:chartTrackingRefBased/>
  <w15:docId w15:val="{18F8B3C0-FD0D-43FB-9A82-19A8CF884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2C6C"/>
    <w:rPr>
      <w:rFonts w:ascii="Calibri" w:eastAsia="Calibri" w:hAnsi="Calibri" w:cs="Calibri"/>
      <w:lang w:val="sq-AL"/>
    </w:rPr>
  </w:style>
  <w:style w:type="paragraph" w:styleId="Heading3">
    <w:name w:val="heading 3"/>
    <w:basedOn w:val="Normal"/>
    <w:link w:val="Heading3Char"/>
    <w:uiPriority w:val="9"/>
    <w:qFormat/>
    <w:rsid w:val="004B4144"/>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2C6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72C6C"/>
    <w:rPr>
      <w:b/>
      <w:bCs/>
    </w:rPr>
  </w:style>
  <w:style w:type="character" w:styleId="CommentReference">
    <w:name w:val="annotation reference"/>
    <w:basedOn w:val="DefaultParagraphFont"/>
    <w:uiPriority w:val="99"/>
    <w:semiHidden/>
    <w:unhideWhenUsed/>
    <w:rsid w:val="0094061B"/>
    <w:rPr>
      <w:sz w:val="16"/>
      <w:szCs w:val="16"/>
    </w:rPr>
  </w:style>
  <w:style w:type="paragraph" w:styleId="CommentText">
    <w:name w:val="annotation text"/>
    <w:basedOn w:val="Normal"/>
    <w:link w:val="CommentTextChar"/>
    <w:uiPriority w:val="99"/>
    <w:unhideWhenUsed/>
    <w:rsid w:val="0094061B"/>
    <w:pPr>
      <w:spacing w:line="240" w:lineRule="auto"/>
    </w:pPr>
    <w:rPr>
      <w:sz w:val="20"/>
      <w:szCs w:val="20"/>
    </w:rPr>
  </w:style>
  <w:style w:type="character" w:customStyle="1" w:styleId="CommentTextChar">
    <w:name w:val="Comment Text Char"/>
    <w:basedOn w:val="DefaultParagraphFont"/>
    <w:link w:val="CommentText"/>
    <w:uiPriority w:val="99"/>
    <w:rsid w:val="0094061B"/>
    <w:rPr>
      <w:rFonts w:ascii="Calibri" w:eastAsia="Calibri" w:hAnsi="Calibri" w:cs="Calibri"/>
      <w:sz w:val="20"/>
      <w:szCs w:val="20"/>
    </w:rPr>
  </w:style>
  <w:style w:type="paragraph" w:styleId="ListParagraph">
    <w:name w:val="List Paragraph"/>
    <w:basedOn w:val="Normal"/>
    <w:uiPriority w:val="34"/>
    <w:qFormat/>
    <w:rsid w:val="0094061B"/>
    <w:pPr>
      <w:ind w:left="720"/>
      <w:contextualSpacing/>
    </w:pPr>
  </w:style>
  <w:style w:type="character" w:customStyle="1" w:styleId="Heading3Char">
    <w:name w:val="Heading 3 Char"/>
    <w:basedOn w:val="DefaultParagraphFont"/>
    <w:link w:val="Heading3"/>
    <w:uiPriority w:val="9"/>
    <w:rsid w:val="004B4144"/>
    <w:rPr>
      <w:rFonts w:ascii="Times New Roman" w:eastAsia="Times New Roman" w:hAnsi="Times New Roman" w:cs="Times New Roman"/>
      <w:b/>
      <w:bCs/>
      <w:sz w:val="27"/>
      <w:szCs w:val="27"/>
      <w:lang w:eastAsia="en-GB"/>
    </w:rPr>
  </w:style>
  <w:style w:type="paragraph" w:styleId="CommentSubject">
    <w:name w:val="annotation subject"/>
    <w:basedOn w:val="CommentText"/>
    <w:next w:val="CommentText"/>
    <w:link w:val="CommentSubjectChar"/>
    <w:uiPriority w:val="99"/>
    <w:semiHidden/>
    <w:unhideWhenUsed/>
    <w:rsid w:val="00A11239"/>
    <w:rPr>
      <w:b/>
      <w:bCs/>
    </w:rPr>
  </w:style>
  <w:style w:type="character" w:customStyle="1" w:styleId="CommentSubjectChar">
    <w:name w:val="Comment Subject Char"/>
    <w:basedOn w:val="CommentTextChar"/>
    <w:link w:val="CommentSubject"/>
    <w:uiPriority w:val="99"/>
    <w:semiHidden/>
    <w:rsid w:val="00A11239"/>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FF0A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0AB3"/>
    <w:rPr>
      <w:rFonts w:ascii="Segoe UI" w:eastAsia="Calibri" w:hAnsi="Segoe UI" w:cs="Segoe UI"/>
      <w:sz w:val="18"/>
      <w:szCs w:val="18"/>
    </w:rPr>
  </w:style>
  <w:style w:type="paragraph" w:styleId="Revision">
    <w:name w:val="Revision"/>
    <w:hidden/>
    <w:uiPriority w:val="99"/>
    <w:semiHidden/>
    <w:rsid w:val="00120AAE"/>
    <w:pPr>
      <w:spacing w:after="0" w:line="240" w:lineRule="auto"/>
    </w:pPr>
    <w:rPr>
      <w:rFonts w:ascii="Calibri" w:eastAsia="Calibri" w:hAnsi="Calibri" w:cs="Calibri"/>
    </w:rPr>
  </w:style>
  <w:style w:type="paragraph" w:styleId="EndnoteText">
    <w:name w:val="endnote text"/>
    <w:basedOn w:val="Normal"/>
    <w:link w:val="EndnoteTextChar"/>
    <w:uiPriority w:val="99"/>
    <w:semiHidden/>
    <w:unhideWhenUsed/>
    <w:rsid w:val="00FC3FA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C3FA5"/>
    <w:rPr>
      <w:rFonts w:ascii="Calibri" w:eastAsia="Calibri" w:hAnsi="Calibri" w:cs="Calibri"/>
      <w:sz w:val="20"/>
      <w:szCs w:val="20"/>
    </w:rPr>
  </w:style>
  <w:style w:type="character" w:styleId="EndnoteReference">
    <w:name w:val="endnote reference"/>
    <w:basedOn w:val="DefaultParagraphFont"/>
    <w:uiPriority w:val="99"/>
    <w:semiHidden/>
    <w:unhideWhenUsed/>
    <w:rsid w:val="00FC3FA5"/>
    <w:rPr>
      <w:vertAlign w:val="superscript"/>
    </w:rPr>
  </w:style>
  <w:style w:type="paragraph" w:styleId="FootnoteText">
    <w:name w:val="footnote text"/>
    <w:basedOn w:val="Normal"/>
    <w:link w:val="FootnoteTextChar"/>
    <w:uiPriority w:val="99"/>
    <w:semiHidden/>
    <w:unhideWhenUsed/>
    <w:rsid w:val="00FC3FA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C3FA5"/>
    <w:rPr>
      <w:rFonts w:ascii="Calibri" w:eastAsia="Calibri" w:hAnsi="Calibri" w:cs="Calibri"/>
      <w:sz w:val="20"/>
      <w:szCs w:val="20"/>
    </w:rPr>
  </w:style>
  <w:style w:type="character" w:styleId="FootnoteReference">
    <w:name w:val="footnote reference"/>
    <w:basedOn w:val="DefaultParagraphFont"/>
    <w:uiPriority w:val="99"/>
    <w:semiHidden/>
    <w:unhideWhenUsed/>
    <w:rsid w:val="00FC3FA5"/>
    <w:rPr>
      <w:vertAlign w:val="superscript"/>
    </w:rPr>
  </w:style>
  <w:style w:type="character" w:customStyle="1" w:styleId="cf01">
    <w:name w:val="cf01"/>
    <w:basedOn w:val="DefaultParagraphFont"/>
    <w:rsid w:val="00190553"/>
    <w:rPr>
      <w:rFonts w:ascii="Segoe UI" w:hAnsi="Segoe UI" w:cs="Segoe UI" w:hint="default"/>
      <w:b/>
      <w:bCs/>
      <w:sz w:val="18"/>
      <w:szCs w:val="18"/>
    </w:rPr>
  </w:style>
  <w:style w:type="paragraph" w:styleId="Header">
    <w:name w:val="header"/>
    <w:basedOn w:val="Normal"/>
    <w:link w:val="HeaderChar"/>
    <w:uiPriority w:val="99"/>
    <w:unhideWhenUsed/>
    <w:rsid w:val="005B7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7033"/>
    <w:rPr>
      <w:rFonts w:ascii="Calibri" w:eastAsia="Calibri" w:hAnsi="Calibri" w:cs="Calibri"/>
    </w:rPr>
  </w:style>
  <w:style w:type="paragraph" w:styleId="Footer">
    <w:name w:val="footer"/>
    <w:basedOn w:val="Normal"/>
    <w:link w:val="FooterChar"/>
    <w:uiPriority w:val="99"/>
    <w:unhideWhenUsed/>
    <w:rsid w:val="005B7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7033"/>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177805">
      <w:bodyDiv w:val="1"/>
      <w:marLeft w:val="0"/>
      <w:marRight w:val="0"/>
      <w:marTop w:val="0"/>
      <w:marBottom w:val="0"/>
      <w:divBdr>
        <w:top w:val="none" w:sz="0" w:space="0" w:color="auto"/>
        <w:left w:val="none" w:sz="0" w:space="0" w:color="auto"/>
        <w:bottom w:val="none" w:sz="0" w:space="0" w:color="auto"/>
        <w:right w:val="none" w:sz="0" w:space="0" w:color="auto"/>
      </w:divBdr>
    </w:div>
    <w:div w:id="64426201">
      <w:bodyDiv w:val="1"/>
      <w:marLeft w:val="0"/>
      <w:marRight w:val="0"/>
      <w:marTop w:val="0"/>
      <w:marBottom w:val="0"/>
      <w:divBdr>
        <w:top w:val="none" w:sz="0" w:space="0" w:color="auto"/>
        <w:left w:val="none" w:sz="0" w:space="0" w:color="auto"/>
        <w:bottom w:val="none" w:sz="0" w:space="0" w:color="auto"/>
        <w:right w:val="none" w:sz="0" w:space="0" w:color="auto"/>
      </w:divBdr>
    </w:div>
    <w:div w:id="91705669">
      <w:bodyDiv w:val="1"/>
      <w:marLeft w:val="0"/>
      <w:marRight w:val="0"/>
      <w:marTop w:val="0"/>
      <w:marBottom w:val="0"/>
      <w:divBdr>
        <w:top w:val="none" w:sz="0" w:space="0" w:color="auto"/>
        <w:left w:val="none" w:sz="0" w:space="0" w:color="auto"/>
        <w:bottom w:val="none" w:sz="0" w:space="0" w:color="auto"/>
        <w:right w:val="none" w:sz="0" w:space="0" w:color="auto"/>
      </w:divBdr>
    </w:div>
    <w:div w:id="113443956">
      <w:bodyDiv w:val="1"/>
      <w:marLeft w:val="0"/>
      <w:marRight w:val="0"/>
      <w:marTop w:val="0"/>
      <w:marBottom w:val="0"/>
      <w:divBdr>
        <w:top w:val="none" w:sz="0" w:space="0" w:color="auto"/>
        <w:left w:val="none" w:sz="0" w:space="0" w:color="auto"/>
        <w:bottom w:val="none" w:sz="0" w:space="0" w:color="auto"/>
        <w:right w:val="none" w:sz="0" w:space="0" w:color="auto"/>
      </w:divBdr>
    </w:div>
    <w:div w:id="147989563">
      <w:bodyDiv w:val="1"/>
      <w:marLeft w:val="0"/>
      <w:marRight w:val="0"/>
      <w:marTop w:val="0"/>
      <w:marBottom w:val="0"/>
      <w:divBdr>
        <w:top w:val="none" w:sz="0" w:space="0" w:color="auto"/>
        <w:left w:val="none" w:sz="0" w:space="0" w:color="auto"/>
        <w:bottom w:val="none" w:sz="0" w:space="0" w:color="auto"/>
        <w:right w:val="none" w:sz="0" w:space="0" w:color="auto"/>
      </w:divBdr>
    </w:div>
    <w:div w:id="158471116">
      <w:bodyDiv w:val="1"/>
      <w:marLeft w:val="0"/>
      <w:marRight w:val="0"/>
      <w:marTop w:val="0"/>
      <w:marBottom w:val="0"/>
      <w:divBdr>
        <w:top w:val="none" w:sz="0" w:space="0" w:color="auto"/>
        <w:left w:val="none" w:sz="0" w:space="0" w:color="auto"/>
        <w:bottom w:val="none" w:sz="0" w:space="0" w:color="auto"/>
        <w:right w:val="none" w:sz="0" w:space="0" w:color="auto"/>
      </w:divBdr>
    </w:div>
    <w:div w:id="171846175">
      <w:bodyDiv w:val="1"/>
      <w:marLeft w:val="0"/>
      <w:marRight w:val="0"/>
      <w:marTop w:val="0"/>
      <w:marBottom w:val="0"/>
      <w:divBdr>
        <w:top w:val="none" w:sz="0" w:space="0" w:color="auto"/>
        <w:left w:val="none" w:sz="0" w:space="0" w:color="auto"/>
        <w:bottom w:val="none" w:sz="0" w:space="0" w:color="auto"/>
        <w:right w:val="none" w:sz="0" w:space="0" w:color="auto"/>
      </w:divBdr>
    </w:div>
    <w:div w:id="187648754">
      <w:bodyDiv w:val="1"/>
      <w:marLeft w:val="0"/>
      <w:marRight w:val="0"/>
      <w:marTop w:val="0"/>
      <w:marBottom w:val="0"/>
      <w:divBdr>
        <w:top w:val="none" w:sz="0" w:space="0" w:color="auto"/>
        <w:left w:val="none" w:sz="0" w:space="0" w:color="auto"/>
        <w:bottom w:val="none" w:sz="0" w:space="0" w:color="auto"/>
        <w:right w:val="none" w:sz="0" w:space="0" w:color="auto"/>
      </w:divBdr>
    </w:div>
    <w:div w:id="208035361">
      <w:bodyDiv w:val="1"/>
      <w:marLeft w:val="0"/>
      <w:marRight w:val="0"/>
      <w:marTop w:val="0"/>
      <w:marBottom w:val="0"/>
      <w:divBdr>
        <w:top w:val="none" w:sz="0" w:space="0" w:color="auto"/>
        <w:left w:val="none" w:sz="0" w:space="0" w:color="auto"/>
        <w:bottom w:val="none" w:sz="0" w:space="0" w:color="auto"/>
        <w:right w:val="none" w:sz="0" w:space="0" w:color="auto"/>
      </w:divBdr>
    </w:div>
    <w:div w:id="278490334">
      <w:bodyDiv w:val="1"/>
      <w:marLeft w:val="0"/>
      <w:marRight w:val="0"/>
      <w:marTop w:val="0"/>
      <w:marBottom w:val="0"/>
      <w:divBdr>
        <w:top w:val="none" w:sz="0" w:space="0" w:color="auto"/>
        <w:left w:val="none" w:sz="0" w:space="0" w:color="auto"/>
        <w:bottom w:val="none" w:sz="0" w:space="0" w:color="auto"/>
        <w:right w:val="none" w:sz="0" w:space="0" w:color="auto"/>
      </w:divBdr>
    </w:div>
    <w:div w:id="324170443">
      <w:bodyDiv w:val="1"/>
      <w:marLeft w:val="0"/>
      <w:marRight w:val="0"/>
      <w:marTop w:val="0"/>
      <w:marBottom w:val="0"/>
      <w:divBdr>
        <w:top w:val="none" w:sz="0" w:space="0" w:color="auto"/>
        <w:left w:val="none" w:sz="0" w:space="0" w:color="auto"/>
        <w:bottom w:val="none" w:sz="0" w:space="0" w:color="auto"/>
        <w:right w:val="none" w:sz="0" w:space="0" w:color="auto"/>
      </w:divBdr>
    </w:div>
    <w:div w:id="324238994">
      <w:bodyDiv w:val="1"/>
      <w:marLeft w:val="0"/>
      <w:marRight w:val="0"/>
      <w:marTop w:val="0"/>
      <w:marBottom w:val="0"/>
      <w:divBdr>
        <w:top w:val="none" w:sz="0" w:space="0" w:color="auto"/>
        <w:left w:val="none" w:sz="0" w:space="0" w:color="auto"/>
        <w:bottom w:val="none" w:sz="0" w:space="0" w:color="auto"/>
        <w:right w:val="none" w:sz="0" w:space="0" w:color="auto"/>
      </w:divBdr>
    </w:div>
    <w:div w:id="367803161">
      <w:bodyDiv w:val="1"/>
      <w:marLeft w:val="0"/>
      <w:marRight w:val="0"/>
      <w:marTop w:val="0"/>
      <w:marBottom w:val="0"/>
      <w:divBdr>
        <w:top w:val="none" w:sz="0" w:space="0" w:color="auto"/>
        <w:left w:val="none" w:sz="0" w:space="0" w:color="auto"/>
        <w:bottom w:val="none" w:sz="0" w:space="0" w:color="auto"/>
        <w:right w:val="none" w:sz="0" w:space="0" w:color="auto"/>
      </w:divBdr>
    </w:div>
    <w:div w:id="381176544">
      <w:bodyDiv w:val="1"/>
      <w:marLeft w:val="0"/>
      <w:marRight w:val="0"/>
      <w:marTop w:val="0"/>
      <w:marBottom w:val="0"/>
      <w:divBdr>
        <w:top w:val="none" w:sz="0" w:space="0" w:color="auto"/>
        <w:left w:val="none" w:sz="0" w:space="0" w:color="auto"/>
        <w:bottom w:val="none" w:sz="0" w:space="0" w:color="auto"/>
        <w:right w:val="none" w:sz="0" w:space="0" w:color="auto"/>
      </w:divBdr>
    </w:div>
    <w:div w:id="385228567">
      <w:bodyDiv w:val="1"/>
      <w:marLeft w:val="0"/>
      <w:marRight w:val="0"/>
      <w:marTop w:val="0"/>
      <w:marBottom w:val="0"/>
      <w:divBdr>
        <w:top w:val="none" w:sz="0" w:space="0" w:color="auto"/>
        <w:left w:val="none" w:sz="0" w:space="0" w:color="auto"/>
        <w:bottom w:val="none" w:sz="0" w:space="0" w:color="auto"/>
        <w:right w:val="none" w:sz="0" w:space="0" w:color="auto"/>
      </w:divBdr>
    </w:div>
    <w:div w:id="416287230">
      <w:bodyDiv w:val="1"/>
      <w:marLeft w:val="0"/>
      <w:marRight w:val="0"/>
      <w:marTop w:val="0"/>
      <w:marBottom w:val="0"/>
      <w:divBdr>
        <w:top w:val="none" w:sz="0" w:space="0" w:color="auto"/>
        <w:left w:val="none" w:sz="0" w:space="0" w:color="auto"/>
        <w:bottom w:val="none" w:sz="0" w:space="0" w:color="auto"/>
        <w:right w:val="none" w:sz="0" w:space="0" w:color="auto"/>
      </w:divBdr>
    </w:div>
    <w:div w:id="442195218">
      <w:bodyDiv w:val="1"/>
      <w:marLeft w:val="0"/>
      <w:marRight w:val="0"/>
      <w:marTop w:val="0"/>
      <w:marBottom w:val="0"/>
      <w:divBdr>
        <w:top w:val="none" w:sz="0" w:space="0" w:color="auto"/>
        <w:left w:val="none" w:sz="0" w:space="0" w:color="auto"/>
        <w:bottom w:val="none" w:sz="0" w:space="0" w:color="auto"/>
        <w:right w:val="none" w:sz="0" w:space="0" w:color="auto"/>
      </w:divBdr>
    </w:div>
    <w:div w:id="489520939">
      <w:bodyDiv w:val="1"/>
      <w:marLeft w:val="0"/>
      <w:marRight w:val="0"/>
      <w:marTop w:val="0"/>
      <w:marBottom w:val="0"/>
      <w:divBdr>
        <w:top w:val="none" w:sz="0" w:space="0" w:color="auto"/>
        <w:left w:val="none" w:sz="0" w:space="0" w:color="auto"/>
        <w:bottom w:val="none" w:sz="0" w:space="0" w:color="auto"/>
        <w:right w:val="none" w:sz="0" w:space="0" w:color="auto"/>
      </w:divBdr>
    </w:div>
    <w:div w:id="525947457">
      <w:bodyDiv w:val="1"/>
      <w:marLeft w:val="0"/>
      <w:marRight w:val="0"/>
      <w:marTop w:val="0"/>
      <w:marBottom w:val="0"/>
      <w:divBdr>
        <w:top w:val="none" w:sz="0" w:space="0" w:color="auto"/>
        <w:left w:val="none" w:sz="0" w:space="0" w:color="auto"/>
        <w:bottom w:val="none" w:sz="0" w:space="0" w:color="auto"/>
        <w:right w:val="none" w:sz="0" w:space="0" w:color="auto"/>
      </w:divBdr>
    </w:div>
    <w:div w:id="526993388">
      <w:bodyDiv w:val="1"/>
      <w:marLeft w:val="0"/>
      <w:marRight w:val="0"/>
      <w:marTop w:val="0"/>
      <w:marBottom w:val="0"/>
      <w:divBdr>
        <w:top w:val="none" w:sz="0" w:space="0" w:color="auto"/>
        <w:left w:val="none" w:sz="0" w:space="0" w:color="auto"/>
        <w:bottom w:val="none" w:sz="0" w:space="0" w:color="auto"/>
        <w:right w:val="none" w:sz="0" w:space="0" w:color="auto"/>
      </w:divBdr>
    </w:div>
    <w:div w:id="540747255">
      <w:bodyDiv w:val="1"/>
      <w:marLeft w:val="0"/>
      <w:marRight w:val="0"/>
      <w:marTop w:val="0"/>
      <w:marBottom w:val="0"/>
      <w:divBdr>
        <w:top w:val="none" w:sz="0" w:space="0" w:color="auto"/>
        <w:left w:val="none" w:sz="0" w:space="0" w:color="auto"/>
        <w:bottom w:val="none" w:sz="0" w:space="0" w:color="auto"/>
        <w:right w:val="none" w:sz="0" w:space="0" w:color="auto"/>
      </w:divBdr>
    </w:div>
    <w:div w:id="592932401">
      <w:bodyDiv w:val="1"/>
      <w:marLeft w:val="0"/>
      <w:marRight w:val="0"/>
      <w:marTop w:val="0"/>
      <w:marBottom w:val="0"/>
      <w:divBdr>
        <w:top w:val="none" w:sz="0" w:space="0" w:color="auto"/>
        <w:left w:val="none" w:sz="0" w:space="0" w:color="auto"/>
        <w:bottom w:val="none" w:sz="0" w:space="0" w:color="auto"/>
        <w:right w:val="none" w:sz="0" w:space="0" w:color="auto"/>
      </w:divBdr>
    </w:div>
    <w:div w:id="685398832">
      <w:bodyDiv w:val="1"/>
      <w:marLeft w:val="0"/>
      <w:marRight w:val="0"/>
      <w:marTop w:val="0"/>
      <w:marBottom w:val="0"/>
      <w:divBdr>
        <w:top w:val="none" w:sz="0" w:space="0" w:color="auto"/>
        <w:left w:val="none" w:sz="0" w:space="0" w:color="auto"/>
        <w:bottom w:val="none" w:sz="0" w:space="0" w:color="auto"/>
        <w:right w:val="none" w:sz="0" w:space="0" w:color="auto"/>
      </w:divBdr>
    </w:div>
    <w:div w:id="692072887">
      <w:bodyDiv w:val="1"/>
      <w:marLeft w:val="0"/>
      <w:marRight w:val="0"/>
      <w:marTop w:val="0"/>
      <w:marBottom w:val="0"/>
      <w:divBdr>
        <w:top w:val="none" w:sz="0" w:space="0" w:color="auto"/>
        <w:left w:val="none" w:sz="0" w:space="0" w:color="auto"/>
        <w:bottom w:val="none" w:sz="0" w:space="0" w:color="auto"/>
        <w:right w:val="none" w:sz="0" w:space="0" w:color="auto"/>
      </w:divBdr>
    </w:div>
    <w:div w:id="716508137">
      <w:bodyDiv w:val="1"/>
      <w:marLeft w:val="0"/>
      <w:marRight w:val="0"/>
      <w:marTop w:val="0"/>
      <w:marBottom w:val="0"/>
      <w:divBdr>
        <w:top w:val="none" w:sz="0" w:space="0" w:color="auto"/>
        <w:left w:val="none" w:sz="0" w:space="0" w:color="auto"/>
        <w:bottom w:val="none" w:sz="0" w:space="0" w:color="auto"/>
        <w:right w:val="none" w:sz="0" w:space="0" w:color="auto"/>
      </w:divBdr>
    </w:div>
    <w:div w:id="741490158">
      <w:bodyDiv w:val="1"/>
      <w:marLeft w:val="0"/>
      <w:marRight w:val="0"/>
      <w:marTop w:val="0"/>
      <w:marBottom w:val="0"/>
      <w:divBdr>
        <w:top w:val="none" w:sz="0" w:space="0" w:color="auto"/>
        <w:left w:val="none" w:sz="0" w:space="0" w:color="auto"/>
        <w:bottom w:val="none" w:sz="0" w:space="0" w:color="auto"/>
        <w:right w:val="none" w:sz="0" w:space="0" w:color="auto"/>
      </w:divBdr>
    </w:div>
    <w:div w:id="894583489">
      <w:bodyDiv w:val="1"/>
      <w:marLeft w:val="0"/>
      <w:marRight w:val="0"/>
      <w:marTop w:val="0"/>
      <w:marBottom w:val="0"/>
      <w:divBdr>
        <w:top w:val="none" w:sz="0" w:space="0" w:color="auto"/>
        <w:left w:val="none" w:sz="0" w:space="0" w:color="auto"/>
        <w:bottom w:val="none" w:sz="0" w:space="0" w:color="auto"/>
        <w:right w:val="none" w:sz="0" w:space="0" w:color="auto"/>
      </w:divBdr>
    </w:div>
    <w:div w:id="899907407">
      <w:bodyDiv w:val="1"/>
      <w:marLeft w:val="0"/>
      <w:marRight w:val="0"/>
      <w:marTop w:val="0"/>
      <w:marBottom w:val="0"/>
      <w:divBdr>
        <w:top w:val="none" w:sz="0" w:space="0" w:color="auto"/>
        <w:left w:val="none" w:sz="0" w:space="0" w:color="auto"/>
        <w:bottom w:val="none" w:sz="0" w:space="0" w:color="auto"/>
        <w:right w:val="none" w:sz="0" w:space="0" w:color="auto"/>
      </w:divBdr>
    </w:div>
    <w:div w:id="909122628">
      <w:bodyDiv w:val="1"/>
      <w:marLeft w:val="0"/>
      <w:marRight w:val="0"/>
      <w:marTop w:val="0"/>
      <w:marBottom w:val="0"/>
      <w:divBdr>
        <w:top w:val="none" w:sz="0" w:space="0" w:color="auto"/>
        <w:left w:val="none" w:sz="0" w:space="0" w:color="auto"/>
        <w:bottom w:val="none" w:sz="0" w:space="0" w:color="auto"/>
        <w:right w:val="none" w:sz="0" w:space="0" w:color="auto"/>
      </w:divBdr>
    </w:div>
    <w:div w:id="924846942">
      <w:bodyDiv w:val="1"/>
      <w:marLeft w:val="0"/>
      <w:marRight w:val="0"/>
      <w:marTop w:val="0"/>
      <w:marBottom w:val="0"/>
      <w:divBdr>
        <w:top w:val="none" w:sz="0" w:space="0" w:color="auto"/>
        <w:left w:val="none" w:sz="0" w:space="0" w:color="auto"/>
        <w:bottom w:val="none" w:sz="0" w:space="0" w:color="auto"/>
        <w:right w:val="none" w:sz="0" w:space="0" w:color="auto"/>
      </w:divBdr>
    </w:div>
    <w:div w:id="933129016">
      <w:bodyDiv w:val="1"/>
      <w:marLeft w:val="0"/>
      <w:marRight w:val="0"/>
      <w:marTop w:val="0"/>
      <w:marBottom w:val="0"/>
      <w:divBdr>
        <w:top w:val="none" w:sz="0" w:space="0" w:color="auto"/>
        <w:left w:val="none" w:sz="0" w:space="0" w:color="auto"/>
        <w:bottom w:val="none" w:sz="0" w:space="0" w:color="auto"/>
        <w:right w:val="none" w:sz="0" w:space="0" w:color="auto"/>
      </w:divBdr>
    </w:div>
    <w:div w:id="935988401">
      <w:bodyDiv w:val="1"/>
      <w:marLeft w:val="0"/>
      <w:marRight w:val="0"/>
      <w:marTop w:val="0"/>
      <w:marBottom w:val="0"/>
      <w:divBdr>
        <w:top w:val="none" w:sz="0" w:space="0" w:color="auto"/>
        <w:left w:val="none" w:sz="0" w:space="0" w:color="auto"/>
        <w:bottom w:val="none" w:sz="0" w:space="0" w:color="auto"/>
        <w:right w:val="none" w:sz="0" w:space="0" w:color="auto"/>
      </w:divBdr>
    </w:div>
    <w:div w:id="936445757">
      <w:bodyDiv w:val="1"/>
      <w:marLeft w:val="0"/>
      <w:marRight w:val="0"/>
      <w:marTop w:val="0"/>
      <w:marBottom w:val="0"/>
      <w:divBdr>
        <w:top w:val="none" w:sz="0" w:space="0" w:color="auto"/>
        <w:left w:val="none" w:sz="0" w:space="0" w:color="auto"/>
        <w:bottom w:val="none" w:sz="0" w:space="0" w:color="auto"/>
        <w:right w:val="none" w:sz="0" w:space="0" w:color="auto"/>
      </w:divBdr>
    </w:div>
    <w:div w:id="961425383">
      <w:bodyDiv w:val="1"/>
      <w:marLeft w:val="0"/>
      <w:marRight w:val="0"/>
      <w:marTop w:val="0"/>
      <w:marBottom w:val="0"/>
      <w:divBdr>
        <w:top w:val="none" w:sz="0" w:space="0" w:color="auto"/>
        <w:left w:val="none" w:sz="0" w:space="0" w:color="auto"/>
        <w:bottom w:val="none" w:sz="0" w:space="0" w:color="auto"/>
        <w:right w:val="none" w:sz="0" w:space="0" w:color="auto"/>
      </w:divBdr>
    </w:div>
    <w:div w:id="993338461">
      <w:bodyDiv w:val="1"/>
      <w:marLeft w:val="0"/>
      <w:marRight w:val="0"/>
      <w:marTop w:val="0"/>
      <w:marBottom w:val="0"/>
      <w:divBdr>
        <w:top w:val="none" w:sz="0" w:space="0" w:color="auto"/>
        <w:left w:val="none" w:sz="0" w:space="0" w:color="auto"/>
        <w:bottom w:val="none" w:sz="0" w:space="0" w:color="auto"/>
        <w:right w:val="none" w:sz="0" w:space="0" w:color="auto"/>
      </w:divBdr>
      <w:divsChild>
        <w:div w:id="1815874007">
          <w:marLeft w:val="0"/>
          <w:marRight w:val="0"/>
          <w:marTop w:val="0"/>
          <w:marBottom w:val="0"/>
          <w:divBdr>
            <w:top w:val="none" w:sz="0" w:space="0" w:color="auto"/>
            <w:left w:val="none" w:sz="0" w:space="0" w:color="auto"/>
            <w:bottom w:val="none" w:sz="0" w:space="0" w:color="auto"/>
            <w:right w:val="none" w:sz="0" w:space="0" w:color="auto"/>
          </w:divBdr>
        </w:div>
        <w:div w:id="2065372877">
          <w:marLeft w:val="0"/>
          <w:marRight w:val="0"/>
          <w:marTop w:val="0"/>
          <w:marBottom w:val="0"/>
          <w:divBdr>
            <w:top w:val="none" w:sz="0" w:space="0" w:color="auto"/>
            <w:left w:val="none" w:sz="0" w:space="0" w:color="auto"/>
            <w:bottom w:val="none" w:sz="0" w:space="0" w:color="auto"/>
            <w:right w:val="none" w:sz="0" w:space="0" w:color="auto"/>
          </w:divBdr>
        </w:div>
      </w:divsChild>
    </w:div>
    <w:div w:id="1028602439">
      <w:bodyDiv w:val="1"/>
      <w:marLeft w:val="0"/>
      <w:marRight w:val="0"/>
      <w:marTop w:val="0"/>
      <w:marBottom w:val="0"/>
      <w:divBdr>
        <w:top w:val="none" w:sz="0" w:space="0" w:color="auto"/>
        <w:left w:val="none" w:sz="0" w:space="0" w:color="auto"/>
        <w:bottom w:val="none" w:sz="0" w:space="0" w:color="auto"/>
        <w:right w:val="none" w:sz="0" w:space="0" w:color="auto"/>
      </w:divBdr>
    </w:div>
    <w:div w:id="1059135729">
      <w:bodyDiv w:val="1"/>
      <w:marLeft w:val="0"/>
      <w:marRight w:val="0"/>
      <w:marTop w:val="0"/>
      <w:marBottom w:val="0"/>
      <w:divBdr>
        <w:top w:val="none" w:sz="0" w:space="0" w:color="auto"/>
        <w:left w:val="none" w:sz="0" w:space="0" w:color="auto"/>
        <w:bottom w:val="none" w:sz="0" w:space="0" w:color="auto"/>
        <w:right w:val="none" w:sz="0" w:space="0" w:color="auto"/>
      </w:divBdr>
    </w:div>
    <w:div w:id="1101292909">
      <w:bodyDiv w:val="1"/>
      <w:marLeft w:val="0"/>
      <w:marRight w:val="0"/>
      <w:marTop w:val="0"/>
      <w:marBottom w:val="0"/>
      <w:divBdr>
        <w:top w:val="none" w:sz="0" w:space="0" w:color="auto"/>
        <w:left w:val="none" w:sz="0" w:space="0" w:color="auto"/>
        <w:bottom w:val="none" w:sz="0" w:space="0" w:color="auto"/>
        <w:right w:val="none" w:sz="0" w:space="0" w:color="auto"/>
      </w:divBdr>
    </w:div>
    <w:div w:id="1101757431">
      <w:bodyDiv w:val="1"/>
      <w:marLeft w:val="0"/>
      <w:marRight w:val="0"/>
      <w:marTop w:val="0"/>
      <w:marBottom w:val="0"/>
      <w:divBdr>
        <w:top w:val="none" w:sz="0" w:space="0" w:color="auto"/>
        <w:left w:val="none" w:sz="0" w:space="0" w:color="auto"/>
        <w:bottom w:val="none" w:sz="0" w:space="0" w:color="auto"/>
        <w:right w:val="none" w:sz="0" w:space="0" w:color="auto"/>
      </w:divBdr>
    </w:div>
    <w:div w:id="1114667623">
      <w:bodyDiv w:val="1"/>
      <w:marLeft w:val="0"/>
      <w:marRight w:val="0"/>
      <w:marTop w:val="0"/>
      <w:marBottom w:val="0"/>
      <w:divBdr>
        <w:top w:val="none" w:sz="0" w:space="0" w:color="auto"/>
        <w:left w:val="none" w:sz="0" w:space="0" w:color="auto"/>
        <w:bottom w:val="none" w:sz="0" w:space="0" w:color="auto"/>
        <w:right w:val="none" w:sz="0" w:space="0" w:color="auto"/>
      </w:divBdr>
    </w:div>
    <w:div w:id="1203403059">
      <w:bodyDiv w:val="1"/>
      <w:marLeft w:val="0"/>
      <w:marRight w:val="0"/>
      <w:marTop w:val="0"/>
      <w:marBottom w:val="0"/>
      <w:divBdr>
        <w:top w:val="none" w:sz="0" w:space="0" w:color="auto"/>
        <w:left w:val="none" w:sz="0" w:space="0" w:color="auto"/>
        <w:bottom w:val="none" w:sz="0" w:space="0" w:color="auto"/>
        <w:right w:val="none" w:sz="0" w:space="0" w:color="auto"/>
      </w:divBdr>
    </w:div>
    <w:div w:id="1247496097">
      <w:bodyDiv w:val="1"/>
      <w:marLeft w:val="0"/>
      <w:marRight w:val="0"/>
      <w:marTop w:val="0"/>
      <w:marBottom w:val="0"/>
      <w:divBdr>
        <w:top w:val="none" w:sz="0" w:space="0" w:color="auto"/>
        <w:left w:val="none" w:sz="0" w:space="0" w:color="auto"/>
        <w:bottom w:val="none" w:sz="0" w:space="0" w:color="auto"/>
        <w:right w:val="none" w:sz="0" w:space="0" w:color="auto"/>
      </w:divBdr>
    </w:div>
    <w:div w:id="1291939192">
      <w:bodyDiv w:val="1"/>
      <w:marLeft w:val="0"/>
      <w:marRight w:val="0"/>
      <w:marTop w:val="0"/>
      <w:marBottom w:val="0"/>
      <w:divBdr>
        <w:top w:val="none" w:sz="0" w:space="0" w:color="auto"/>
        <w:left w:val="none" w:sz="0" w:space="0" w:color="auto"/>
        <w:bottom w:val="none" w:sz="0" w:space="0" w:color="auto"/>
        <w:right w:val="none" w:sz="0" w:space="0" w:color="auto"/>
      </w:divBdr>
    </w:div>
    <w:div w:id="1366442107">
      <w:bodyDiv w:val="1"/>
      <w:marLeft w:val="0"/>
      <w:marRight w:val="0"/>
      <w:marTop w:val="0"/>
      <w:marBottom w:val="0"/>
      <w:divBdr>
        <w:top w:val="none" w:sz="0" w:space="0" w:color="auto"/>
        <w:left w:val="none" w:sz="0" w:space="0" w:color="auto"/>
        <w:bottom w:val="none" w:sz="0" w:space="0" w:color="auto"/>
        <w:right w:val="none" w:sz="0" w:space="0" w:color="auto"/>
      </w:divBdr>
    </w:div>
    <w:div w:id="1425615684">
      <w:bodyDiv w:val="1"/>
      <w:marLeft w:val="0"/>
      <w:marRight w:val="0"/>
      <w:marTop w:val="0"/>
      <w:marBottom w:val="0"/>
      <w:divBdr>
        <w:top w:val="none" w:sz="0" w:space="0" w:color="auto"/>
        <w:left w:val="none" w:sz="0" w:space="0" w:color="auto"/>
        <w:bottom w:val="none" w:sz="0" w:space="0" w:color="auto"/>
        <w:right w:val="none" w:sz="0" w:space="0" w:color="auto"/>
      </w:divBdr>
    </w:div>
    <w:div w:id="1446657802">
      <w:bodyDiv w:val="1"/>
      <w:marLeft w:val="0"/>
      <w:marRight w:val="0"/>
      <w:marTop w:val="0"/>
      <w:marBottom w:val="0"/>
      <w:divBdr>
        <w:top w:val="none" w:sz="0" w:space="0" w:color="auto"/>
        <w:left w:val="none" w:sz="0" w:space="0" w:color="auto"/>
        <w:bottom w:val="none" w:sz="0" w:space="0" w:color="auto"/>
        <w:right w:val="none" w:sz="0" w:space="0" w:color="auto"/>
      </w:divBdr>
    </w:div>
    <w:div w:id="1495536183">
      <w:bodyDiv w:val="1"/>
      <w:marLeft w:val="0"/>
      <w:marRight w:val="0"/>
      <w:marTop w:val="0"/>
      <w:marBottom w:val="0"/>
      <w:divBdr>
        <w:top w:val="none" w:sz="0" w:space="0" w:color="auto"/>
        <w:left w:val="none" w:sz="0" w:space="0" w:color="auto"/>
        <w:bottom w:val="none" w:sz="0" w:space="0" w:color="auto"/>
        <w:right w:val="none" w:sz="0" w:space="0" w:color="auto"/>
      </w:divBdr>
    </w:div>
    <w:div w:id="1500535285">
      <w:bodyDiv w:val="1"/>
      <w:marLeft w:val="0"/>
      <w:marRight w:val="0"/>
      <w:marTop w:val="0"/>
      <w:marBottom w:val="0"/>
      <w:divBdr>
        <w:top w:val="none" w:sz="0" w:space="0" w:color="auto"/>
        <w:left w:val="none" w:sz="0" w:space="0" w:color="auto"/>
        <w:bottom w:val="none" w:sz="0" w:space="0" w:color="auto"/>
        <w:right w:val="none" w:sz="0" w:space="0" w:color="auto"/>
      </w:divBdr>
    </w:div>
    <w:div w:id="1517035027">
      <w:bodyDiv w:val="1"/>
      <w:marLeft w:val="0"/>
      <w:marRight w:val="0"/>
      <w:marTop w:val="0"/>
      <w:marBottom w:val="0"/>
      <w:divBdr>
        <w:top w:val="none" w:sz="0" w:space="0" w:color="auto"/>
        <w:left w:val="none" w:sz="0" w:space="0" w:color="auto"/>
        <w:bottom w:val="none" w:sz="0" w:space="0" w:color="auto"/>
        <w:right w:val="none" w:sz="0" w:space="0" w:color="auto"/>
      </w:divBdr>
    </w:div>
    <w:div w:id="1520316580">
      <w:bodyDiv w:val="1"/>
      <w:marLeft w:val="0"/>
      <w:marRight w:val="0"/>
      <w:marTop w:val="0"/>
      <w:marBottom w:val="0"/>
      <w:divBdr>
        <w:top w:val="none" w:sz="0" w:space="0" w:color="auto"/>
        <w:left w:val="none" w:sz="0" w:space="0" w:color="auto"/>
        <w:bottom w:val="none" w:sz="0" w:space="0" w:color="auto"/>
        <w:right w:val="none" w:sz="0" w:space="0" w:color="auto"/>
      </w:divBdr>
    </w:div>
    <w:div w:id="1524787849">
      <w:bodyDiv w:val="1"/>
      <w:marLeft w:val="0"/>
      <w:marRight w:val="0"/>
      <w:marTop w:val="0"/>
      <w:marBottom w:val="0"/>
      <w:divBdr>
        <w:top w:val="none" w:sz="0" w:space="0" w:color="auto"/>
        <w:left w:val="none" w:sz="0" w:space="0" w:color="auto"/>
        <w:bottom w:val="none" w:sz="0" w:space="0" w:color="auto"/>
        <w:right w:val="none" w:sz="0" w:space="0" w:color="auto"/>
      </w:divBdr>
    </w:div>
    <w:div w:id="1535920042">
      <w:bodyDiv w:val="1"/>
      <w:marLeft w:val="0"/>
      <w:marRight w:val="0"/>
      <w:marTop w:val="0"/>
      <w:marBottom w:val="0"/>
      <w:divBdr>
        <w:top w:val="none" w:sz="0" w:space="0" w:color="auto"/>
        <w:left w:val="none" w:sz="0" w:space="0" w:color="auto"/>
        <w:bottom w:val="none" w:sz="0" w:space="0" w:color="auto"/>
        <w:right w:val="none" w:sz="0" w:space="0" w:color="auto"/>
      </w:divBdr>
    </w:div>
    <w:div w:id="1544059341">
      <w:bodyDiv w:val="1"/>
      <w:marLeft w:val="0"/>
      <w:marRight w:val="0"/>
      <w:marTop w:val="0"/>
      <w:marBottom w:val="0"/>
      <w:divBdr>
        <w:top w:val="none" w:sz="0" w:space="0" w:color="auto"/>
        <w:left w:val="none" w:sz="0" w:space="0" w:color="auto"/>
        <w:bottom w:val="none" w:sz="0" w:space="0" w:color="auto"/>
        <w:right w:val="none" w:sz="0" w:space="0" w:color="auto"/>
      </w:divBdr>
    </w:div>
    <w:div w:id="1554079464">
      <w:bodyDiv w:val="1"/>
      <w:marLeft w:val="0"/>
      <w:marRight w:val="0"/>
      <w:marTop w:val="0"/>
      <w:marBottom w:val="0"/>
      <w:divBdr>
        <w:top w:val="none" w:sz="0" w:space="0" w:color="auto"/>
        <w:left w:val="none" w:sz="0" w:space="0" w:color="auto"/>
        <w:bottom w:val="none" w:sz="0" w:space="0" w:color="auto"/>
        <w:right w:val="none" w:sz="0" w:space="0" w:color="auto"/>
      </w:divBdr>
      <w:divsChild>
        <w:div w:id="1931311674">
          <w:marLeft w:val="0"/>
          <w:marRight w:val="0"/>
          <w:marTop w:val="240"/>
          <w:marBottom w:val="240"/>
          <w:divBdr>
            <w:top w:val="none" w:sz="0" w:space="0" w:color="auto"/>
            <w:left w:val="none" w:sz="0" w:space="0" w:color="auto"/>
            <w:bottom w:val="none" w:sz="0" w:space="0" w:color="auto"/>
            <w:right w:val="none" w:sz="0" w:space="0" w:color="auto"/>
          </w:divBdr>
        </w:div>
        <w:div w:id="693270431">
          <w:marLeft w:val="0"/>
          <w:marRight w:val="0"/>
          <w:marTop w:val="240"/>
          <w:marBottom w:val="240"/>
          <w:divBdr>
            <w:top w:val="none" w:sz="0" w:space="0" w:color="auto"/>
            <w:left w:val="none" w:sz="0" w:space="0" w:color="auto"/>
            <w:bottom w:val="none" w:sz="0" w:space="0" w:color="auto"/>
            <w:right w:val="none" w:sz="0" w:space="0" w:color="auto"/>
          </w:divBdr>
        </w:div>
        <w:div w:id="1103571891">
          <w:marLeft w:val="0"/>
          <w:marRight w:val="0"/>
          <w:marTop w:val="240"/>
          <w:marBottom w:val="240"/>
          <w:divBdr>
            <w:top w:val="none" w:sz="0" w:space="0" w:color="auto"/>
            <w:left w:val="none" w:sz="0" w:space="0" w:color="auto"/>
            <w:bottom w:val="none" w:sz="0" w:space="0" w:color="auto"/>
            <w:right w:val="none" w:sz="0" w:space="0" w:color="auto"/>
          </w:divBdr>
        </w:div>
        <w:div w:id="62721703">
          <w:marLeft w:val="0"/>
          <w:marRight w:val="0"/>
          <w:marTop w:val="240"/>
          <w:marBottom w:val="240"/>
          <w:divBdr>
            <w:top w:val="none" w:sz="0" w:space="0" w:color="auto"/>
            <w:left w:val="none" w:sz="0" w:space="0" w:color="auto"/>
            <w:bottom w:val="none" w:sz="0" w:space="0" w:color="auto"/>
            <w:right w:val="none" w:sz="0" w:space="0" w:color="auto"/>
          </w:divBdr>
        </w:div>
        <w:div w:id="384838223">
          <w:marLeft w:val="0"/>
          <w:marRight w:val="0"/>
          <w:marTop w:val="240"/>
          <w:marBottom w:val="240"/>
          <w:divBdr>
            <w:top w:val="none" w:sz="0" w:space="0" w:color="auto"/>
            <w:left w:val="none" w:sz="0" w:space="0" w:color="auto"/>
            <w:bottom w:val="none" w:sz="0" w:space="0" w:color="auto"/>
            <w:right w:val="none" w:sz="0" w:space="0" w:color="auto"/>
          </w:divBdr>
        </w:div>
        <w:div w:id="783035540">
          <w:marLeft w:val="0"/>
          <w:marRight w:val="0"/>
          <w:marTop w:val="240"/>
          <w:marBottom w:val="240"/>
          <w:divBdr>
            <w:top w:val="none" w:sz="0" w:space="0" w:color="auto"/>
            <w:left w:val="none" w:sz="0" w:space="0" w:color="auto"/>
            <w:bottom w:val="none" w:sz="0" w:space="0" w:color="auto"/>
            <w:right w:val="none" w:sz="0" w:space="0" w:color="auto"/>
          </w:divBdr>
        </w:div>
        <w:div w:id="1209224456">
          <w:marLeft w:val="0"/>
          <w:marRight w:val="0"/>
          <w:marTop w:val="240"/>
          <w:marBottom w:val="240"/>
          <w:divBdr>
            <w:top w:val="none" w:sz="0" w:space="0" w:color="auto"/>
            <w:left w:val="none" w:sz="0" w:space="0" w:color="auto"/>
            <w:bottom w:val="none" w:sz="0" w:space="0" w:color="auto"/>
            <w:right w:val="none" w:sz="0" w:space="0" w:color="auto"/>
          </w:divBdr>
        </w:div>
        <w:div w:id="1383288448">
          <w:marLeft w:val="0"/>
          <w:marRight w:val="0"/>
          <w:marTop w:val="240"/>
          <w:marBottom w:val="240"/>
          <w:divBdr>
            <w:top w:val="none" w:sz="0" w:space="0" w:color="auto"/>
            <w:left w:val="none" w:sz="0" w:space="0" w:color="auto"/>
            <w:bottom w:val="none" w:sz="0" w:space="0" w:color="auto"/>
            <w:right w:val="none" w:sz="0" w:space="0" w:color="auto"/>
          </w:divBdr>
        </w:div>
        <w:div w:id="1347559436">
          <w:marLeft w:val="0"/>
          <w:marRight w:val="0"/>
          <w:marTop w:val="240"/>
          <w:marBottom w:val="240"/>
          <w:divBdr>
            <w:top w:val="none" w:sz="0" w:space="0" w:color="auto"/>
            <w:left w:val="none" w:sz="0" w:space="0" w:color="auto"/>
            <w:bottom w:val="none" w:sz="0" w:space="0" w:color="auto"/>
            <w:right w:val="none" w:sz="0" w:space="0" w:color="auto"/>
          </w:divBdr>
        </w:div>
        <w:div w:id="2142117139">
          <w:marLeft w:val="0"/>
          <w:marRight w:val="0"/>
          <w:marTop w:val="240"/>
          <w:marBottom w:val="240"/>
          <w:divBdr>
            <w:top w:val="none" w:sz="0" w:space="0" w:color="auto"/>
            <w:left w:val="none" w:sz="0" w:space="0" w:color="auto"/>
            <w:bottom w:val="none" w:sz="0" w:space="0" w:color="auto"/>
            <w:right w:val="none" w:sz="0" w:space="0" w:color="auto"/>
          </w:divBdr>
        </w:div>
        <w:div w:id="1981575275">
          <w:marLeft w:val="0"/>
          <w:marRight w:val="0"/>
          <w:marTop w:val="240"/>
          <w:marBottom w:val="240"/>
          <w:divBdr>
            <w:top w:val="none" w:sz="0" w:space="0" w:color="auto"/>
            <w:left w:val="none" w:sz="0" w:space="0" w:color="auto"/>
            <w:bottom w:val="none" w:sz="0" w:space="0" w:color="auto"/>
            <w:right w:val="none" w:sz="0" w:space="0" w:color="auto"/>
          </w:divBdr>
        </w:div>
        <w:div w:id="1371539828">
          <w:marLeft w:val="0"/>
          <w:marRight w:val="0"/>
          <w:marTop w:val="240"/>
          <w:marBottom w:val="240"/>
          <w:divBdr>
            <w:top w:val="none" w:sz="0" w:space="0" w:color="auto"/>
            <w:left w:val="none" w:sz="0" w:space="0" w:color="auto"/>
            <w:bottom w:val="none" w:sz="0" w:space="0" w:color="auto"/>
            <w:right w:val="none" w:sz="0" w:space="0" w:color="auto"/>
          </w:divBdr>
        </w:div>
        <w:div w:id="841972880">
          <w:marLeft w:val="0"/>
          <w:marRight w:val="0"/>
          <w:marTop w:val="240"/>
          <w:marBottom w:val="240"/>
          <w:divBdr>
            <w:top w:val="none" w:sz="0" w:space="0" w:color="auto"/>
            <w:left w:val="none" w:sz="0" w:space="0" w:color="auto"/>
            <w:bottom w:val="none" w:sz="0" w:space="0" w:color="auto"/>
            <w:right w:val="none" w:sz="0" w:space="0" w:color="auto"/>
          </w:divBdr>
        </w:div>
      </w:divsChild>
    </w:div>
    <w:div w:id="1637370794">
      <w:bodyDiv w:val="1"/>
      <w:marLeft w:val="0"/>
      <w:marRight w:val="0"/>
      <w:marTop w:val="0"/>
      <w:marBottom w:val="0"/>
      <w:divBdr>
        <w:top w:val="none" w:sz="0" w:space="0" w:color="auto"/>
        <w:left w:val="none" w:sz="0" w:space="0" w:color="auto"/>
        <w:bottom w:val="none" w:sz="0" w:space="0" w:color="auto"/>
        <w:right w:val="none" w:sz="0" w:space="0" w:color="auto"/>
      </w:divBdr>
    </w:div>
    <w:div w:id="1662541595">
      <w:bodyDiv w:val="1"/>
      <w:marLeft w:val="0"/>
      <w:marRight w:val="0"/>
      <w:marTop w:val="0"/>
      <w:marBottom w:val="0"/>
      <w:divBdr>
        <w:top w:val="none" w:sz="0" w:space="0" w:color="auto"/>
        <w:left w:val="none" w:sz="0" w:space="0" w:color="auto"/>
        <w:bottom w:val="none" w:sz="0" w:space="0" w:color="auto"/>
        <w:right w:val="none" w:sz="0" w:space="0" w:color="auto"/>
      </w:divBdr>
    </w:div>
    <w:div w:id="1681276385">
      <w:bodyDiv w:val="1"/>
      <w:marLeft w:val="0"/>
      <w:marRight w:val="0"/>
      <w:marTop w:val="0"/>
      <w:marBottom w:val="0"/>
      <w:divBdr>
        <w:top w:val="none" w:sz="0" w:space="0" w:color="auto"/>
        <w:left w:val="none" w:sz="0" w:space="0" w:color="auto"/>
        <w:bottom w:val="none" w:sz="0" w:space="0" w:color="auto"/>
        <w:right w:val="none" w:sz="0" w:space="0" w:color="auto"/>
      </w:divBdr>
      <w:divsChild>
        <w:div w:id="1888569742">
          <w:marLeft w:val="0"/>
          <w:marRight w:val="0"/>
          <w:marTop w:val="0"/>
          <w:marBottom w:val="0"/>
          <w:divBdr>
            <w:top w:val="none" w:sz="0" w:space="0" w:color="auto"/>
            <w:left w:val="none" w:sz="0" w:space="0" w:color="auto"/>
            <w:bottom w:val="none" w:sz="0" w:space="0" w:color="auto"/>
            <w:right w:val="none" w:sz="0" w:space="0" w:color="auto"/>
          </w:divBdr>
        </w:div>
        <w:div w:id="1751153541">
          <w:marLeft w:val="0"/>
          <w:marRight w:val="0"/>
          <w:marTop w:val="0"/>
          <w:marBottom w:val="0"/>
          <w:divBdr>
            <w:top w:val="none" w:sz="0" w:space="0" w:color="auto"/>
            <w:left w:val="none" w:sz="0" w:space="0" w:color="auto"/>
            <w:bottom w:val="none" w:sz="0" w:space="0" w:color="auto"/>
            <w:right w:val="none" w:sz="0" w:space="0" w:color="auto"/>
          </w:divBdr>
        </w:div>
        <w:div w:id="1260023559">
          <w:marLeft w:val="0"/>
          <w:marRight w:val="0"/>
          <w:marTop w:val="0"/>
          <w:marBottom w:val="0"/>
          <w:divBdr>
            <w:top w:val="none" w:sz="0" w:space="0" w:color="auto"/>
            <w:left w:val="none" w:sz="0" w:space="0" w:color="auto"/>
            <w:bottom w:val="none" w:sz="0" w:space="0" w:color="auto"/>
            <w:right w:val="none" w:sz="0" w:space="0" w:color="auto"/>
          </w:divBdr>
        </w:div>
        <w:div w:id="456995820">
          <w:marLeft w:val="0"/>
          <w:marRight w:val="0"/>
          <w:marTop w:val="0"/>
          <w:marBottom w:val="0"/>
          <w:divBdr>
            <w:top w:val="none" w:sz="0" w:space="0" w:color="auto"/>
            <w:left w:val="none" w:sz="0" w:space="0" w:color="auto"/>
            <w:bottom w:val="none" w:sz="0" w:space="0" w:color="auto"/>
            <w:right w:val="none" w:sz="0" w:space="0" w:color="auto"/>
          </w:divBdr>
        </w:div>
        <w:div w:id="91895842">
          <w:marLeft w:val="0"/>
          <w:marRight w:val="0"/>
          <w:marTop w:val="0"/>
          <w:marBottom w:val="0"/>
          <w:divBdr>
            <w:top w:val="none" w:sz="0" w:space="0" w:color="auto"/>
            <w:left w:val="none" w:sz="0" w:space="0" w:color="auto"/>
            <w:bottom w:val="none" w:sz="0" w:space="0" w:color="auto"/>
            <w:right w:val="none" w:sz="0" w:space="0" w:color="auto"/>
          </w:divBdr>
        </w:div>
        <w:div w:id="58401799">
          <w:marLeft w:val="0"/>
          <w:marRight w:val="0"/>
          <w:marTop w:val="0"/>
          <w:marBottom w:val="0"/>
          <w:divBdr>
            <w:top w:val="none" w:sz="0" w:space="0" w:color="auto"/>
            <w:left w:val="none" w:sz="0" w:space="0" w:color="auto"/>
            <w:bottom w:val="none" w:sz="0" w:space="0" w:color="auto"/>
            <w:right w:val="none" w:sz="0" w:space="0" w:color="auto"/>
          </w:divBdr>
        </w:div>
        <w:div w:id="779840853">
          <w:marLeft w:val="0"/>
          <w:marRight w:val="0"/>
          <w:marTop w:val="0"/>
          <w:marBottom w:val="0"/>
          <w:divBdr>
            <w:top w:val="none" w:sz="0" w:space="0" w:color="auto"/>
            <w:left w:val="none" w:sz="0" w:space="0" w:color="auto"/>
            <w:bottom w:val="none" w:sz="0" w:space="0" w:color="auto"/>
            <w:right w:val="none" w:sz="0" w:space="0" w:color="auto"/>
          </w:divBdr>
        </w:div>
        <w:div w:id="2121560485">
          <w:marLeft w:val="0"/>
          <w:marRight w:val="0"/>
          <w:marTop w:val="0"/>
          <w:marBottom w:val="0"/>
          <w:divBdr>
            <w:top w:val="none" w:sz="0" w:space="0" w:color="auto"/>
            <w:left w:val="none" w:sz="0" w:space="0" w:color="auto"/>
            <w:bottom w:val="none" w:sz="0" w:space="0" w:color="auto"/>
            <w:right w:val="none" w:sz="0" w:space="0" w:color="auto"/>
          </w:divBdr>
        </w:div>
        <w:div w:id="1967083149">
          <w:marLeft w:val="0"/>
          <w:marRight w:val="0"/>
          <w:marTop w:val="0"/>
          <w:marBottom w:val="0"/>
          <w:divBdr>
            <w:top w:val="none" w:sz="0" w:space="0" w:color="auto"/>
            <w:left w:val="none" w:sz="0" w:space="0" w:color="auto"/>
            <w:bottom w:val="none" w:sz="0" w:space="0" w:color="auto"/>
            <w:right w:val="none" w:sz="0" w:space="0" w:color="auto"/>
          </w:divBdr>
        </w:div>
        <w:div w:id="454720633">
          <w:marLeft w:val="0"/>
          <w:marRight w:val="0"/>
          <w:marTop w:val="0"/>
          <w:marBottom w:val="0"/>
          <w:divBdr>
            <w:top w:val="none" w:sz="0" w:space="0" w:color="auto"/>
            <w:left w:val="none" w:sz="0" w:space="0" w:color="auto"/>
            <w:bottom w:val="none" w:sz="0" w:space="0" w:color="auto"/>
            <w:right w:val="none" w:sz="0" w:space="0" w:color="auto"/>
          </w:divBdr>
        </w:div>
        <w:div w:id="1765303496">
          <w:marLeft w:val="0"/>
          <w:marRight w:val="0"/>
          <w:marTop w:val="0"/>
          <w:marBottom w:val="0"/>
          <w:divBdr>
            <w:top w:val="none" w:sz="0" w:space="0" w:color="auto"/>
            <w:left w:val="none" w:sz="0" w:space="0" w:color="auto"/>
            <w:bottom w:val="none" w:sz="0" w:space="0" w:color="auto"/>
            <w:right w:val="none" w:sz="0" w:space="0" w:color="auto"/>
          </w:divBdr>
        </w:div>
      </w:divsChild>
    </w:div>
    <w:div w:id="1707634976">
      <w:bodyDiv w:val="1"/>
      <w:marLeft w:val="0"/>
      <w:marRight w:val="0"/>
      <w:marTop w:val="0"/>
      <w:marBottom w:val="0"/>
      <w:divBdr>
        <w:top w:val="none" w:sz="0" w:space="0" w:color="auto"/>
        <w:left w:val="none" w:sz="0" w:space="0" w:color="auto"/>
        <w:bottom w:val="none" w:sz="0" w:space="0" w:color="auto"/>
        <w:right w:val="none" w:sz="0" w:space="0" w:color="auto"/>
      </w:divBdr>
    </w:div>
    <w:div w:id="1830367866">
      <w:bodyDiv w:val="1"/>
      <w:marLeft w:val="0"/>
      <w:marRight w:val="0"/>
      <w:marTop w:val="0"/>
      <w:marBottom w:val="0"/>
      <w:divBdr>
        <w:top w:val="none" w:sz="0" w:space="0" w:color="auto"/>
        <w:left w:val="none" w:sz="0" w:space="0" w:color="auto"/>
        <w:bottom w:val="none" w:sz="0" w:space="0" w:color="auto"/>
        <w:right w:val="none" w:sz="0" w:space="0" w:color="auto"/>
      </w:divBdr>
    </w:div>
    <w:div w:id="1841844829">
      <w:bodyDiv w:val="1"/>
      <w:marLeft w:val="0"/>
      <w:marRight w:val="0"/>
      <w:marTop w:val="0"/>
      <w:marBottom w:val="0"/>
      <w:divBdr>
        <w:top w:val="none" w:sz="0" w:space="0" w:color="auto"/>
        <w:left w:val="none" w:sz="0" w:space="0" w:color="auto"/>
        <w:bottom w:val="none" w:sz="0" w:space="0" w:color="auto"/>
        <w:right w:val="none" w:sz="0" w:space="0" w:color="auto"/>
      </w:divBdr>
    </w:div>
    <w:div w:id="1843397631">
      <w:bodyDiv w:val="1"/>
      <w:marLeft w:val="0"/>
      <w:marRight w:val="0"/>
      <w:marTop w:val="0"/>
      <w:marBottom w:val="0"/>
      <w:divBdr>
        <w:top w:val="none" w:sz="0" w:space="0" w:color="auto"/>
        <w:left w:val="none" w:sz="0" w:space="0" w:color="auto"/>
        <w:bottom w:val="none" w:sz="0" w:space="0" w:color="auto"/>
        <w:right w:val="none" w:sz="0" w:space="0" w:color="auto"/>
      </w:divBdr>
    </w:div>
    <w:div w:id="1848052482">
      <w:bodyDiv w:val="1"/>
      <w:marLeft w:val="0"/>
      <w:marRight w:val="0"/>
      <w:marTop w:val="0"/>
      <w:marBottom w:val="0"/>
      <w:divBdr>
        <w:top w:val="none" w:sz="0" w:space="0" w:color="auto"/>
        <w:left w:val="none" w:sz="0" w:space="0" w:color="auto"/>
        <w:bottom w:val="none" w:sz="0" w:space="0" w:color="auto"/>
        <w:right w:val="none" w:sz="0" w:space="0" w:color="auto"/>
      </w:divBdr>
    </w:div>
    <w:div w:id="1867139354">
      <w:bodyDiv w:val="1"/>
      <w:marLeft w:val="0"/>
      <w:marRight w:val="0"/>
      <w:marTop w:val="0"/>
      <w:marBottom w:val="0"/>
      <w:divBdr>
        <w:top w:val="none" w:sz="0" w:space="0" w:color="auto"/>
        <w:left w:val="none" w:sz="0" w:space="0" w:color="auto"/>
        <w:bottom w:val="none" w:sz="0" w:space="0" w:color="auto"/>
        <w:right w:val="none" w:sz="0" w:space="0" w:color="auto"/>
      </w:divBdr>
    </w:div>
    <w:div w:id="1887911944">
      <w:bodyDiv w:val="1"/>
      <w:marLeft w:val="0"/>
      <w:marRight w:val="0"/>
      <w:marTop w:val="0"/>
      <w:marBottom w:val="0"/>
      <w:divBdr>
        <w:top w:val="none" w:sz="0" w:space="0" w:color="auto"/>
        <w:left w:val="none" w:sz="0" w:space="0" w:color="auto"/>
        <w:bottom w:val="none" w:sz="0" w:space="0" w:color="auto"/>
        <w:right w:val="none" w:sz="0" w:space="0" w:color="auto"/>
      </w:divBdr>
    </w:div>
    <w:div w:id="1940094451">
      <w:bodyDiv w:val="1"/>
      <w:marLeft w:val="0"/>
      <w:marRight w:val="0"/>
      <w:marTop w:val="0"/>
      <w:marBottom w:val="0"/>
      <w:divBdr>
        <w:top w:val="none" w:sz="0" w:space="0" w:color="auto"/>
        <w:left w:val="none" w:sz="0" w:space="0" w:color="auto"/>
        <w:bottom w:val="none" w:sz="0" w:space="0" w:color="auto"/>
        <w:right w:val="none" w:sz="0" w:space="0" w:color="auto"/>
      </w:divBdr>
    </w:div>
    <w:div w:id="1972783311">
      <w:bodyDiv w:val="1"/>
      <w:marLeft w:val="0"/>
      <w:marRight w:val="0"/>
      <w:marTop w:val="0"/>
      <w:marBottom w:val="0"/>
      <w:divBdr>
        <w:top w:val="none" w:sz="0" w:space="0" w:color="auto"/>
        <w:left w:val="none" w:sz="0" w:space="0" w:color="auto"/>
        <w:bottom w:val="none" w:sz="0" w:space="0" w:color="auto"/>
        <w:right w:val="none" w:sz="0" w:space="0" w:color="auto"/>
      </w:divBdr>
      <w:divsChild>
        <w:div w:id="146941502">
          <w:marLeft w:val="0"/>
          <w:marRight w:val="0"/>
          <w:marTop w:val="0"/>
          <w:marBottom w:val="0"/>
          <w:divBdr>
            <w:top w:val="none" w:sz="0" w:space="0" w:color="auto"/>
            <w:left w:val="none" w:sz="0" w:space="0" w:color="auto"/>
            <w:bottom w:val="none" w:sz="0" w:space="0" w:color="auto"/>
            <w:right w:val="none" w:sz="0" w:space="0" w:color="auto"/>
          </w:divBdr>
        </w:div>
        <w:div w:id="851067158">
          <w:marLeft w:val="0"/>
          <w:marRight w:val="0"/>
          <w:marTop w:val="0"/>
          <w:marBottom w:val="0"/>
          <w:divBdr>
            <w:top w:val="none" w:sz="0" w:space="0" w:color="auto"/>
            <w:left w:val="none" w:sz="0" w:space="0" w:color="auto"/>
            <w:bottom w:val="none" w:sz="0" w:space="0" w:color="auto"/>
            <w:right w:val="none" w:sz="0" w:space="0" w:color="auto"/>
          </w:divBdr>
        </w:div>
      </w:divsChild>
    </w:div>
    <w:div w:id="2023362330">
      <w:bodyDiv w:val="1"/>
      <w:marLeft w:val="0"/>
      <w:marRight w:val="0"/>
      <w:marTop w:val="0"/>
      <w:marBottom w:val="0"/>
      <w:divBdr>
        <w:top w:val="none" w:sz="0" w:space="0" w:color="auto"/>
        <w:left w:val="none" w:sz="0" w:space="0" w:color="auto"/>
        <w:bottom w:val="none" w:sz="0" w:space="0" w:color="auto"/>
        <w:right w:val="none" w:sz="0" w:space="0" w:color="auto"/>
      </w:divBdr>
    </w:div>
    <w:div w:id="2047219984">
      <w:bodyDiv w:val="1"/>
      <w:marLeft w:val="0"/>
      <w:marRight w:val="0"/>
      <w:marTop w:val="0"/>
      <w:marBottom w:val="0"/>
      <w:divBdr>
        <w:top w:val="none" w:sz="0" w:space="0" w:color="auto"/>
        <w:left w:val="none" w:sz="0" w:space="0" w:color="auto"/>
        <w:bottom w:val="none" w:sz="0" w:space="0" w:color="auto"/>
        <w:right w:val="none" w:sz="0" w:space="0" w:color="auto"/>
      </w:divBdr>
      <w:divsChild>
        <w:div w:id="1562516730">
          <w:marLeft w:val="0"/>
          <w:marRight w:val="0"/>
          <w:marTop w:val="0"/>
          <w:marBottom w:val="0"/>
          <w:divBdr>
            <w:top w:val="none" w:sz="0" w:space="0" w:color="auto"/>
            <w:left w:val="none" w:sz="0" w:space="0" w:color="auto"/>
            <w:bottom w:val="none" w:sz="0" w:space="0" w:color="auto"/>
            <w:right w:val="none" w:sz="0" w:space="0" w:color="auto"/>
          </w:divBdr>
        </w:div>
        <w:div w:id="920680836">
          <w:marLeft w:val="0"/>
          <w:marRight w:val="0"/>
          <w:marTop w:val="0"/>
          <w:marBottom w:val="0"/>
          <w:divBdr>
            <w:top w:val="none" w:sz="0" w:space="0" w:color="auto"/>
            <w:left w:val="none" w:sz="0" w:space="0" w:color="auto"/>
            <w:bottom w:val="none" w:sz="0" w:space="0" w:color="auto"/>
            <w:right w:val="none" w:sz="0" w:space="0" w:color="auto"/>
          </w:divBdr>
        </w:div>
        <w:div w:id="1638490698">
          <w:marLeft w:val="0"/>
          <w:marRight w:val="0"/>
          <w:marTop w:val="0"/>
          <w:marBottom w:val="0"/>
          <w:divBdr>
            <w:top w:val="none" w:sz="0" w:space="0" w:color="auto"/>
            <w:left w:val="none" w:sz="0" w:space="0" w:color="auto"/>
            <w:bottom w:val="none" w:sz="0" w:space="0" w:color="auto"/>
            <w:right w:val="none" w:sz="0" w:space="0" w:color="auto"/>
          </w:divBdr>
        </w:div>
        <w:div w:id="1747068508">
          <w:marLeft w:val="0"/>
          <w:marRight w:val="0"/>
          <w:marTop w:val="0"/>
          <w:marBottom w:val="0"/>
          <w:divBdr>
            <w:top w:val="none" w:sz="0" w:space="0" w:color="auto"/>
            <w:left w:val="none" w:sz="0" w:space="0" w:color="auto"/>
            <w:bottom w:val="none" w:sz="0" w:space="0" w:color="auto"/>
            <w:right w:val="none" w:sz="0" w:space="0" w:color="auto"/>
          </w:divBdr>
        </w:div>
        <w:div w:id="907886283">
          <w:marLeft w:val="0"/>
          <w:marRight w:val="0"/>
          <w:marTop w:val="0"/>
          <w:marBottom w:val="0"/>
          <w:divBdr>
            <w:top w:val="none" w:sz="0" w:space="0" w:color="auto"/>
            <w:left w:val="none" w:sz="0" w:space="0" w:color="auto"/>
            <w:bottom w:val="none" w:sz="0" w:space="0" w:color="auto"/>
            <w:right w:val="none" w:sz="0" w:space="0" w:color="auto"/>
          </w:divBdr>
        </w:div>
        <w:div w:id="263808374">
          <w:marLeft w:val="0"/>
          <w:marRight w:val="0"/>
          <w:marTop w:val="0"/>
          <w:marBottom w:val="0"/>
          <w:divBdr>
            <w:top w:val="none" w:sz="0" w:space="0" w:color="auto"/>
            <w:left w:val="none" w:sz="0" w:space="0" w:color="auto"/>
            <w:bottom w:val="none" w:sz="0" w:space="0" w:color="auto"/>
            <w:right w:val="none" w:sz="0" w:space="0" w:color="auto"/>
          </w:divBdr>
        </w:div>
        <w:div w:id="145439265">
          <w:marLeft w:val="0"/>
          <w:marRight w:val="0"/>
          <w:marTop w:val="0"/>
          <w:marBottom w:val="0"/>
          <w:divBdr>
            <w:top w:val="none" w:sz="0" w:space="0" w:color="auto"/>
            <w:left w:val="none" w:sz="0" w:space="0" w:color="auto"/>
            <w:bottom w:val="none" w:sz="0" w:space="0" w:color="auto"/>
            <w:right w:val="none" w:sz="0" w:space="0" w:color="auto"/>
          </w:divBdr>
        </w:div>
        <w:div w:id="328673975">
          <w:marLeft w:val="0"/>
          <w:marRight w:val="0"/>
          <w:marTop w:val="0"/>
          <w:marBottom w:val="0"/>
          <w:divBdr>
            <w:top w:val="none" w:sz="0" w:space="0" w:color="auto"/>
            <w:left w:val="none" w:sz="0" w:space="0" w:color="auto"/>
            <w:bottom w:val="none" w:sz="0" w:space="0" w:color="auto"/>
            <w:right w:val="none" w:sz="0" w:space="0" w:color="auto"/>
          </w:divBdr>
        </w:div>
        <w:div w:id="930428909">
          <w:marLeft w:val="0"/>
          <w:marRight w:val="0"/>
          <w:marTop w:val="0"/>
          <w:marBottom w:val="0"/>
          <w:divBdr>
            <w:top w:val="none" w:sz="0" w:space="0" w:color="auto"/>
            <w:left w:val="none" w:sz="0" w:space="0" w:color="auto"/>
            <w:bottom w:val="none" w:sz="0" w:space="0" w:color="auto"/>
            <w:right w:val="none" w:sz="0" w:space="0" w:color="auto"/>
          </w:divBdr>
        </w:div>
        <w:div w:id="294993673">
          <w:marLeft w:val="0"/>
          <w:marRight w:val="0"/>
          <w:marTop w:val="0"/>
          <w:marBottom w:val="0"/>
          <w:divBdr>
            <w:top w:val="none" w:sz="0" w:space="0" w:color="auto"/>
            <w:left w:val="none" w:sz="0" w:space="0" w:color="auto"/>
            <w:bottom w:val="none" w:sz="0" w:space="0" w:color="auto"/>
            <w:right w:val="none" w:sz="0" w:space="0" w:color="auto"/>
          </w:divBdr>
        </w:div>
        <w:div w:id="1482580762">
          <w:marLeft w:val="0"/>
          <w:marRight w:val="0"/>
          <w:marTop w:val="0"/>
          <w:marBottom w:val="0"/>
          <w:divBdr>
            <w:top w:val="none" w:sz="0" w:space="0" w:color="auto"/>
            <w:left w:val="none" w:sz="0" w:space="0" w:color="auto"/>
            <w:bottom w:val="none" w:sz="0" w:space="0" w:color="auto"/>
            <w:right w:val="none" w:sz="0" w:space="0" w:color="auto"/>
          </w:divBdr>
        </w:div>
      </w:divsChild>
    </w:div>
    <w:div w:id="2050757316">
      <w:bodyDiv w:val="1"/>
      <w:marLeft w:val="0"/>
      <w:marRight w:val="0"/>
      <w:marTop w:val="0"/>
      <w:marBottom w:val="0"/>
      <w:divBdr>
        <w:top w:val="none" w:sz="0" w:space="0" w:color="auto"/>
        <w:left w:val="none" w:sz="0" w:space="0" w:color="auto"/>
        <w:bottom w:val="none" w:sz="0" w:space="0" w:color="auto"/>
        <w:right w:val="none" w:sz="0" w:space="0" w:color="auto"/>
      </w:divBdr>
    </w:div>
    <w:div w:id="2062631231">
      <w:bodyDiv w:val="1"/>
      <w:marLeft w:val="0"/>
      <w:marRight w:val="0"/>
      <w:marTop w:val="0"/>
      <w:marBottom w:val="0"/>
      <w:divBdr>
        <w:top w:val="none" w:sz="0" w:space="0" w:color="auto"/>
        <w:left w:val="none" w:sz="0" w:space="0" w:color="auto"/>
        <w:bottom w:val="none" w:sz="0" w:space="0" w:color="auto"/>
        <w:right w:val="none" w:sz="0" w:space="0" w:color="auto"/>
      </w:divBdr>
    </w:div>
    <w:div w:id="2080783640">
      <w:bodyDiv w:val="1"/>
      <w:marLeft w:val="0"/>
      <w:marRight w:val="0"/>
      <w:marTop w:val="0"/>
      <w:marBottom w:val="0"/>
      <w:divBdr>
        <w:top w:val="none" w:sz="0" w:space="0" w:color="auto"/>
        <w:left w:val="none" w:sz="0" w:space="0" w:color="auto"/>
        <w:bottom w:val="none" w:sz="0" w:space="0" w:color="auto"/>
        <w:right w:val="none" w:sz="0" w:space="0" w:color="auto"/>
      </w:divBdr>
    </w:div>
    <w:div w:id="2116049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AD8EC6F6B944504868DE90D6C42CE2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372</Nr_x002e__x0020_akti>
    <Data_x0020_e_x0020_Krijimit xmlns="0e656187-b300-4fb0-8bf4-3a50f872073c">2026-05-22T11:40:26Z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2026-05-22T00:00:00Z</Date_x0020_protokolli>
    <Titulli xmlns="0e656187-b300-4fb0-8bf4-3a50f872073c">Për përcaktimin e mënyrës së organizimit e të funksionimit të tregut të produkteve të peshkimit e të akuakulturës dhe për miratimin e formës e të përmbajtjes së planeve të prodhimit e të marketingut</Titulli>
    <Modifikuesi xmlns="0e656187-b300-4fb0-8bf4-3a50f872073c">keisina.zace</Modifikuesi>
    <Nr_x002e__x0020_prot_x0020_QBZ xmlns="0e656187-b300-4fb0-8bf4-3a50f872073c">1183</Nr_x002e__x0020_prot_x0020_QBZ>
    <Data_x0020_e_x0020_Modifikimit xmlns="0e656187-b300-4fb0-8bf4-3a50f872073c">2026-05-25T09:23:34Z</Data_x0020_e_x0020_Modifikimit>
    <Dekretuar xmlns="0e656187-b300-4fb0-8bf4-3a50f872073c">false</Dekretuar>
    <Data xmlns="0e656187-b300-4fb0-8bf4-3a50f872073c">2026-05-20T00:00:00Z</Data>
    <Nr_x002e__x0020_protokolli_x0020_i_x0020_aktit xmlns="0e656187-b300-4fb0-8bf4-3a50f872073c">2705/3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EBD485-46CC-4A32-8E05-977975D1BE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4D1C6E2-FE10-4A04-9B51-F9765C2B60F7}">
  <ds:schemaRefs>
    <ds:schemaRef ds:uri="http://schemas.microsoft.com/office/2006/documentManagement/types"/>
    <ds:schemaRef ds:uri="http://schemas.openxmlformats.org/package/2006/metadata/core-properties"/>
    <ds:schemaRef ds:uri="http://purl.org/dc/terms/"/>
    <ds:schemaRef ds:uri="http://schemas.microsoft.com/office/2006/metadata/properties"/>
    <ds:schemaRef ds:uri="http://purl.org/dc/elements/1.1/"/>
    <ds:schemaRef ds:uri="0e656187-b300-4fb0-8bf4-3a50f872073c"/>
    <ds:schemaRef ds:uri="http://www.w3.org/XML/1998/namespace"/>
    <ds:schemaRef ds:uri="http://purl.org/dc/dcmitype/"/>
  </ds:schemaRefs>
</ds:datastoreItem>
</file>

<file path=customXml/itemProps3.xml><?xml version="1.0" encoding="utf-8"?>
<ds:datastoreItem xmlns:ds="http://schemas.openxmlformats.org/officeDocument/2006/customXml" ds:itemID="{C0831791-B7F8-49C4-B851-721C78494961}">
  <ds:schemaRefs>
    <ds:schemaRef ds:uri="http://schemas.microsoft.com/sharepoint/v3/contenttype/forms"/>
  </ds:schemaRefs>
</ds:datastoreItem>
</file>

<file path=customXml/itemProps4.xml><?xml version="1.0" encoding="utf-8"?>
<ds:datastoreItem xmlns:ds="http://schemas.openxmlformats.org/officeDocument/2006/customXml" ds:itemID="{FB287082-DC7B-43FB-8B33-8028F74EFC6B}">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1071</TotalTime>
  <Pages>17</Pages>
  <Words>6755</Words>
  <Characters>38505</Characters>
  <Application>Microsoft Office Word</Application>
  <DocSecurity>0</DocSecurity>
  <Lines>320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Nerold Abedin</dc:creator>
  <cp:lastModifiedBy>fjora.cahani</cp:lastModifiedBy>
  <cp:revision>32</cp:revision>
  <cp:lastPrinted>2026-05-19T18:46:00Z</cp:lastPrinted>
  <dcterms:created xsi:type="dcterms:W3CDTF">2026-05-18T15:28:00Z</dcterms:created>
  <dcterms:modified xsi:type="dcterms:W3CDTF">2026-05-25T11:25:00Z</dcterms:modified>
</cp:coreProperties>
</file>